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2025年鲁山县福利彩票公益金使用情况公告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年下达我县福利彩票公益金总额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705.7</w:t>
      </w:r>
      <w:r>
        <w:rPr>
          <w:rFonts w:hint="eastAsia" w:ascii="仿宋" w:hAnsi="仿宋" w:eastAsia="仿宋"/>
          <w:color w:val="000000"/>
          <w:sz w:val="32"/>
          <w:szCs w:val="32"/>
        </w:rPr>
        <w:t>万元，其中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：中央下达专项福彩公益金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181.7万元，</w:t>
      </w:r>
      <w:r>
        <w:rPr>
          <w:rFonts w:hint="eastAsia" w:ascii="仿宋" w:hAnsi="仿宋" w:eastAsia="仿宋"/>
          <w:color w:val="000000"/>
          <w:sz w:val="32"/>
          <w:szCs w:val="32"/>
        </w:rPr>
        <w:t>省级下达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专项</w:t>
      </w:r>
      <w:r>
        <w:rPr>
          <w:rFonts w:hint="eastAsia" w:ascii="仿宋" w:hAnsi="仿宋" w:eastAsia="仿宋"/>
          <w:color w:val="000000"/>
          <w:sz w:val="32"/>
          <w:szCs w:val="32"/>
        </w:rPr>
        <w:t>福彩公益金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334</w:t>
      </w:r>
      <w:r>
        <w:rPr>
          <w:rFonts w:hint="eastAsia" w:ascii="仿宋" w:hAnsi="仿宋" w:eastAsia="仿宋"/>
          <w:color w:val="000000"/>
          <w:sz w:val="32"/>
          <w:szCs w:val="32"/>
        </w:rPr>
        <w:t>万元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省级按比例返还公益金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190万元</w:t>
      </w:r>
      <w:r>
        <w:rPr>
          <w:rFonts w:hint="eastAsia" w:ascii="仿宋" w:hAnsi="仿宋" w:eastAsia="仿宋"/>
          <w:color w:val="000000"/>
          <w:sz w:val="32"/>
          <w:szCs w:val="32"/>
        </w:rPr>
        <w:t>，重点用于老年人福利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儿童福利和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社会福利事业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类项目</w:t>
      </w:r>
      <w:r>
        <w:rPr>
          <w:rFonts w:hint="eastAsia" w:ascii="仿宋" w:hAnsi="仿宋" w:eastAsia="仿宋"/>
          <w:color w:val="000000"/>
          <w:sz w:val="32"/>
          <w:szCs w:val="32"/>
        </w:rPr>
        <w:t>。根据《彩票管理条例》《彩票管理条例实施细则》《彩票公益金管理办法》《中央集中彩票公益金支持社会福利事业资金使用管理办法》等相关规定，现将202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年度鲁山县福利彩票公益金使用情况公告如下：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中央集中彩票公益金支持社会福利事业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根据豫财综〔2025〕85号，中央集中彩票公益金支持社会福利事业专项资金181.7万元，用于老年助餐服务补助项目和孤儿助学项目，资金使用情况如下：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firstLine="320" w:firstLineChars="100"/>
        <w:textAlignment w:val="auto"/>
        <w:rPr>
          <w:rFonts w:hint="eastAsia" w:ascii="楷体" w:hAnsi="楷体" w:eastAsia="楷体" w:cs="楷体"/>
          <w:color w:val="333333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firstLine="320" w:firstLineChars="1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（一）老年人福利类项目，</w:t>
      </w:r>
      <w:r>
        <w:rPr>
          <w:rFonts w:hint="eastAsia" w:ascii="楷体" w:hAnsi="楷体" w:eastAsia="楷体" w:cs="楷体"/>
          <w:color w:val="333333"/>
          <w:kern w:val="0"/>
          <w:sz w:val="32"/>
          <w:szCs w:val="32"/>
          <w:lang w:val="en-US" w:eastAsia="zh-CN"/>
        </w:rPr>
        <w:t>143.6</w:t>
      </w: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万元。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firstLine="643" w:firstLineChars="200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firstLine="643" w:firstLineChars="200"/>
        <w:textAlignment w:val="auto"/>
        <w:rPr>
          <w:rFonts w:hint="default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项目名称：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老年助餐服务补助项目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项目主要内容：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优化城乡老年助餐服务，进一步提升全县老年助餐服务水平，更好的满足老年人高质量助餐服务需求。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项目周期：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default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资金额度：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143.6万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项目实施单位：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鲁山县民政局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项目负责人：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李亚召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联系方式：</w:t>
      </w:r>
      <w:r>
        <w:rPr>
          <w:rFonts w:hint="eastAsia" w:ascii="仿宋" w:hAnsi="仿宋" w:eastAsia="仿宋"/>
          <w:sz w:val="32"/>
          <w:szCs w:val="32"/>
        </w:rPr>
        <w:t>（0375）5082340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项目完成情况：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未实施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实施效果：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通过实施老年助餐服务补助项目，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可以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有效解决了老年人做饭难、吃饭难的问题，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也可以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提升老年人的生活质量。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（二）儿童福利类项目，</w:t>
      </w:r>
      <w:r>
        <w:rPr>
          <w:rFonts w:hint="eastAsia" w:ascii="楷体" w:hAnsi="楷体" w:eastAsia="楷体" w:cs="楷体"/>
          <w:color w:val="333333"/>
          <w:kern w:val="0"/>
          <w:sz w:val="32"/>
          <w:szCs w:val="32"/>
          <w:lang w:val="en-US" w:eastAsia="zh-CN"/>
        </w:rPr>
        <w:t>38.1</w:t>
      </w: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964" w:firstLineChars="300"/>
        <w:textAlignment w:val="auto"/>
        <w:rPr>
          <w:rFonts w:hint="default" w:ascii="仿宋" w:hAnsi="仿宋" w:eastAsia="仿宋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</w:rPr>
        <w:t>项目名称：</w:t>
      </w: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lang w:val="en-US" w:eastAsia="zh-CN"/>
        </w:rPr>
        <w:t>孤儿助学项目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项目主要内容：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对全县年满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18周岁以上继续在校就读的孤儿大学生发放每人每年10000元助学金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 xml:space="preserve">项目周期：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资金额度：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38.1万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项目实施单位：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鲁山县民政局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项目负责人：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侯小宝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960" w:firstLineChars="300"/>
        <w:jc w:val="left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联系方式：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0375）7172790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项目完成情况：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已完成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实施效果：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通过对孤儿大学生发放助学金，有效解决了孤儿实际困难。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4" w:firstLineChars="300"/>
        <w:textAlignment w:val="auto"/>
        <w:rPr>
          <w:rFonts w:ascii="仿宋" w:hAnsi="仿宋" w:eastAsia="仿宋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省级下达公益金</w:t>
      </w:r>
      <w:r>
        <w:rPr>
          <w:rFonts w:ascii="仿宋" w:hAnsi="仿宋" w:eastAsia="仿宋" w:cs="宋体"/>
          <w:b/>
          <w:bCs/>
          <w:color w:val="333333"/>
          <w:kern w:val="0"/>
          <w:sz w:val="32"/>
          <w:szCs w:val="32"/>
        </w:rPr>
        <w:t>补助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县（市、区）</w:t>
      </w:r>
      <w:r>
        <w:rPr>
          <w:rFonts w:ascii="仿宋" w:hAnsi="仿宋" w:eastAsia="仿宋" w:cs="宋体"/>
          <w:b/>
          <w:bCs/>
          <w:color w:val="333333"/>
          <w:kern w:val="0"/>
          <w:sz w:val="32"/>
          <w:szCs w:val="32"/>
        </w:rPr>
        <w:t>项目情况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根据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豫财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综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【202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】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号文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省级下达福利彩票公益金补助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项目资金共计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110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万元，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用于老年人福利类项目和残疾人福利类项目，豫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财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社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【202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】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号文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省级下达福利彩票公益金补助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项目资金共计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224万元，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用于80岁以上高龄老人津贴补助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。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资金使用情况如下: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eastAsia" w:ascii="楷体" w:hAnsi="楷体" w:eastAsia="楷体" w:cs="楷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（一）老年人福利类项目，</w:t>
      </w:r>
      <w:r>
        <w:rPr>
          <w:rFonts w:hint="eastAsia" w:ascii="楷体" w:hAnsi="楷体" w:eastAsia="楷体" w:cs="楷体"/>
          <w:color w:val="333333"/>
          <w:kern w:val="0"/>
          <w:sz w:val="32"/>
          <w:szCs w:val="32"/>
          <w:lang w:val="en-US" w:eastAsia="zh-CN"/>
        </w:rPr>
        <w:t>103</w:t>
      </w: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万元。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firstLine="964" w:firstLineChars="300"/>
        <w:textAlignment w:val="auto"/>
        <w:rPr>
          <w:rFonts w:hint="default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项目名称：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老年助餐服务补助项目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项目主要内容：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优化城乡老年助餐服务，进一步提升全县老年助餐服务水平，更好的满足老年人高质量助餐服务需求。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项目周期：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资金额度：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103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项目实施单位：鲁山县民政局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项目负责人：李亚召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960" w:firstLineChars="3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联系方式：</w:t>
      </w:r>
      <w:r>
        <w:rPr>
          <w:rFonts w:hint="eastAsia" w:ascii="仿宋" w:hAnsi="仿宋" w:eastAsia="仿宋"/>
          <w:sz w:val="32"/>
          <w:szCs w:val="32"/>
        </w:rPr>
        <w:t>（0375）5082340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default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项目完成情况：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未实施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实施效果：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通过实施老年助餐服务补助项目，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可以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有效解决了老年人做饭难、吃饭难的问题，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也可以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提升老年人的生活质量。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3" w:firstLineChars="200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b/>
          <w:bCs/>
          <w:color w:val="333333"/>
          <w:kern w:val="0"/>
          <w:sz w:val="32"/>
          <w:szCs w:val="32"/>
        </w:rPr>
        <w:t>.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项目名称：高龄老人津贴补助项目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项目主要内容：</w:t>
      </w:r>
      <w:r>
        <w:rPr>
          <w:rFonts w:hint="eastAsia" w:ascii="仿宋" w:hAnsi="仿宋" w:eastAsia="仿宋"/>
          <w:color w:val="000000"/>
          <w:sz w:val="32"/>
          <w:szCs w:val="32"/>
        </w:rPr>
        <w:t>对全县80岁以上老人发放高龄津贴补助。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项目周期： 1年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资金额度：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224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项目实施单位：鲁山县民政局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项目负责人：李亚召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联系方式：</w:t>
      </w:r>
      <w:r>
        <w:rPr>
          <w:rFonts w:hint="eastAsia" w:ascii="仿宋" w:hAnsi="仿宋" w:eastAsia="仿宋"/>
          <w:sz w:val="32"/>
          <w:szCs w:val="32"/>
        </w:rPr>
        <w:t>（0375）5082340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项目完成情况：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已完成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实施效果：通过对全县80岁以上老人发放高龄津贴补助，提升了高龄老人的生活水平。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960" w:firstLineChars="300"/>
        <w:textAlignment w:val="auto"/>
        <w:rPr>
          <w:rFonts w:hint="eastAsia" w:ascii="楷体" w:hAnsi="楷体" w:eastAsia="楷体" w:cs="楷体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(</w:t>
      </w:r>
      <w:r>
        <w:rPr>
          <w:rFonts w:hint="eastAsia" w:ascii="楷体" w:hAnsi="楷体" w:eastAsia="楷体" w:cs="楷体"/>
          <w:color w:val="333333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)残疾人福利类项目，</w:t>
      </w:r>
      <w:r>
        <w:rPr>
          <w:rFonts w:hint="eastAsia" w:ascii="楷体" w:hAnsi="楷体" w:eastAsia="楷体" w:cs="楷体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万元。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4" w:firstLineChars="300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项目名称：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  <w:t>残疾人福利类项目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项目主要内容：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合理设置县级精神障碍社区康复示范机构和乡镇(街道)康复站点，构建市，县，乡三级精神障碍社区康复服务体系。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项目周期：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资金额度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项目实施单位：鲁山县民政局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项目负责人：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刘高峰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960" w:firstLineChars="3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联系方式：</w:t>
      </w:r>
      <w:r>
        <w:rPr>
          <w:rFonts w:hint="eastAsia" w:ascii="仿宋" w:hAnsi="仿宋" w:eastAsia="仿宋"/>
          <w:sz w:val="32"/>
          <w:szCs w:val="32"/>
        </w:rPr>
        <w:t>（0375）50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68505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项目完成情况：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基本完成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960" w:firstLineChars="300"/>
        <w:textAlignment w:val="auto"/>
        <w:rPr>
          <w:rFonts w:hint="default" w:ascii="仿宋" w:hAnsi="仿宋" w:eastAsia="仿宋" w:cs="宋体"/>
          <w:color w:val="333333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实施效果：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通过实施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精神障碍社区康复示范机构康复站点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项目，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减轻精神障碍患者家庭及社会总负担，促进患者回归和融入社会。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3" w:firstLineChars="200"/>
        <w:textAlignment w:val="auto"/>
        <w:rPr>
          <w:rFonts w:ascii="仿宋" w:hAnsi="仿宋" w:eastAsia="仿宋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省级返还市县福彩公益金</w:t>
      </w:r>
      <w:r>
        <w:rPr>
          <w:rFonts w:ascii="仿宋" w:hAnsi="仿宋" w:eastAsia="仿宋" w:cs="宋体"/>
          <w:b/>
          <w:bCs/>
          <w:color w:val="333333"/>
          <w:kern w:val="0"/>
          <w:sz w:val="32"/>
          <w:szCs w:val="32"/>
        </w:rPr>
        <w:t>补助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县（市、区）</w:t>
      </w:r>
      <w:r>
        <w:rPr>
          <w:rFonts w:ascii="仿宋" w:hAnsi="仿宋" w:eastAsia="仿宋" w:cs="宋体"/>
          <w:b/>
          <w:bCs/>
          <w:color w:val="333333"/>
          <w:kern w:val="0"/>
          <w:sz w:val="32"/>
          <w:szCs w:val="32"/>
        </w:rPr>
        <w:t>项目情况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根据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豫财综【202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】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号文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省级返还福利彩票公益金补助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项目资金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共计190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万元，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用于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老年人福利类项目和社会公益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类项目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资金使用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情况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eastAsia" w:ascii="楷体" w:hAnsi="楷体" w:eastAsia="楷体" w:cs="楷体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老年人福利类项目，</w:t>
      </w:r>
      <w:r>
        <w:rPr>
          <w:rFonts w:hint="eastAsia" w:ascii="楷体" w:hAnsi="楷体" w:eastAsia="楷体" w:cs="楷体"/>
          <w:color w:val="333333"/>
          <w:kern w:val="0"/>
          <w:sz w:val="32"/>
          <w:szCs w:val="32"/>
          <w:lang w:val="en-US" w:eastAsia="zh-CN"/>
        </w:rPr>
        <w:t>110</w:t>
      </w: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803" w:firstLineChars="250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项目名称：敬老院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  <w:t>基础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设施设备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  <w:t>改造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项目主要内容：各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乡镇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敬老院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基础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设施设备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改造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项目周期： 1年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资金额度：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110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项目实施单位：鲁山县民政局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项目负责人：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李亚召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联系方式：</w:t>
      </w:r>
      <w:r>
        <w:rPr>
          <w:rFonts w:hint="eastAsia" w:ascii="仿宋" w:hAnsi="仿宋" w:eastAsia="仿宋"/>
          <w:sz w:val="32"/>
          <w:szCs w:val="32"/>
        </w:rPr>
        <w:t>（0375）5082340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项目完成情况：正在进行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实施效果：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通过项目实施，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可以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不断提升养老服务体系建设水平，提高社区养老服务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设施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覆盖率，</w:t>
      </w:r>
      <w:r>
        <w:rPr>
          <w:rFonts w:hint="eastAsia" w:ascii="仿宋" w:hAnsi="仿宋" w:eastAsia="仿宋"/>
          <w:sz w:val="32"/>
          <w:szCs w:val="32"/>
        </w:rPr>
        <w:t>提升养老机构消防硬件设施设备，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有效改善老年人的生活环境，促进我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老年人社会福利事业发展。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color w:val="333333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社会公益类项目，</w:t>
      </w:r>
      <w:r>
        <w:rPr>
          <w:rFonts w:hint="eastAsia" w:ascii="楷体" w:hAnsi="楷体" w:eastAsia="楷体" w:cs="楷体"/>
          <w:color w:val="333333"/>
          <w:kern w:val="0"/>
          <w:sz w:val="32"/>
          <w:szCs w:val="32"/>
          <w:lang w:val="en-US" w:eastAsia="zh-CN"/>
        </w:rPr>
        <w:t>80</w:t>
      </w:r>
      <w:r>
        <w:rPr>
          <w:rFonts w:hint="eastAsia" w:ascii="楷体" w:hAnsi="楷体" w:eastAsia="楷体" w:cs="楷体"/>
          <w:color w:val="333333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4" w:firstLineChars="300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项目名称：殡葬基础设施建设项目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项目主要内容：</w:t>
      </w:r>
      <w:r>
        <w:rPr>
          <w:rFonts w:hint="eastAsia" w:ascii="仿宋" w:hAnsi="仿宋" w:eastAsia="仿宋"/>
          <w:color w:val="000000"/>
          <w:sz w:val="32"/>
          <w:szCs w:val="32"/>
        </w:rPr>
        <w:t>对殡葬基础设施进行提升改造。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项目周期： 1年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资金额度：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项目实施单位：鲁山县民政局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项目负责人：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林留辉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960" w:firstLineChars="3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联系方式：</w:t>
      </w:r>
      <w:r>
        <w:rPr>
          <w:rFonts w:hint="eastAsia" w:ascii="仿宋" w:hAnsi="仿宋" w:eastAsia="仿宋"/>
          <w:sz w:val="32"/>
          <w:szCs w:val="32"/>
        </w:rPr>
        <w:t>（0375）5098047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960" w:firstLineChars="300"/>
        <w:jc w:val="left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960" w:firstLineChars="300"/>
        <w:jc w:val="left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项目完成情况：正在进行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 w:cs="仿宋_GB2312"/>
          <w:color w:val="333333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实施效果：对殡仪馆基础设施进行修缮、提升改造，解除安全隐患、能够更好发挥福利机构的作用，提升殡葬服务水平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4" w:firstLineChars="300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项目名称：流浪乞讨救助站基础设施建设项目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960" w:firstLineChars="3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项目主要内容：</w:t>
      </w:r>
      <w:r>
        <w:rPr>
          <w:rFonts w:hint="eastAsia" w:ascii="仿宋" w:hAnsi="仿宋" w:eastAsia="仿宋"/>
          <w:color w:val="000000"/>
          <w:sz w:val="32"/>
          <w:szCs w:val="32"/>
        </w:rPr>
        <w:t>对流浪乞讨救助站基础设施进行提升改造。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项目周期： 1年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资金额度：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项目实施单位：鲁山县民政局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项目负责人：李俊科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联系方式：</w:t>
      </w:r>
      <w:r>
        <w:rPr>
          <w:rFonts w:hint="eastAsia" w:ascii="仿宋" w:hAnsi="仿宋" w:eastAsia="仿宋"/>
          <w:sz w:val="32"/>
          <w:szCs w:val="32"/>
        </w:rPr>
        <w:t>（0375）5081993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项目完成情况：正在进行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实施效果：通过对流浪乞讨救助站基础设施进行提升改造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可以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改善流浪乞讨救助机构基础条件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100" w:beforeAutospacing="1" w:after="100" w:afterAutospacing="1" w:line="54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特此公告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5280" w:firstLineChars="165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5280" w:firstLineChars="165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5440" w:firstLineChars="1700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鲁山县民政局</w:t>
      </w:r>
    </w:p>
    <w:p>
      <w:pPr>
        <w:ind w:firstLine="5120" w:firstLineChars="1600"/>
        <w:jc w:val="both"/>
      </w:pP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年6月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Start w:id="0" w:name="_GoBack"/>
      <w:bookmarkEnd w:id="0"/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 w:line="540" w:lineRule="exact"/>
        <w:ind w:leftChars="25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 w:line="540" w:lineRule="exact"/>
        <w:ind w:leftChars="200"/>
        <w:rPr>
          <w:rFonts w:hint="eastAsia" w:ascii="楷体" w:hAnsi="楷体" w:eastAsia="楷体" w:cs="楷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540" w:lineRule="exact"/>
        <w:ind w:firstLine="960" w:firstLineChars="300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widowControl/>
        <w:shd w:val="clear" w:color="auto" w:fill="FFFFFF"/>
        <w:spacing w:before="100" w:beforeAutospacing="1" w:after="100" w:afterAutospacing="1" w:line="540" w:lineRule="exact"/>
        <w:ind w:firstLine="960" w:firstLineChars="300"/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before="100" w:beforeAutospacing="1" w:after="100" w:afterAutospacing="1" w:line="540" w:lineRule="exact"/>
        <w:ind w:firstLine="960" w:firstLineChars="300"/>
        <w:rPr>
          <w:rFonts w:hint="eastAsia" w:ascii="仿宋" w:hAnsi="仿宋" w:eastAsia="仿宋"/>
          <w:sz w:val="32"/>
          <w:szCs w:val="32"/>
        </w:rPr>
      </w:pP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 w:line="540" w:lineRule="exact"/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 w:line="540" w:lineRule="exact"/>
        <w:rPr>
          <w:rFonts w:hint="eastAsia" w:ascii="楷体" w:hAnsi="楷体" w:eastAsia="楷体" w:cs="楷体"/>
          <w:color w:val="333333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firstLine="964" w:firstLineChars="300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firstLine="964" w:firstLineChars="300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 w:line="540" w:lineRule="exact"/>
        <w:rPr>
          <w:rFonts w:hint="default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 w:line="540" w:lineRule="exact"/>
        <w:rPr>
          <w:rFonts w:hint="default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before="100" w:beforeAutospacing="1" w:after="100" w:afterAutospacing="1" w:line="540" w:lineRule="exact"/>
        <w:ind w:firstLine="640" w:firstLineChars="200"/>
        <w:rPr>
          <w:rFonts w:ascii="宋体" w:hAnsi="宋体" w:eastAsia="仿宋" w:cs="宋体"/>
          <w:color w:val="333333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 w:line="540" w:lineRule="exac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宋体" w:hAnsi="宋体" w:eastAsia="仿宋" w:cs="宋体"/>
          <w:b/>
          <w:bCs/>
          <w:color w:val="333333"/>
          <w:kern w:val="0"/>
          <w:sz w:val="32"/>
          <w:szCs w:val="32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54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 w:line="540" w:lineRule="exact"/>
        <w:rPr>
          <w:rFonts w:hint="default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 w:line="540" w:lineRule="exact"/>
        <w:rPr>
          <w:rFonts w:hint="default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 w:line="540" w:lineRule="exact"/>
        <w:rPr>
          <w:rFonts w:hint="default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 w:line="540" w:lineRule="exact"/>
        <w:rPr>
          <w:rFonts w:hint="default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 w:line="540" w:lineRule="exact"/>
        <w:rPr>
          <w:rFonts w:hint="default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 w:line="540" w:lineRule="exact"/>
        <w:rPr>
          <w:rFonts w:hint="default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 w:line="540" w:lineRule="exact"/>
        <w:rPr>
          <w:rFonts w:hint="default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 w:line="540" w:lineRule="exact"/>
        <w:rPr>
          <w:rFonts w:hint="default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 w:line="540" w:lineRule="exact"/>
        <w:rPr>
          <w:rFonts w:hint="default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5017CF"/>
    <w:multiLevelType w:val="singleLevel"/>
    <w:tmpl w:val="965017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B14081B"/>
    <w:multiLevelType w:val="singleLevel"/>
    <w:tmpl w:val="CB1408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YmU2YmNjN2MzZDQ0NGVmNDI3NGM3MmU1ZDAxYTgifQ=="/>
  </w:docVars>
  <w:rsids>
    <w:rsidRoot w:val="00000000"/>
    <w:rsid w:val="00542DCE"/>
    <w:rsid w:val="01977BA3"/>
    <w:rsid w:val="01FB0577"/>
    <w:rsid w:val="023D3105"/>
    <w:rsid w:val="032A5242"/>
    <w:rsid w:val="03DA4021"/>
    <w:rsid w:val="046F0552"/>
    <w:rsid w:val="063423F2"/>
    <w:rsid w:val="067B57E2"/>
    <w:rsid w:val="07350087"/>
    <w:rsid w:val="07754928"/>
    <w:rsid w:val="07AA1C63"/>
    <w:rsid w:val="07E32C75"/>
    <w:rsid w:val="08B60D54"/>
    <w:rsid w:val="097035BD"/>
    <w:rsid w:val="09A945EC"/>
    <w:rsid w:val="09A95486"/>
    <w:rsid w:val="09BC22F4"/>
    <w:rsid w:val="0AF3132A"/>
    <w:rsid w:val="0B245BCD"/>
    <w:rsid w:val="0B4D6C10"/>
    <w:rsid w:val="0B892750"/>
    <w:rsid w:val="0C430D85"/>
    <w:rsid w:val="0C587B40"/>
    <w:rsid w:val="0C676F35"/>
    <w:rsid w:val="0E47035C"/>
    <w:rsid w:val="0ECE75A2"/>
    <w:rsid w:val="0F237968"/>
    <w:rsid w:val="0F670FFA"/>
    <w:rsid w:val="0FDA7A1E"/>
    <w:rsid w:val="10774B20"/>
    <w:rsid w:val="10866A35"/>
    <w:rsid w:val="10BF252D"/>
    <w:rsid w:val="14E451EA"/>
    <w:rsid w:val="152A76DF"/>
    <w:rsid w:val="15FF3503"/>
    <w:rsid w:val="1608769C"/>
    <w:rsid w:val="17A87F52"/>
    <w:rsid w:val="17B60D70"/>
    <w:rsid w:val="17DD2D6D"/>
    <w:rsid w:val="18313F6A"/>
    <w:rsid w:val="197A224E"/>
    <w:rsid w:val="19816407"/>
    <w:rsid w:val="1A756CC1"/>
    <w:rsid w:val="1A7C6FB3"/>
    <w:rsid w:val="1B372B25"/>
    <w:rsid w:val="1BAA7027"/>
    <w:rsid w:val="1C3E35EB"/>
    <w:rsid w:val="1C721DFB"/>
    <w:rsid w:val="1D871F82"/>
    <w:rsid w:val="1E116E9C"/>
    <w:rsid w:val="1FC81641"/>
    <w:rsid w:val="20540DA4"/>
    <w:rsid w:val="206D185B"/>
    <w:rsid w:val="20B454E7"/>
    <w:rsid w:val="20C8037C"/>
    <w:rsid w:val="21C712DC"/>
    <w:rsid w:val="22043A28"/>
    <w:rsid w:val="229B1B6E"/>
    <w:rsid w:val="22BC73F6"/>
    <w:rsid w:val="22D62991"/>
    <w:rsid w:val="24230116"/>
    <w:rsid w:val="2448358D"/>
    <w:rsid w:val="246040D1"/>
    <w:rsid w:val="25520905"/>
    <w:rsid w:val="26596C38"/>
    <w:rsid w:val="266F7056"/>
    <w:rsid w:val="26816346"/>
    <w:rsid w:val="26A56238"/>
    <w:rsid w:val="28A32C4B"/>
    <w:rsid w:val="29184A26"/>
    <w:rsid w:val="2A0A3465"/>
    <w:rsid w:val="2B0F45C8"/>
    <w:rsid w:val="2B593A95"/>
    <w:rsid w:val="2B9F1F15"/>
    <w:rsid w:val="2C12746C"/>
    <w:rsid w:val="2EC47D7D"/>
    <w:rsid w:val="2F386F25"/>
    <w:rsid w:val="2F527179"/>
    <w:rsid w:val="2FE24A5E"/>
    <w:rsid w:val="31A1435F"/>
    <w:rsid w:val="31C47914"/>
    <w:rsid w:val="323648D9"/>
    <w:rsid w:val="34EC011C"/>
    <w:rsid w:val="35466E38"/>
    <w:rsid w:val="35565A16"/>
    <w:rsid w:val="35687C15"/>
    <w:rsid w:val="35B12886"/>
    <w:rsid w:val="37851F29"/>
    <w:rsid w:val="379348F6"/>
    <w:rsid w:val="395066C3"/>
    <w:rsid w:val="3A954A85"/>
    <w:rsid w:val="3B563E63"/>
    <w:rsid w:val="3C3C0F95"/>
    <w:rsid w:val="3E770D28"/>
    <w:rsid w:val="3F953B8A"/>
    <w:rsid w:val="40CD66DD"/>
    <w:rsid w:val="413C6942"/>
    <w:rsid w:val="41EA1493"/>
    <w:rsid w:val="42925BCA"/>
    <w:rsid w:val="42B117CC"/>
    <w:rsid w:val="447D039C"/>
    <w:rsid w:val="448F6532"/>
    <w:rsid w:val="44EA5589"/>
    <w:rsid w:val="45773798"/>
    <w:rsid w:val="46063F31"/>
    <w:rsid w:val="4644267E"/>
    <w:rsid w:val="46A42457"/>
    <w:rsid w:val="47523BF3"/>
    <w:rsid w:val="485B6C46"/>
    <w:rsid w:val="489D2697"/>
    <w:rsid w:val="49EE2803"/>
    <w:rsid w:val="4ADF3B5F"/>
    <w:rsid w:val="4B5B5183"/>
    <w:rsid w:val="4B616322"/>
    <w:rsid w:val="4C232080"/>
    <w:rsid w:val="4CCA439B"/>
    <w:rsid w:val="4DCD4B6A"/>
    <w:rsid w:val="4E662392"/>
    <w:rsid w:val="4F66582C"/>
    <w:rsid w:val="4FD572DE"/>
    <w:rsid w:val="50657350"/>
    <w:rsid w:val="50CA2FB8"/>
    <w:rsid w:val="51BF35AA"/>
    <w:rsid w:val="51DB5891"/>
    <w:rsid w:val="520774F7"/>
    <w:rsid w:val="5356677C"/>
    <w:rsid w:val="539A153B"/>
    <w:rsid w:val="53E828FB"/>
    <w:rsid w:val="53F618E3"/>
    <w:rsid w:val="54677F3A"/>
    <w:rsid w:val="556E5FFF"/>
    <w:rsid w:val="567B0FC4"/>
    <w:rsid w:val="56A564B4"/>
    <w:rsid w:val="582E705E"/>
    <w:rsid w:val="58354DBE"/>
    <w:rsid w:val="586344E9"/>
    <w:rsid w:val="58950914"/>
    <w:rsid w:val="59572386"/>
    <w:rsid w:val="59986DEA"/>
    <w:rsid w:val="5CC45250"/>
    <w:rsid w:val="5CD93808"/>
    <w:rsid w:val="5CE62B2B"/>
    <w:rsid w:val="5DAA7F9B"/>
    <w:rsid w:val="5DBE6F4B"/>
    <w:rsid w:val="5DD67E67"/>
    <w:rsid w:val="5DDF36DC"/>
    <w:rsid w:val="5DE66B5A"/>
    <w:rsid w:val="5E47302D"/>
    <w:rsid w:val="5EF77271"/>
    <w:rsid w:val="5F66613D"/>
    <w:rsid w:val="60987B04"/>
    <w:rsid w:val="619265E4"/>
    <w:rsid w:val="635C159F"/>
    <w:rsid w:val="659375C8"/>
    <w:rsid w:val="675A7A7F"/>
    <w:rsid w:val="682920CC"/>
    <w:rsid w:val="68F050BE"/>
    <w:rsid w:val="695A25BD"/>
    <w:rsid w:val="69C94EA7"/>
    <w:rsid w:val="6A9959BB"/>
    <w:rsid w:val="6C7F793F"/>
    <w:rsid w:val="6D145D27"/>
    <w:rsid w:val="6E661D1D"/>
    <w:rsid w:val="6ECF7043"/>
    <w:rsid w:val="6FC91C98"/>
    <w:rsid w:val="70C06B18"/>
    <w:rsid w:val="7100402A"/>
    <w:rsid w:val="71AF12E6"/>
    <w:rsid w:val="71B34C6D"/>
    <w:rsid w:val="71E37C88"/>
    <w:rsid w:val="72071122"/>
    <w:rsid w:val="7370719A"/>
    <w:rsid w:val="7428537F"/>
    <w:rsid w:val="74AE61CC"/>
    <w:rsid w:val="75BD117E"/>
    <w:rsid w:val="76785299"/>
    <w:rsid w:val="76A47881"/>
    <w:rsid w:val="76EC799E"/>
    <w:rsid w:val="772E3CE7"/>
    <w:rsid w:val="779A032F"/>
    <w:rsid w:val="78396ACF"/>
    <w:rsid w:val="7C1C0C61"/>
    <w:rsid w:val="7C275C0F"/>
    <w:rsid w:val="7DE71E07"/>
    <w:rsid w:val="7DF71939"/>
    <w:rsid w:val="7EF0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2905</Words>
  <Characters>3123</Characters>
  <Lines>0</Lines>
  <Paragraphs>0</Paragraphs>
  <TotalTime>1</TotalTime>
  <ScaleCrop>false</ScaleCrop>
  <LinksUpToDate>false</LinksUpToDate>
  <CharactersWithSpaces>5627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2024-07-03T08:02:00Z</dcterms:created>
  <dc:creator>Administrator</dc:creator>
  <cp:lastModifiedBy>Administrator</cp:lastModifiedBy>
  <cp:lastPrinted>2026-06-04T08:09:00Z</cp:lastPrinted>
  <dcterms:modified xsi:type="dcterms:W3CDTF">2026-06-16T08:10:22Z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E8680D57F603411596F37D7ED17F6437_12</vt:lpwstr>
  </property>
  <property fmtid="{D5CDD505-2E9C-101B-9397-08002B2CF9AE}" pid="4" name="KSOTemplateDocerSaveRecord">
    <vt:lpwstr>eyJoZGlkIjoiMjgxYmU2YmNjN2MzZDQ0NGVmNDI3NGM3MmU1ZDAxYTgifQ==</vt:lpwstr>
  </property>
</Properties>
</file>