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鲁山县露峰街道办事处关于</w:t>
      </w:r>
      <w:r>
        <w:rPr>
          <w:rFonts w:hint="eastAsia" w:ascii="方正小标宋_GBK" w:hAnsi="方正小标宋_GBK" w:eastAsia="方正小标宋_GBK" w:cs="方正小标宋_GBK"/>
          <w:b w:val="0"/>
          <w:bCs w:val="0"/>
          <w:sz w:val="44"/>
          <w:szCs w:val="44"/>
        </w:rPr>
        <w:t>2023年法治</w:t>
      </w:r>
      <w:r>
        <w:rPr>
          <w:rFonts w:hint="eastAsia" w:ascii="方正小标宋_GBK" w:hAnsi="方正小标宋_GBK" w:eastAsia="方正小标宋_GBK" w:cs="方正小标宋_GBK"/>
          <w:b w:val="0"/>
          <w:bCs w:val="0"/>
          <w:sz w:val="44"/>
          <w:szCs w:val="44"/>
          <w:lang w:val="en-US" w:eastAsia="zh-CN"/>
        </w:rPr>
        <w:t>政府</w:t>
      </w:r>
      <w:r>
        <w:rPr>
          <w:rFonts w:hint="eastAsia" w:ascii="方正小标宋_GBK" w:hAnsi="方正小标宋_GBK" w:eastAsia="方正小标宋_GBK" w:cs="方正小标宋_GBK"/>
          <w:b w:val="0"/>
          <w:bCs w:val="0"/>
          <w:sz w:val="44"/>
          <w:szCs w:val="44"/>
        </w:rPr>
        <w:t>建设</w:t>
      </w:r>
      <w:r>
        <w:rPr>
          <w:rFonts w:hint="eastAsia" w:ascii="方正小标宋_GBK" w:hAnsi="方正小标宋_GBK" w:eastAsia="方正小标宋_GBK" w:cs="方正小标宋_GBK"/>
          <w:b w:val="0"/>
          <w:bCs w:val="0"/>
          <w:sz w:val="44"/>
          <w:szCs w:val="44"/>
          <w:lang w:val="en-US" w:eastAsia="zh-CN"/>
        </w:rPr>
        <w:t>情况的报告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年以来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露峰街道</w:t>
      </w:r>
      <w:r>
        <w:rPr>
          <w:rFonts w:hint="eastAsia" w:ascii="仿宋_GB2312" w:hAnsi="仿宋_GB2312" w:eastAsia="仿宋_GB2312" w:cs="仿宋_GB2312"/>
          <w:sz w:val="32"/>
          <w:szCs w:val="32"/>
        </w:rPr>
        <w:t>在县委、县政府的正确领导下，紧紧围绕中心、服务大局，忠诚践行</w:t>
      </w:r>
      <w:r>
        <w:rPr>
          <w:rFonts w:hint="eastAsia" w:ascii="仿宋_GB2312" w:hAnsi="仿宋_GB2312" w:eastAsia="仿宋_GB2312" w:cs="仿宋_GB2312"/>
          <w:sz w:val="32"/>
          <w:szCs w:val="32"/>
          <w:lang w:val="en-US" w:eastAsia="zh-CN"/>
        </w:rPr>
        <w:t>依</w:t>
      </w:r>
      <w:r>
        <w:rPr>
          <w:rFonts w:hint="eastAsia" w:ascii="仿宋_GB2312" w:hAnsi="仿宋_GB2312" w:eastAsia="仿宋_GB2312" w:cs="仿宋_GB2312"/>
          <w:sz w:val="32"/>
          <w:szCs w:val="32"/>
        </w:rPr>
        <w:t>法行政为民理念，以习近平</w:t>
      </w:r>
      <w:r>
        <w:rPr>
          <w:rFonts w:hint="eastAsia" w:ascii="仿宋_GB2312" w:hAnsi="仿宋_GB2312" w:eastAsia="仿宋_GB2312" w:cs="仿宋_GB2312"/>
          <w:sz w:val="32"/>
          <w:szCs w:val="32"/>
          <w:lang w:val="en-US" w:eastAsia="zh-CN"/>
        </w:rPr>
        <w:t>新时代中国特色社会主义</w:t>
      </w:r>
      <w:r>
        <w:rPr>
          <w:rFonts w:hint="eastAsia" w:ascii="仿宋_GB2312" w:hAnsi="仿宋_GB2312" w:eastAsia="仿宋_GB2312" w:cs="仿宋_GB2312"/>
          <w:sz w:val="32"/>
          <w:szCs w:val="32"/>
        </w:rPr>
        <w:t>法治思想为引领，以政治建设为统领，对标创建</w:t>
      </w:r>
      <w:r>
        <w:rPr>
          <w:rFonts w:hint="eastAsia" w:ascii="仿宋_GB2312" w:hAnsi="仿宋_GB2312" w:eastAsia="仿宋_GB2312" w:cs="仿宋_GB2312"/>
          <w:sz w:val="32"/>
          <w:szCs w:val="32"/>
          <w:lang w:val="en-US" w:eastAsia="zh-CN"/>
        </w:rPr>
        <w:t>指标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按照县法治政府工作安排，全面推进法治政府建设</w:t>
      </w:r>
      <w:r>
        <w:rPr>
          <w:rFonts w:hint="eastAsia" w:ascii="仿宋_GB2312" w:hAnsi="仿宋_GB2312" w:eastAsia="仿宋_GB2312" w:cs="仿宋_GB2312"/>
          <w:sz w:val="32"/>
          <w:szCs w:val="32"/>
        </w:rPr>
        <w:t>。现将2023年法治政府建设情况</w:t>
      </w:r>
      <w:r>
        <w:rPr>
          <w:rFonts w:hint="eastAsia" w:ascii="仿宋_GB2312" w:hAnsi="仿宋_GB2312" w:eastAsia="仿宋_GB2312" w:cs="仿宋_GB2312"/>
          <w:sz w:val="32"/>
          <w:szCs w:val="32"/>
          <w:lang w:val="en-US" w:eastAsia="zh-CN"/>
        </w:rPr>
        <w:t>报告</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2023年度推进法治政府建设的主要工作措施和成效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（一）</w:t>
      </w:r>
      <w:r>
        <w:rPr>
          <w:rFonts w:hint="eastAsia" w:ascii="楷体" w:hAnsi="楷体" w:eastAsia="楷体" w:cs="楷体"/>
          <w:sz w:val="32"/>
          <w:szCs w:val="32"/>
          <w:lang w:val="en-US" w:eastAsia="zh-CN"/>
        </w:rPr>
        <w:t>坚持政治引领，强化习近平法治思想理念培养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露峰街道坚持把习近平法治思想作为法治政府和法治社会建设的重要理念思想武装干群头脑。</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将习近平法治思想纳入党工委中心组、机关例会和习近平新时代中国特色社会主义思想主题教育及党员干部应知应会学习重要课目，列入学习计划，定期学习。</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开展讲座，集中学习。街道先后在育英中学、机关会议室二次组织街道党员干部集中学习习近平法治思想等思想，邀请了县党校、司法所骨干授课。</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将习近平法治思想学习贯穿到政法培训课目。下半年，在全街道法律明白人和民调员培训班上，将习近平法治思想作为重要课目进行了授课。同时，利用街道主要街道竖立大型版面、悬挂横幅等形式进行宣传教育习近平法治思想，真正让习近平法治思想融入到人民的生活，入心入脑，在全街道形成学法、尊法、守法、用法的良好法治氛围，真正把这一重要思想转化为法治政府建设的强大动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（二）优化职能体系，高质量释放政府服务能效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进一步优化政府职能。街道对城建办、农业服务中心等单位的自建房审批、河道管理等职能进行了合理科学调整，优化了办事程序。同时对便民服务大厅进行改造，合理科学设定入驻单位。要求、事入必入，方便了群众办事，真正实现了一件事一次办，一个单位能办，不让多单位参与；一站式能办，不让群众多跑腿。</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强化12345热线办理，明确专人负责，部门对接。对群众反映问题，首接必责，跟踪督促。2023年共办理热线件和市县领导信箱件274起，办结274起，办结率100%，群众满意率100%。</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持续推进优化法治化营商环境工作。紧紧依托“法润百企”活动、万人助万企活动，深入开展《河南省优化营商环境条例》《平顶山优化营商环境条例》宣传教育，深入企业和项目工地10余场次。制定了《露峰街道入企监察官制度》明确执法单位入企开展工作必须由街道纪工委工作人员陪同，监督工作工作入企工作，在制度和行为上促进了依法行政、救治助力企业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（三）健全依法行政体系，推进政府治理规范化、程序化法治化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露峰街道全面行政规范性文件“统一登记、统一编号、统一印发”制度，实行规范性文件责任落实、责任把关，由责任单位负责人、分管领导、党政办主任、党政主要领导分级把关签字后交文印室出稿。同时严格规范性文件备案审查制度，统一建档留存，依规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（四）健全行政制度体系，不断强化提升行政决策公信力、规范化、法治化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严格贯彻落实《河南省重大行政决策程序规定》和三重一大规定，依规受公众和法律顾问监督把关。</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严格落实政府法律顾问制度。街道聘请了河南成胜律师事务所刘朝阳律师为街道办事处法律顾问，负责街道重大事项决策的法律咨询和把关。</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强化依法决策意识。组织班子成员认真学习习近平法治思想和《河南省重大行政决策程序规定》和三重一大规定，树牢依法决策的必要性和主动性意识，明确重大决策、重大问题解决依法进行，法律顾问和法制部门审核意识和规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（五）健全行政执法工作体系，严格行政执法文明化、法治化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以来，街道加强对安监、城建、农业、经济、自然资源等与企业项目和民生密切相关单位和部门行政管理约束，制定了《露峰街道入企监察官制度》，严格要求各单位依法行政，依法办事，要求纪工委参与行政执法监督，跟随进企实施行政行为。有效地推进了行政执法规范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（六）建立健全突发事件应对体系，依法处置重大突发事件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完善突发事件应机制。针对可能突发的疫情、极端自然天气、洪涝灾害、森林火灾等突发事件，街道制定了对应的处置预案，明确各项工作措施、责任到单位、到人。</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加强应急队伍建设。按照县政法委工作要求，街道成立了由应急、农业、土地、城建、武装、医疗等单位骨干人员组成的50人应急队伍，配备了各类装备和设施，全力做到拉得出、用的上、上能战、战能赢。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（七）强化“三级一线”“三员”融合，构筑矛盾化解新“篱笆”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加强行政调解工作。进一步加强街道矛盾纠纷化解力量，由综治办牵头，司法、信访、调解中心参与，深化矛盾纠纷调解。</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规范行政应诉。组成由法律顾问、职能部门参与的行政应诉专班，针对行政诉求，依法有序、规范应诉行为，提升应诉质量。</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强化“三级一线”和“三员”融合，由街道调解中心调解员与社区法律顾问、一村一警、民调员主导，社区村组干部参与，强力推进矛盾纠纷化解。同时，深入开展法律明白人和民调员培训工作，邀请法律事务所律师和张良镇民调工作人员到街道授课，以提升其矛盾纠纷调解能力。今年共排查出各类矛盾纠纷45起，化解39起，正在化解7起，有力地推进了法治信访和法治社会建设进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w:t>
      </w:r>
      <w:r>
        <w:rPr>
          <w:rFonts w:hint="eastAsia" w:ascii="楷体" w:hAnsi="楷体" w:eastAsia="楷体" w:cs="楷体"/>
          <w:sz w:val="32"/>
          <w:szCs w:val="32"/>
          <w:lang w:val="en-US" w:eastAsia="zh-CN"/>
        </w:rPr>
        <w:t>八</w:t>
      </w:r>
      <w:r>
        <w:rPr>
          <w:rFonts w:hint="eastAsia" w:ascii="楷体" w:hAnsi="楷体" w:eastAsia="楷体" w:cs="楷体"/>
          <w:sz w:val="32"/>
          <w:szCs w:val="32"/>
        </w:rPr>
        <w:t>）</w:t>
      </w:r>
      <w:r>
        <w:rPr>
          <w:rFonts w:hint="eastAsia" w:ascii="楷体" w:hAnsi="楷体" w:eastAsia="楷体" w:cs="楷体"/>
          <w:sz w:val="32"/>
          <w:szCs w:val="32"/>
          <w:lang w:val="en-US" w:eastAsia="zh-CN"/>
        </w:rPr>
        <w:t>健全行政制约和监督体系，促进行政权力规范透明</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强化监督机制建设，构筑行政权力行使监督“篱笆”。街道制定了《露峰街道入企监察官制度》，明确各职能单位需入企业检查工作或入企业沟通处理相关业务，需报请纪工委备案，并由纪工委派人伴随入企业，规范入企单位行为。同时，今年二次邀请县人大代表、政协委员入企座谈，专题对街道贯彻落实《河南省优化营商环境条例》、《平顶山优化营商环境条例》情况进行督督察。并多次邀请企业代表座谈，征求服务意见，多渠道接受党内监督、人大政协监督和民主监督、群众监督。纠正和防止行政执法和其它行政行为不规范、群众和企业不满意问题。</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主动落实政务公开。积极依托信息公开平台，及时对政府预算、规范性文件、工作开展情况进行适时公开，接受社会监督。</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加快推进诚信政府建设。加快“双公示”向“十公示”拓展，加大信息公开力度和范围。</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加强公务员和机关干部职工诚信教育。组织开展大讲堂活动，邀请县委党校老师和县领导邢春瑜进行授课，把诚信政府建设和提升行政行为规范化、法治化纳入讲堂学习内容，丰富诚信机关文化建设，提升干部职工诚信意识，推进发挥诚实守信表率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（九）建立健全法治政府建设科技体系，全面建设数字法治政府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推进信息化平台建设。街道进一步加强政府信息网建设、12345政务服务全民热线平台、蓝天卫士、社保服务平台、信访服务平台和社保等移动手机端等服务信息化平台建设，形成了PC端、大厅端、移动端、自助端、客服端“一体五端”融合，上下统一交通服务体系。依托“一体五端”实现惠农、助学、助医、养老、育幼、扶弱、助残惠农政策“免申即享受”。截止目前已办理涉及民生、环保等12345热线等各类事项274起，办结274起，办结率100%，群众满意率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（十）加强党的建设，完善法治政府建设组织保障和落实机制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强化党的领导。街道党工委严格履行法治政府建设领导职责。先后召开四次专题会议研究法治政府建设工作。组织纪工委制定《露峰街道入企监察官制度》约束监督执法单位行政执法行为。</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强化法治宣传氛围营造。街道在各社区主要道路悬挂法治宣传横幅100余幅，竖立大型习近平法治思想和法治纲要宣传版面二个，利用宪法日、宪法宣传周、禁毒日、“法润百企”等深入企业、社区、学校开展宪法、禁毒、《河南省优化营商环境条例》《平顶山优化营商环境条例》、防电信诈骗、民法典等法律、法规宣传。</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强化队伍，</w:t>
      </w:r>
      <w:r>
        <w:rPr>
          <w:rFonts w:hint="eastAsia" w:ascii="仿宋_GB2312" w:hAnsi="仿宋_GB2312" w:eastAsia="仿宋_GB2312" w:cs="仿宋_GB2312"/>
          <w:sz w:val="32"/>
          <w:szCs w:val="32"/>
        </w:rPr>
        <w:t>锻造行政</w:t>
      </w:r>
      <w:r>
        <w:rPr>
          <w:rFonts w:hint="eastAsia" w:ascii="仿宋_GB2312" w:hAnsi="仿宋_GB2312" w:eastAsia="仿宋_GB2312" w:cs="仿宋_GB2312"/>
          <w:sz w:val="32"/>
          <w:szCs w:val="32"/>
          <w:lang w:val="en-US" w:eastAsia="zh-CN"/>
        </w:rPr>
        <w:t>执法</w:t>
      </w:r>
      <w:r>
        <w:rPr>
          <w:rFonts w:hint="eastAsia" w:ascii="仿宋_GB2312" w:hAnsi="仿宋_GB2312" w:eastAsia="仿宋_GB2312" w:cs="仿宋_GB2312"/>
          <w:sz w:val="32"/>
          <w:szCs w:val="32"/>
        </w:rPr>
        <w:t>铁军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紧密结合主题教育深入开展法治教育，组织安监、土地、城建、经济、环保、农业、文化、卫健、民政等部门工作人员开展执法执纪培训三场次，邀请街道法律顾问、县纪委、街道纪工委等单位进行授课，进一步增强行政人员，特别是执法人员法律法规和党纪培训，不断提升其法治意识和守纪观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二、2023年度推进法治政府建设存在的不足和问题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法治宣传教育工作还存在一定的短板。主要是在宣传氛围的打造上受城市建设和管理，横幅、固定性版面受限。</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技术型行政执法监督硬件还需加强完善。主要是互联网非现场执法监管手段欠缺。</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执法与服务关系还需进一步捋顺。主要是在加强行政执法人员的服务意识还需进一步提升，把执法重在服务指导这一要求要进一步明确，进一步规范执法行为和行政行为。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三、2023年度党政主要负责人履行推进法治政府建设第一责任人职责情况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街道党工委书记和办事处主任对法治政府建设十分重视。</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强化组织领导。二位领导坚持亲自抓，分别任法治政府建设领导组组长和常务副组长，抽调班子成员、相关单位负责人为成员。</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组织指导制定法治政府建设规划和计划和具体方案和督导制度，明确工作方法、目标、时限、任务分工，做到事有单位管、具体到人负责。</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强化工作落实。针对法治政府建设这一宏伟工程，项目多、事务杂、任务重、责任大，主要领导定期和不定期听取各单位工作开展情况，现场指导工作。如针对行政执法问题，二位领导亲自到单位检查、入企业和项目工地督导、询问，组织纪工委跟踪督导，组织企业代表座谈，特别是认真对待县民主测评，了解街道行政进企业工作存在什么问题和不足，认真研判。针对宣传法律宪法、民法典、防范电信诈骗法规教育宣传亲自安排、亲自过问。针对服务大厅和自信平台建设，筹措十余万元进行打造，配备电脑等设备，提升服务硬件，加强工作人员业务礼仪培训和统一服装，提升服务质量。严格规范性文件制定，实行一把手签字，法律顾问把关措施，不断提升法治化规范化。</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跟踪问效。建立了工作研判机制。党政主要领导定期听取法治政府建设工作汇报，结合实地查看情况，对法治政府建设存在的问题和不足进行商谈研判。针对队伍建设问题，组织法律顾问、司法所对其法律法规、行政行为规范化、法治化运行进行集中教育培训，提升行政队伍业务能力和法治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四、2024年度推进法治政府建设的主要工作安排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加强政治建设，筑牢</w:t>
      </w:r>
      <w:r>
        <w:rPr>
          <w:rFonts w:hint="eastAsia" w:ascii="仿宋_GB2312" w:hAnsi="仿宋_GB2312" w:eastAsia="仿宋_GB2312" w:cs="仿宋_GB2312"/>
          <w:sz w:val="32"/>
          <w:szCs w:val="32"/>
          <w:lang w:val="en-US" w:eastAsia="zh-CN"/>
        </w:rPr>
        <w:t>法治</w:t>
      </w:r>
      <w:r>
        <w:rPr>
          <w:rFonts w:hint="eastAsia" w:ascii="仿宋_GB2312" w:hAnsi="仿宋_GB2312" w:eastAsia="仿宋_GB2312" w:cs="仿宋_GB2312"/>
          <w:sz w:val="32"/>
          <w:szCs w:val="32"/>
        </w:rPr>
        <w:t>思想根基。坚持以习近平新时代中国特色社会主义思想为指导，</w:t>
      </w:r>
      <w:r>
        <w:rPr>
          <w:rFonts w:hint="eastAsia" w:ascii="仿宋_GB2312" w:hAnsi="仿宋_GB2312" w:eastAsia="仿宋_GB2312" w:cs="仿宋_GB2312"/>
          <w:sz w:val="32"/>
          <w:szCs w:val="32"/>
          <w:lang w:val="en-US" w:eastAsia="zh-CN"/>
        </w:rPr>
        <w:t>以主题教育为平台，</w:t>
      </w:r>
      <w:r>
        <w:rPr>
          <w:rFonts w:hint="eastAsia" w:ascii="仿宋_GB2312" w:hAnsi="仿宋_GB2312" w:eastAsia="仿宋_GB2312" w:cs="仿宋_GB2312"/>
          <w:sz w:val="32"/>
          <w:szCs w:val="32"/>
        </w:rPr>
        <w:t>深入学习贯彻党的二十大精神，</w:t>
      </w:r>
      <w:r>
        <w:rPr>
          <w:rFonts w:hint="eastAsia" w:ascii="仿宋_GB2312" w:hAnsi="仿宋_GB2312" w:eastAsia="仿宋_GB2312" w:cs="仿宋_GB2312"/>
          <w:sz w:val="32"/>
          <w:szCs w:val="32"/>
          <w:lang w:val="en-US" w:eastAsia="zh-CN"/>
        </w:rPr>
        <w:t>深入推进法治政府建设。</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法治建设再深化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lang w:val="en-US" w:eastAsia="zh-CN"/>
        </w:rPr>
        <w:t>强化习近平法治思想学习，固根强本。紧紧抓住习近平新时代中国特色社会主义思想主题教育，抓实抓牢党员干部习近平法治思想学习，进一步树牢法治理念。</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强化法治考核指标攻坚。实行指标落实情况“每月上报+动态反馈”工作机制，常态化排查摸底指标风险点，加大综合研判和协同攻坚力度，推动法治</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建设。</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压实法治建设工作责任。出台《202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年度法治</w:t>
      </w:r>
      <w:r>
        <w:rPr>
          <w:rFonts w:hint="eastAsia" w:ascii="仿宋_GB2312" w:hAnsi="仿宋_GB2312" w:eastAsia="仿宋_GB2312" w:cs="仿宋_GB2312"/>
          <w:sz w:val="32"/>
          <w:szCs w:val="32"/>
          <w:lang w:val="en-US" w:eastAsia="zh-CN"/>
        </w:rPr>
        <w:t>露峰</w:t>
      </w:r>
      <w:r>
        <w:rPr>
          <w:rFonts w:hint="eastAsia" w:ascii="仿宋_GB2312" w:hAnsi="仿宋_GB2312" w:eastAsia="仿宋_GB2312" w:cs="仿宋_GB2312"/>
          <w:sz w:val="32"/>
          <w:szCs w:val="32"/>
        </w:rPr>
        <w:t>工作要点》《202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年度法治</w:t>
      </w:r>
      <w:r>
        <w:rPr>
          <w:rFonts w:hint="eastAsia" w:ascii="仿宋_GB2312" w:hAnsi="仿宋_GB2312" w:eastAsia="仿宋_GB2312" w:cs="仿宋_GB2312"/>
          <w:sz w:val="32"/>
          <w:szCs w:val="32"/>
          <w:lang w:val="en-US" w:eastAsia="zh-CN"/>
        </w:rPr>
        <w:t>露峰</w:t>
      </w:r>
      <w:r>
        <w:rPr>
          <w:rFonts w:hint="eastAsia" w:ascii="仿宋_GB2312" w:hAnsi="仿宋_GB2312" w:eastAsia="仿宋_GB2312" w:cs="仿宋_GB2312"/>
          <w:sz w:val="32"/>
          <w:szCs w:val="32"/>
        </w:rPr>
        <w:t>建设考评办法》及其考核指标细则，明确各单位法治工作任务和责任。</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强化法治化营商环境建设。</w:t>
      </w:r>
      <w:r>
        <w:rPr>
          <w:rFonts w:hint="eastAsia" w:ascii="仿宋_GB2312" w:hAnsi="仿宋_GB2312" w:eastAsia="仿宋_GB2312" w:cs="仿宋_GB2312"/>
          <w:sz w:val="32"/>
          <w:szCs w:val="32"/>
          <w:lang w:val="en-US" w:eastAsia="zh-CN"/>
        </w:rPr>
        <w:t>严格</w:t>
      </w:r>
      <w:r>
        <w:rPr>
          <w:rFonts w:hint="eastAsia" w:ascii="仿宋_GB2312" w:hAnsi="仿宋_GB2312" w:eastAsia="仿宋_GB2312" w:cs="仿宋_GB2312"/>
          <w:sz w:val="32"/>
          <w:szCs w:val="32"/>
        </w:rPr>
        <w:t>落实涉企执法“双备案”制度和“三书同达”机制，全面深化“综合查一次”机制，纵深推进“双随机、一公开”执法模式。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（二）依法行政再深化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推进行政执法监督工作。加强与人大、政协、监察、新闻媒体的协作，搭建“立体式”行政执法监督架构，形成监督协作合力。强化行政执法监督监管数字化应用；</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推进行政复议工作。全面落实行政复议审理和监督纠错职能，充分发挥行政复议意见书和建议书突出作用，制发行政复议典型案例，增强行政复议社会影响力和公信力；谋划开展执法、信访、诉讼等引流，切实发挥行政复议化解行政争议的主渠道作用。</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推进合法性审查工作。持续推动行政规范性文件、重大行政决策、行政协议等文件合法性审查增质提效，做好潜在法律风险、纠错隐患的准确识别、充分预判与事前控制；持续推进行政规范性文件清理，通过制发清理文件通知、各单位自查反馈、多次征求意见、汇总梳理分析，形成最终清理结果文件。</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推进行政应诉工作。建立健全行政争议专案专班、定期研判、多元化解等机制，与法院搭建数据共享平台，找准行政争议化解的介入点和着力点，实现“双下降”。组织行政机关负责人庭审旁听活动，落实行政败诉案件复盘联席机制，实现败诉案件严格执行“一案一追责”，倒逼行政机关依法履职。紧盯负责人出庭应诉应诉率100%目标，及时安排被告案件的行政机关负责人，确保行政机关负责人出庭应诉“应出尽出”、“出声出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（三）平安建设再深化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加强纠纷排查化解。以</w:t>
      </w:r>
      <w:r>
        <w:rPr>
          <w:rFonts w:hint="eastAsia" w:ascii="仿宋_GB2312" w:hAnsi="仿宋_GB2312" w:eastAsia="仿宋_GB2312" w:cs="仿宋_GB2312"/>
          <w:sz w:val="32"/>
          <w:szCs w:val="32"/>
          <w:lang w:val="en-US" w:eastAsia="zh-CN"/>
        </w:rPr>
        <w:t>习近平坚持和发展</w:t>
      </w:r>
      <w:r>
        <w:rPr>
          <w:rFonts w:hint="eastAsia" w:ascii="仿宋_GB2312" w:hAnsi="仿宋_GB2312" w:eastAsia="仿宋_GB2312" w:cs="仿宋_GB2312"/>
          <w:sz w:val="32"/>
          <w:szCs w:val="32"/>
        </w:rPr>
        <w:t>“枫桥经验”</w:t>
      </w:r>
      <w:r>
        <w:rPr>
          <w:rFonts w:hint="eastAsia" w:ascii="仿宋_GB2312" w:hAnsi="仿宋_GB2312" w:eastAsia="仿宋_GB2312" w:cs="仿宋_GB2312"/>
          <w:sz w:val="32"/>
          <w:szCs w:val="32"/>
          <w:lang w:val="en-US" w:eastAsia="zh-CN"/>
        </w:rPr>
        <w:t>指示精神为指导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坚持和完善好“三员”融合力量，深入开展矛盾纠纷“大排查、大起底、大化解”工作，组织法律顾问、一村一警、民调员和村三委</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矛盾纠纷大排查，深挖细查，不留死角，把矛盾纠纷全部排查出来，建立问题台账。持续坚持“七晚工作法”和建立健全社区“周三矛盾纠纷研判日”制度，集中研判，集中人员、集中时间进行化解。确保矛盾不出村、问题不上交、小事化了，大事化小，事心双解，把问题化解在萌芽状态。</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人民调解“四评”（调解员评级、调解案件评查、调解案例评选、调解讲师评优）工作，积极提升人民调解工作质量。完善矛盾纠纷多元调解体系，形成矛盾纠纷多元化解工作责任清单，最大限度将矛盾纠纷化解在基层，助推基层治理体系和治理能力现代化。</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加强维稳安保工作。</w:t>
      </w:r>
      <w:r>
        <w:rPr>
          <w:rFonts w:hint="eastAsia" w:ascii="仿宋_GB2312" w:hAnsi="仿宋_GB2312" w:eastAsia="仿宋_GB2312" w:cs="仿宋_GB2312"/>
          <w:sz w:val="32"/>
          <w:szCs w:val="32"/>
          <w:lang w:val="en-US" w:eastAsia="zh-CN"/>
        </w:rPr>
        <w:t>积极推进综治中心和50人应急队伍建设。</w:t>
      </w:r>
      <w:r>
        <w:rPr>
          <w:rFonts w:hint="eastAsia" w:ascii="仿宋_GB2312" w:hAnsi="仿宋_GB2312" w:eastAsia="仿宋_GB2312" w:cs="仿宋_GB2312"/>
          <w:sz w:val="32"/>
          <w:szCs w:val="32"/>
        </w:rPr>
        <w:t>制定应急处突预案，开展应急处突演练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突出抓好社区治安巡逻工作，组织社区民兵、治安巡逻员开展夜间缝隙治安巡逻，严防治安事件发生，</w:t>
      </w:r>
      <w:r>
        <w:rPr>
          <w:rFonts w:hint="eastAsia" w:ascii="仿宋_GB2312" w:hAnsi="仿宋_GB2312" w:eastAsia="仿宋_GB2312" w:cs="仿宋_GB2312"/>
          <w:sz w:val="32"/>
          <w:szCs w:val="32"/>
        </w:rPr>
        <w:t>确保全</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统意识形态、重点人群、矛盾纠纷排查化解、信访处置、场所、网络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自然灾害</w:t>
      </w:r>
      <w:r>
        <w:rPr>
          <w:rFonts w:hint="eastAsia" w:ascii="仿宋_GB2312" w:hAnsi="仿宋_GB2312" w:eastAsia="仿宋_GB2312" w:cs="仿宋_GB2312"/>
          <w:sz w:val="32"/>
          <w:szCs w:val="32"/>
        </w:rPr>
        <w:t>等各领域的安全稳定。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（四）法律</w:t>
      </w:r>
      <w:r>
        <w:rPr>
          <w:rFonts w:hint="eastAsia" w:ascii="楷体" w:hAnsi="楷体" w:eastAsia="楷体" w:cs="楷体"/>
          <w:sz w:val="32"/>
          <w:szCs w:val="32"/>
          <w:lang w:val="en-US" w:eastAsia="zh-CN"/>
        </w:rPr>
        <w:t>宣传</w:t>
      </w:r>
      <w:r>
        <w:rPr>
          <w:rFonts w:hint="eastAsia" w:ascii="楷体" w:hAnsi="楷体" w:eastAsia="楷体" w:cs="楷体"/>
          <w:sz w:val="32"/>
          <w:szCs w:val="32"/>
        </w:rPr>
        <w:t>服务再深化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强化法律援助惠民服务。持续开展法律援助惠民服务，</w:t>
      </w:r>
      <w:r>
        <w:rPr>
          <w:rFonts w:hint="eastAsia" w:ascii="仿宋_GB2312" w:hAnsi="仿宋_GB2312" w:eastAsia="仿宋_GB2312" w:cs="仿宋_GB2312"/>
          <w:sz w:val="32"/>
          <w:szCs w:val="32"/>
          <w:lang w:val="en-US" w:eastAsia="zh-CN"/>
        </w:rPr>
        <w:t>以民法典为主组织街道村二级法律顾问和法律明白人、一村一警开展法律进万家活动，宣传法律法规、营造学法、尊法、守法、用法良好法治氛围，同时，坚持依法开展矛盾纠纷化解工作，在调解中宣传法律、在调解中运用法律、在调解中依法办事，做到依法为据、以法为力、于法育人、于情感人，于理服人，使案件得到心解事结</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强化法治宣传教育质效。聚焦“12.4宪法宣传周”，发挥“法律明白人”“法治带头人”和法律顾问等人员作用，针对性地开展法治宣传教育活动，纵深推进“八五”普法。</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开展基层法治建设，创成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家市级民主法治村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二家县级</w:t>
      </w:r>
      <w:r>
        <w:rPr>
          <w:rFonts w:hint="eastAsia" w:ascii="仿宋_GB2312" w:hAnsi="仿宋_GB2312" w:eastAsia="仿宋_GB2312" w:cs="仿宋_GB2312"/>
          <w:sz w:val="32"/>
          <w:szCs w:val="32"/>
        </w:rPr>
        <w:t>民主法治村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四是</w:t>
      </w:r>
      <w:r>
        <w:rPr>
          <w:rFonts w:hint="eastAsia" w:ascii="仿宋_GB2312" w:hAnsi="仿宋_GB2312" w:eastAsia="仿宋_GB2312" w:cs="仿宋_GB2312"/>
          <w:sz w:val="32"/>
          <w:szCs w:val="32"/>
        </w:rPr>
        <w:t>推进双普教育基地建设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以上洼社区为重点打造红色法治教育基地建设，以县中心公园和上洼游园为重点推进法治教育主题公园建设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鲁山县露峰街道办事处</w:t>
      </w:r>
      <w:r>
        <w:rPr>
          <w:rFonts w:hint="eastAsia" w:ascii="仿宋_GB2312" w:hAnsi="仿宋_GB2312" w:eastAsia="仿宋_GB2312" w:cs="仿宋_GB2312"/>
          <w:sz w:val="32"/>
          <w:szCs w:val="32"/>
          <w:lang w:val="en-US" w:eastAsia="zh-CN"/>
        </w:rPr>
        <w:t xml:space="preserve">    </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2024年2月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973FE8"/>
    <w:multiLevelType w:val="singleLevel"/>
    <w:tmpl w:val="71973F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YzljNGY3ZTZlYjZmYzhmNjNjZDI2Njc4NGJlY2YifQ=="/>
    <w:docVar w:name="KSO_WPS_MARK_KEY" w:val="be8c1823-7913-422c-9aac-c33aa464d31c"/>
  </w:docVars>
  <w:rsids>
    <w:rsidRoot w:val="3435682E"/>
    <w:rsid w:val="016E0A26"/>
    <w:rsid w:val="069A0FAA"/>
    <w:rsid w:val="0B297F03"/>
    <w:rsid w:val="0F403A6D"/>
    <w:rsid w:val="12C909E1"/>
    <w:rsid w:val="136C7742"/>
    <w:rsid w:val="1EB61656"/>
    <w:rsid w:val="24BC2313"/>
    <w:rsid w:val="2AFC5CA1"/>
    <w:rsid w:val="3435682E"/>
    <w:rsid w:val="38D40BFF"/>
    <w:rsid w:val="3AC006DA"/>
    <w:rsid w:val="3C6F5A22"/>
    <w:rsid w:val="3DDC7C07"/>
    <w:rsid w:val="436E7072"/>
    <w:rsid w:val="476010A4"/>
    <w:rsid w:val="49492F43"/>
    <w:rsid w:val="4FC10DDD"/>
    <w:rsid w:val="547C241E"/>
    <w:rsid w:val="55AE28C9"/>
    <w:rsid w:val="5D443CF5"/>
    <w:rsid w:val="626D1B41"/>
    <w:rsid w:val="635C2539"/>
    <w:rsid w:val="6DD662A4"/>
    <w:rsid w:val="73F61E6A"/>
    <w:rsid w:val="74DF0134"/>
    <w:rsid w:val="7A9419C0"/>
    <w:rsid w:val="7B0A5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2023-12-11T01:46:00Z</dcterms:created>
  <dc:creator>csy</dc:creator>
  <cp:lastModifiedBy>86177</cp:lastModifiedBy>
  <dcterms:modified xsi:type="dcterms:W3CDTF">2024-04-22T01:30:25Z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CB9995359DBA456D88002985B694D350_13</vt:lpwstr>
  </property>
</Properties>
</file>