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鲁山县退役军人事务局关于2023年度</w:t>
      </w:r>
      <w:r>
        <w:rPr>
          <w:rFonts w:hint="eastAsia" w:ascii="方正小标宋简体" w:hAnsi="方正小标宋简体" w:eastAsia="方正小标宋简体" w:cs="方正小标宋简体"/>
          <w:sz w:val="44"/>
          <w:szCs w:val="44"/>
        </w:rPr>
        <w:t>法治</w:t>
      </w:r>
      <w:r>
        <w:rPr>
          <w:rFonts w:hint="eastAsia" w:ascii="方正小标宋简体" w:hAnsi="方正小标宋简体" w:eastAsia="方正小标宋简体" w:cs="方正小标宋简体"/>
          <w:sz w:val="44"/>
          <w:szCs w:val="44"/>
          <w:lang w:eastAsia="zh-CN"/>
        </w:rPr>
        <w:t>政府</w:t>
      </w:r>
      <w:r>
        <w:rPr>
          <w:rFonts w:hint="eastAsia" w:ascii="方正小标宋简体" w:hAnsi="方正小标宋简体" w:eastAsia="方正小标宋简体" w:cs="方正小标宋简体"/>
          <w:sz w:val="44"/>
          <w:szCs w:val="44"/>
        </w:rPr>
        <w:t>建设</w:t>
      </w:r>
      <w:r>
        <w:rPr>
          <w:rFonts w:hint="eastAsia" w:ascii="方正小标宋简体" w:hAnsi="方正小标宋简体" w:eastAsia="方正小标宋简体" w:cs="方正小标宋简体"/>
          <w:sz w:val="44"/>
          <w:szCs w:val="44"/>
          <w:lang w:eastAsia="zh-CN"/>
        </w:rPr>
        <w:t>情况报告</w:t>
      </w:r>
    </w:p>
    <w:p>
      <w:pPr>
        <w:pStyle w:val="3"/>
        <w:rPr>
          <w:rFonts w:hint="eastAsia"/>
        </w:rPr>
      </w:pPr>
    </w:p>
    <w:p>
      <w:pPr>
        <w:pStyle w:val="2"/>
        <w:pageBreakBefore w:val="0"/>
        <w:widowControl w:val="0"/>
        <w:kinsoku/>
        <w:wordWrap/>
        <w:overflowPunct/>
        <w:topLinePunct w:val="0"/>
        <w:autoSpaceDE/>
        <w:autoSpaceDN/>
        <w:bidi w:val="0"/>
        <w:adjustRightInd/>
        <w:snapToGrid/>
        <w:spacing w:beforeLines="0" w:afterLines="0" w:line="580" w:lineRule="exact"/>
        <w:textAlignment w:val="auto"/>
        <w:rPr>
          <w:rFonts w:hint="eastAsia" w:ascii="仿宋_GB2312" w:hAnsi="仿宋_GB2312" w:eastAsia="仿宋_GB2312" w:cs="仿宋_GB2312"/>
          <w:snapToGrid/>
          <w:color w:val="auto"/>
          <w:kern w:val="2"/>
          <w:sz w:val="32"/>
          <w:szCs w:val="32"/>
          <w:lang w:val="en-US" w:eastAsia="zh-CN" w:bidi="ar-SA"/>
        </w:rPr>
      </w:pPr>
      <w:r>
        <w:rPr>
          <w:rFonts w:hint="eastAsia" w:ascii="仿宋_GB2312" w:hAnsi="仿宋_GB2312" w:eastAsia="仿宋_GB2312" w:cs="仿宋_GB2312"/>
          <w:snapToGrid/>
          <w:color w:val="auto"/>
          <w:kern w:val="2"/>
          <w:sz w:val="32"/>
          <w:szCs w:val="32"/>
          <w:lang w:val="en-US" w:eastAsia="zh-CN" w:bidi="ar-SA"/>
        </w:rPr>
        <w:t>2023年，我局坚持以习近平新时代中国特色社会主义思想为指导，认真学习贯彻党的二十大和习总书记关于法治建设的重要指示精神，在县委、县政府正确领导下，加强退役军人服务保障工作，维护退役军人合法权益，高水平推进我县退役军人事务领域治理体系和治理能力现代化，现将2023年度法治政府建设工作汇报如下：</w:t>
      </w:r>
    </w:p>
    <w:p>
      <w:pPr>
        <w:pStyle w:val="2"/>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rPr>
        <w:t>一、</w:t>
      </w:r>
      <w:r>
        <w:rPr>
          <w:rFonts w:hint="eastAsia"/>
          <w:lang w:val="en-US" w:eastAsia="zh-CN"/>
        </w:rPr>
        <w:t>2023</w:t>
      </w:r>
      <w:r>
        <w:rPr>
          <w:rFonts w:hint="eastAsia"/>
        </w:rPr>
        <w:t>年度推进法治政府建设的主要举措和成效</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（一）加强组织领导和保障，提高法治意识和依法行政能力。</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1.落实法治建设工作责任制。坚持以法治建设工作为契机促进退役军人事务系统队伍建设，明确责任分工，形成了主要领导负总责，分管领导具体抓，股室负责人抓落实的良好机制。</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2.确保职能发挥到位。以制度建设为突破口，完善各项工作制度，促进职能作用的发挥。制定工作计划，将工作任务分解到每个股室，形成人人肩上有担子，个个身上有压力。</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建立学法用法工作制度。每月定期召开中心组学习会，每季度组织乡镇退役军人服务站集中学习，把法治宣传教育内容纳入学习计划，增强退役军人事务系统法治意识、法治思维以及依法维护退役军人合法权益的自觉性。</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（二）深入推进法治宣传，营造良好法治氛围。</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1.线上充分利用“中国普法”微信公众号、学习强国APP等在退役军人事务系统内广泛学习了宪法、《退役士兵安置条例》《军人抚恤优待条例》《中华人民共和国退役军人保障法》等法律法规。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线下结合宪法宣传周、退役军人专场招聘会，重要节日走访慰问等活动，我局工作人员通过摆放宣传展板、发放宣传彩页等方式，向辖区退役军人、军属等宣传退役军人就业创业、移交安置、待遇保障、抚恤优待、荣誉激励、教育管理等政策规定。</w:t>
      </w:r>
    </w:p>
    <w:p>
      <w:pPr>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（三）健全矛盾纠纷处理机制，有效化解社会矛盾纠纷。</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1.依托退役军人服务工作站，充分发挥工作职能，组织开展调解工作，把矛盾化解在萌芽状态</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充分发挥退役军人法律援助工作站的作用。自成立县退役军人法律援助工作站后，县司法局每周二由派驻值班律师作为法律顾问，为全县退役军人及家属提供给免费法律咨询、法治教育等法律援助服务，自法律援助站成立以来共帮助解决退役军人的合理诉求35件，为维护退役军人合法权益提供了有力保障。</w:t>
      </w:r>
    </w:p>
    <w:p>
      <w:pPr>
        <w:pStyle w:val="2"/>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lang w:val="en-US" w:eastAsia="zh-CN"/>
        </w:rPr>
        <w:t>二、2023</w:t>
      </w:r>
      <w:r>
        <w:rPr>
          <w:rFonts w:hint="eastAsia"/>
        </w:rPr>
        <w:t>年度推进法治政府建设存在的不足和原因</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2023年，我局法治政府建设工作始终坚持高标准、严要求，取得了一些成绩，但仍然存在一些问题和不足：一是普法宣传的广度和力度还不够，宣传范围还未达到全覆盖，宣传力度不足，存在宣传的盲区；二是部分执法人员法治意识仍待提升。法治工作严谨性、细致性要求高，在实际工作中表现有时不够深入细致。</w:t>
      </w:r>
    </w:p>
    <w:p>
      <w:pPr>
        <w:pStyle w:val="2"/>
        <w:pageBreakBefore w:val="0"/>
        <w:widowControl w:val="0"/>
        <w:kinsoku/>
        <w:wordWrap/>
        <w:overflowPunct/>
        <w:topLinePunct w:val="0"/>
        <w:autoSpaceDE/>
        <w:autoSpaceDN/>
        <w:bidi w:val="0"/>
        <w:adjustRightInd/>
        <w:snapToGrid/>
        <w:spacing w:beforeLines="0" w:afterLines="0" w:line="580" w:lineRule="exact"/>
        <w:textAlignment w:val="auto"/>
        <w:rPr>
          <w:rFonts w:hint="eastAsia"/>
        </w:rPr>
      </w:pPr>
      <w:r>
        <w:rPr>
          <w:rFonts w:hint="eastAsia"/>
          <w:lang w:val="en-US" w:eastAsia="zh-CN"/>
        </w:rPr>
        <w:t>三、2023</w:t>
      </w:r>
      <w:r>
        <w:rPr>
          <w:rFonts w:hint="eastAsia"/>
        </w:rPr>
        <w:t>年度党政主要负责人履行推进法治建设第一责任人职责的情况</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局主要负责人带头认真履行法治建设重要组织者、推动者和实践者职责，坚持重要工作亲自部署、重大问题亲自过问、重点环节亲自协调、重要任务亲自督办，深入推进“谁执法谁普法”普法责任制落实，准确把握我县退役军人工作面临的新形势新任务新要求，积极推进县委、县政府关于全面依法治县的决策部署。</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（一）落实“三个到位”</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每年将</w:t>
      </w:r>
      <w:r>
        <w:rPr>
          <w:rFonts w:hint="eastAsia" w:ascii="仿宋_GB2312" w:hAnsi="仿宋_GB2312" w:eastAsia="仿宋_GB2312" w:cs="仿宋_GB2312"/>
          <w:color w:val="auto"/>
          <w:sz w:val="32"/>
          <w:szCs w:val="32"/>
          <w:lang w:val="en-US" w:eastAsia="zh-CN"/>
        </w:rPr>
        <w:t>法治建设</w:t>
      </w:r>
      <w:r>
        <w:rPr>
          <w:rFonts w:hint="default" w:ascii="仿宋_GB2312" w:hAnsi="仿宋_GB2312" w:eastAsia="仿宋_GB2312" w:cs="仿宋_GB2312"/>
          <w:color w:val="auto"/>
          <w:sz w:val="32"/>
          <w:szCs w:val="32"/>
          <w:lang w:val="en-US" w:eastAsia="zh-CN"/>
        </w:rPr>
        <w:t>工作纳入年度目标管理考核，组织召开专题会议研究部署</w:t>
      </w:r>
      <w:r>
        <w:rPr>
          <w:rFonts w:hint="eastAsia" w:ascii="仿宋_GB2312" w:hAnsi="仿宋_GB2312" w:eastAsia="仿宋_GB2312" w:cs="仿宋_GB2312"/>
          <w:color w:val="auto"/>
          <w:sz w:val="32"/>
          <w:szCs w:val="32"/>
          <w:lang w:val="en-US" w:eastAsia="zh-CN"/>
        </w:rPr>
        <w:t>法治建设</w:t>
      </w:r>
      <w:r>
        <w:rPr>
          <w:rFonts w:hint="default" w:ascii="仿宋_GB2312" w:hAnsi="仿宋_GB2312" w:eastAsia="仿宋_GB2312" w:cs="仿宋_GB2312"/>
          <w:color w:val="auto"/>
          <w:sz w:val="32"/>
          <w:szCs w:val="32"/>
          <w:lang w:val="en-US" w:eastAsia="zh-CN"/>
        </w:rPr>
        <w:t>工作，做到组织领导、规划先行、经费保障均落实到位。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（二）紧抓“四个重点”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default" w:ascii="仿宋_GB2312" w:hAnsi="仿宋_GB2312" w:eastAsia="仿宋_GB2312" w:cs="仿宋_GB2312"/>
          <w:color w:val="auto"/>
          <w:sz w:val="32"/>
          <w:szCs w:val="32"/>
          <w:lang w:val="en-US" w:eastAsia="zh-CN"/>
        </w:rPr>
        <w:t>重点抓好机关工作人员</w:t>
      </w:r>
      <w:r>
        <w:rPr>
          <w:rFonts w:hint="eastAsia" w:ascii="仿宋_GB2312" w:hAnsi="仿宋_GB2312" w:eastAsia="仿宋_GB2312" w:cs="仿宋_GB2312"/>
          <w:color w:val="auto"/>
          <w:sz w:val="32"/>
          <w:szCs w:val="32"/>
          <w:lang w:val="en-US" w:eastAsia="zh-CN"/>
        </w:rPr>
        <w:t>学</w:t>
      </w:r>
      <w:r>
        <w:rPr>
          <w:rFonts w:hint="default" w:ascii="仿宋_GB2312" w:hAnsi="仿宋_GB2312" w:eastAsia="仿宋_GB2312" w:cs="仿宋_GB2312"/>
          <w:color w:val="auto"/>
          <w:sz w:val="32"/>
          <w:szCs w:val="32"/>
          <w:lang w:val="en-US" w:eastAsia="zh-CN"/>
        </w:rPr>
        <w:t>法。每年开展一次“机关集中学法月活动”，并开展测试活动。每月开展一次局党组理论学习中心组专题学法，营造浓厚的学法氛围。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重点抓好重大节日宣传活动。每年确定1-2个宣传重点，面向退役军人群体和社会大众，精心组织开展“12.4”国家宪法日“9.30国家公祭日”等法治宣传咨询活动。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重点抓好“法律六进”活动。带头组织开展</w:t>
      </w:r>
      <w:r>
        <w:rPr>
          <w:rFonts w:hint="eastAsia" w:ascii="仿宋_GB2312" w:hAnsi="仿宋_GB2312" w:eastAsia="仿宋_GB2312" w:cs="仿宋_GB2312"/>
          <w:color w:val="auto"/>
          <w:sz w:val="32"/>
          <w:szCs w:val="32"/>
          <w:lang w:val="en-US" w:eastAsia="zh-CN"/>
        </w:rPr>
        <w:t>法治宣传</w:t>
      </w:r>
      <w:r>
        <w:rPr>
          <w:rFonts w:hint="default" w:ascii="仿宋_GB2312" w:hAnsi="仿宋_GB2312" w:eastAsia="仿宋_GB2312" w:cs="仿宋_GB2312"/>
          <w:color w:val="auto"/>
          <w:sz w:val="32"/>
          <w:szCs w:val="32"/>
          <w:lang w:val="en-US" w:eastAsia="zh-CN"/>
        </w:rPr>
        <w:t>进机关活动21次，结合文明创建活动开展</w:t>
      </w:r>
      <w:r>
        <w:rPr>
          <w:rFonts w:hint="eastAsia" w:ascii="仿宋_GB2312" w:hAnsi="仿宋_GB2312" w:eastAsia="仿宋_GB2312" w:cs="仿宋_GB2312"/>
          <w:color w:val="auto"/>
          <w:sz w:val="32"/>
          <w:szCs w:val="32"/>
          <w:lang w:val="en-US" w:eastAsia="zh-CN"/>
        </w:rPr>
        <w:t>法治建设</w:t>
      </w:r>
      <w:r>
        <w:rPr>
          <w:rFonts w:hint="default" w:ascii="仿宋_GB2312" w:hAnsi="仿宋_GB2312" w:eastAsia="仿宋_GB2312" w:cs="仿宋_GB2312"/>
          <w:color w:val="auto"/>
          <w:sz w:val="32"/>
          <w:szCs w:val="32"/>
          <w:lang w:val="en-US" w:eastAsia="zh-CN"/>
        </w:rPr>
        <w:t>进社区活动15次，发放法治宣传资料10000余份，开展</w:t>
      </w:r>
      <w:r>
        <w:rPr>
          <w:rFonts w:hint="eastAsia" w:ascii="仿宋_GB2312" w:hAnsi="仿宋_GB2312" w:eastAsia="仿宋_GB2312" w:cs="仿宋_GB2312"/>
          <w:color w:val="auto"/>
          <w:sz w:val="32"/>
          <w:szCs w:val="32"/>
          <w:lang w:val="en-US" w:eastAsia="zh-CN"/>
        </w:rPr>
        <w:t>法律</w:t>
      </w:r>
      <w:r>
        <w:rPr>
          <w:rFonts w:hint="default" w:ascii="仿宋_GB2312" w:hAnsi="仿宋_GB2312" w:eastAsia="仿宋_GB2312" w:cs="仿宋_GB2312"/>
          <w:color w:val="auto"/>
          <w:sz w:val="32"/>
          <w:szCs w:val="32"/>
          <w:lang w:val="en-US" w:eastAsia="zh-CN"/>
        </w:rPr>
        <w:t>进军营活动3次，开展</w:t>
      </w:r>
      <w:r>
        <w:rPr>
          <w:rFonts w:hint="eastAsia" w:ascii="仿宋_GB2312" w:hAnsi="仿宋_GB2312" w:eastAsia="仿宋_GB2312" w:cs="仿宋_GB2312"/>
          <w:color w:val="auto"/>
          <w:sz w:val="32"/>
          <w:szCs w:val="32"/>
          <w:lang w:val="en-US" w:eastAsia="zh-CN"/>
        </w:rPr>
        <w:t>法律宣传</w:t>
      </w:r>
      <w:r>
        <w:rPr>
          <w:rFonts w:hint="default" w:ascii="仿宋_GB2312" w:hAnsi="仿宋_GB2312" w:eastAsia="仿宋_GB2312" w:cs="仿宋_GB2312"/>
          <w:color w:val="auto"/>
          <w:sz w:val="32"/>
          <w:szCs w:val="32"/>
          <w:lang w:val="en-US" w:eastAsia="zh-CN"/>
        </w:rPr>
        <w:t>进企业活动5次。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default" w:ascii="仿宋_GB2312" w:hAnsi="仿宋_GB2312" w:eastAsia="仿宋_GB2312" w:cs="仿宋_GB2312"/>
          <w:color w:val="auto"/>
          <w:sz w:val="32"/>
          <w:szCs w:val="32"/>
          <w:lang w:val="en-US" w:eastAsia="zh-CN"/>
        </w:rPr>
        <w:t>重点运用多种载体开展宣传。</w:t>
      </w:r>
      <w:r>
        <w:rPr>
          <w:rFonts w:hint="eastAsia" w:ascii="仿宋_GB2312" w:hAnsi="仿宋_GB2312" w:eastAsia="仿宋_GB2312" w:cs="仿宋_GB2312"/>
          <w:color w:val="auto"/>
          <w:sz w:val="32"/>
          <w:szCs w:val="32"/>
          <w:lang w:val="en-US" w:eastAsia="zh-CN"/>
        </w:rPr>
        <w:t>一是</w:t>
      </w:r>
      <w:r>
        <w:rPr>
          <w:rFonts w:hint="eastAsia" w:ascii="仿宋_GB2312" w:hAnsi="仿宋_GB2312" w:eastAsia="仿宋_GB2312" w:cs="仿宋_GB2312"/>
          <w:i w:val="0"/>
          <w:iCs w:val="0"/>
          <w:caps w:val="0"/>
          <w:color w:val="auto"/>
          <w:spacing w:val="0"/>
          <w:sz w:val="32"/>
          <w:szCs w:val="32"/>
          <w:shd w:val="clear" w:fill="FFFFFF"/>
          <w:lang w:val="en-US" w:eastAsia="zh-CN"/>
        </w:rPr>
        <w:t>印制宣传册、宣传彩页，</w:t>
      </w:r>
      <w:r>
        <w:rPr>
          <w:rFonts w:hint="eastAsia" w:ascii="仿宋_GB2312" w:hAnsi="仿宋_GB2312" w:eastAsia="仿宋_GB2312" w:cs="仿宋_GB2312"/>
          <w:color w:val="auto"/>
          <w:sz w:val="32"/>
          <w:szCs w:val="32"/>
          <w:lang w:val="en-US" w:eastAsia="zh-CN"/>
        </w:rPr>
        <w:t>制作宣传版面，在公共场所集中宣传，向广大群众宣传退役军人保障法、分发宣传册及彩页。二是在县退役军人服务大厅及退役军人服务窗口开展退役军人保障法、优待工作条例等专项法律法规的宣传。三是运用大屏幕进行宣传。五是开展大走访活动，将宣传送到退役老兵家中。六是组织送政策进军营活动，为部队官兵送去法律宣传，提升官兵的荣誉感和尊崇感，促进部队官兵坚定信心，扎根军营，担当奉献。七是全县共树立《退役军人保障法》、《安置条例》等政策法规宣传版面50余块、分发宣传册8000册，宣传彩页20000多份，营造了浓厚的宣传氛围。八是</w:t>
      </w:r>
      <w:r>
        <w:rPr>
          <w:rFonts w:hint="default" w:ascii="仿宋_GB2312" w:hAnsi="仿宋_GB2312" w:eastAsia="仿宋_GB2312" w:cs="仿宋_GB2312"/>
          <w:color w:val="auto"/>
          <w:sz w:val="32"/>
          <w:szCs w:val="32"/>
          <w:lang w:val="en-US" w:eastAsia="zh-CN"/>
        </w:rPr>
        <w:t>积极探索利用政务微信</w:t>
      </w:r>
      <w:r>
        <w:rPr>
          <w:rFonts w:hint="eastAsia" w:ascii="仿宋_GB2312" w:hAnsi="仿宋_GB2312" w:eastAsia="仿宋_GB2312" w:cs="仿宋_GB2312"/>
          <w:color w:val="auto"/>
          <w:sz w:val="32"/>
          <w:szCs w:val="32"/>
          <w:lang w:val="en-US" w:eastAsia="zh-CN"/>
        </w:rPr>
        <w:t>、公众号</w:t>
      </w:r>
      <w:r>
        <w:rPr>
          <w:rFonts w:hint="default" w:ascii="仿宋_GB2312" w:hAnsi="仿宋_GB2312" w:eastAsia="仿宋_GB2312" w:cs="仿宋_GB2312"/>
          <w:color w:val="auto"/>
          <w:sz w:val="32"/>
          <w:szCs w:val="32"/>
          <w:lang w:val="en-US" w:eastAsia="zh-CN"/>
        </w:rPr>
        <w:t>等新媒体开展法治宣传活动，发送手机短信200余条，微信1000余条。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（三）实现三个显著“增强”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一是法治意识显著增强。全局广大干部职工的法治素养明显增强，依法依规办事的自觉性进一步提高。二是合法合规意识显著增强。办理的案件，使用法律更准确，程序更规范、更高效。三是服务保障能力显著增强。始终坚持把</w:t>
      </w:r>
      <w:r>
        <w:rPr>
          <w:rFonts w:hint="eastAsia" w:ascii="仿宋_GB2312" w:hAnsi="仿宋_GB2312" w:eastAsia="仿宋_GB2312" w:cs="仿宋_GB2312"/>
          <w:color w:val="auto"/>
          <w:sz w:val="32"/>
          <w:szCs w:val="32"/>
          <w:lang w:val="en-US" w:eastAsia="zh-CN"/>
        </w:rPr>
        <w:t>法治建设</w:t>
      </w:r>
      <w:r>
        <w:rPr>
          <w:rFonts w:hint="default" w:ascii="仿宋_GB2312" w:hAnsi="仿宋_GB2312" w:eastAsia="仿宋_GB2312" w:cs="仿宋_GB2312"/>
          <w:color w:val="auto"/>
          <w:sz w:val="32"/>
          <w:szCs w:val="32"/>
          <w:lang w:val="en-US" w:eastAsia="zh-CN"/>
        </w:rPr>
        <w:t>工作作为推动依法行政、推动服务保障能力提升的一个重要抓手，加强政策解读工作，以政策服务为着力点，对退役军人事务系统的重大法规政策跟进宣传解读，及时帮助服务对象了解政策、用好政策，着力打通服务退役军人最后一公里，进一步提升了服务水平。</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四、2024年度推进法治政府建设</w:t>
      </w:r>
      <w:bookmarkStart w:id="0" w:name="_GoBack"/>
      <w:bookmarkEnd w:id="0"/>
      <w:r>
        <w:rPr>
          <w:rFonts w:hint="eastAsia" w:ascii="黑体" w:hAnsi="黑体" w:eastAsia="黑体" w:cs="黑体"/>
          <w:color w:val="auto"/>
          <w:sz w:val="32"/>
          <w:szCs w:val="32"/>
          <w:lang w:val="en-US" w:eastAsia="zh-CN"/>
        </w:rPr>
        <w:t>的主要工作安排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（一)强化组织领导</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继续建立健全组织机制，明确全局分工，并按照县政府和上级部门要求，结合部门实际，制定具体的计划措施。建立健全学法制度，强化法</w:t>
      </w:r>
      <w:r>
        <w:rPr>
          <w:rFonts w:hint="eastAsia" w:ascii="仿宋_GB2312" w:hAnsi="仿宋_GB2312" w:eastAsia="仿宋_GB2312" w:cs="仿宋_GB2312"/>
          <w:sz w:val="32"/>
          <w:szCs w:val="32"/>
          <w:lang w:val="en-US" w:eastAsia="zh-CN"/>
        </w:rPr>
        <w:t>治</w:t>
      </w:r>
      <w:r>
        <w:rPr>
          <w:rFonts w:hint="default" w:ascii="仿宋_GB2312" w:hAnsi="仿宋_GB2312" w:eastAsia="仿宋_GB2312" w:cs="仿宋_GB2312"/>
          <w:sz w:val="32"/>
          <w:szCs w:val="32"/>
          <w:lang w:val="en-US" w:eastAsia="zh-CN"/>
        </w:rPr>
        <w:t>宣传教育，加强法</w:t>
      </w:r>
      <w:r>
        <w:rPr>
          <w:rFonts w:hint="eastAsia" w:ascii="仿宋_GB2312" w:hAnsi="仿宋_GB2312" w:eastAsia="仿宋_GB2312" w:cs="仿宋_GB2312"/>
          <w:sz w:val="32"/>
          <w:szCs w:val="32"/>
          <w:lang w:val="en-US" w:eastAsia="zh-CN"/>
        </w:rPr>
        <w:t>治</w:t>
      </w:r>
      <w:r>
        <w:rPr>
          <w:rFonts w:hint="default" w:ascii="仿宋_GB2312" w:hAnsi="仿宋_GB2312" w:eastAsia="仿宋_GB2312" w:cs="仿宋_GB2312"/>
          <w:sz w:val="32"/>
          <w:szCs w:val="32"/>
          <w:lang w:val="en-US" w:eastAsia="zh-CN"/>
        </w:rPr>
        <w:t>培训和业务培训，进步提高全局干部职工依法行政工作能力。</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(二)完善决策机制</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继续完善法律顾问制度、重大行政决策机制、提升行政决策法治水平，全面提高工作人员法治思维和依法行政能力。加强规范性文件发布管理，确保行政决策合法有效。完善政务公开制度，及时主动公开各类政务信息。</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(三)深化法治教育</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深入贯彻习近平法治思想，以科学理论为指导，加强理论思维，不断从理论和实践的结合上取得新进展，总结好、运用好党关于新时代加强法治建设的思想理论成果。加大法律知识学习和法治意识培训，提升队伍整体素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b w:val="0"/>
          <w:bCs w:val="0"/>
          <w:color w:val="auto"/>
          <w:kern w:val="2"/>
          <w:sz w:val="32"/>
          <w:szCs w:val="32"/>
          <w:lang w:val="en-US" w:eastAsia="zh-CN" w:bidi="ar-SA"/>
        </w:rPr>
      </w:pPr>
      <w:r>
        <w:rPr>
          <w:rFonts w:hint="eastAsia" w:ascii="楷体" w:hAnsi="楷体" w:eastAsia="楷体" w:cs="楷体"/>
          <w:b w:val="0"/>
          <w:bCs w:val="0"/>
          <w:color w:val="auto"/>
          <w:kern w:val="2"/>
          <w:sz w:val="32"/>
          <w:szCs w:val="32"/>
          <w:lang w:val="en-US" w:eastAsia="zh-CN" w:bidi="ar-SA"/>
        </w:rPr>
        <w:t>（四）加大法治宣传力度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sz w:val="32"/>
          <w:szCs w:val="32"/>
          <w:shd w:val="clear" w:color="auto" w:fill="auto"/>
        </w:rPr>
      </w:pPr>
      <w:r>
        <w:rPr>
          <w:rFonts w:hint="eastAsia" w:ascii="仿宋_GB2312" w:hAnsi="仿宋_GB2312" w:eastAsia="仿宋_GB2312" w:cs="仿宋_GB2312"/>
          <w:b w:val="0"/>
          <w:bCs w:val="0"/>
          <w:sz w:val="32"/>
          <w:szCs w:val="32"/>
          <w:shd w:val="clear" w:color="auto" w:fill="auto"/>
        </w:rPr>
        <w:t>将</w:t>
      </w:r>
      <w:r>
        <w:rPr>
          <w:rFonts w:hint="eastAsia" w:ascii="仿宋_GB2312" w:hAnsi="仿宋_GB2312" w:eastAsia="仿宋_GB2312" w:cs="仿宋_GB2312"/>
          <w:b w:val="0"/>
          <w:bCs w:val="0"/>
          <w:sz w:val="32"/>
          <w:szCs w:val="32"/>
          <w:shd w:val="clear" w:color="auto" w:fill="auto"/>
          <w:lang w:eastAsia="zh-CN"/>
        </w:rPr>
        <w:t>法治宣传</w:t>
      </w:r>
      <w:r>
        <w:rPr>
          <w:rFonts w:hint="eastAsia" w:ascii="仿宋_GB2312" w:hAnsi="仿宋_GB2312" w:eastAsia="仿宋_GB2312" w:cs="仿宋_GB2312"/>
          <w:b w:val="0"/>
          <w:bCs w:val="0"/>
          <w:sz w:val="32"/>
          <w:szCs w:val="32"/>
          <w:shd w:val="clear" w:color="auto" w:fill="auto"/>
        </w:rPr>
        <w:t>与日常工作相结合，充分利用各种渠道向</w:t>
      </w:r>
      <w:r>
        <w:rPr>
          <w:rFonts w:hint="eastAsia" w:ascii="仿宋_GB2312" w:hAnsi="仿宋_GB2312" w:eastAsia="仿宋_GB2312" w:cs="仿宋_GB2312"/>
          <w:b w:val="0"/>
          <w:bCs w:val="0"/>
          <w:sz w:val="32"/>
          <w:szCs w:val="32"/>
          <w:shd w:val="clear" w:color="auto" w:fill="auto"/>
          <w:lang w:eastAsia="zh-CN"/>
        </w:rPr>
        <w:t>退役军人群体</w:t>
      </w:r>
      <w:r>
        <w:rPr>
          <w:rFonts w:hint="eastAsia" w:ascii="仿宋_GB2312" w:hAnsi="仿宋_GB2312" w:eastAsia="仿宋_GB2312" w:cs="仿宋_GB2312"/>
          <w:b w:val="0"/>
          <w:bCs w:val="0"/>
          <w:sz w:val="32"/>
          <w:szCs w:val="32"/>
          <w:shd w:val="clear" w:color="auto" w:fill="auto"/>
        </w:rPr>
        <w:t>广泛宣传</w:t>
      </w:r>
      <w:r>
        <w:rPr>
          <w:rFonts w:hint="eastAsia" w:ascii="仿宋_GB2312" w:hAnsi="仿宋_GB2312" w:eastAsia="仿宋_GB2312" w:cs="仿宋_GB2312"/>
          <w:b w:val="0"/>
          <w:bCs w:val="0"/>
          <w:sz w:val="32"/>
          <w:szCs w:val="32"/>
          <w:shd w:val="clear" w:color="auto" w:fill="auto"/>
          <w:lang w:eastAsia="zh-CN"/>
        </w:rPr>
        <w:t>相关政策和</w:t>
      </w:r>
      <w:r>
        <w:rPr>
          <w:rFonts w:hint="eastAsia" w:ascii="仿宋_GB2312" w:hAnsi="仿宋_GB2312" w:eastAsia="仿宋_GB2312" w:cs="仿宋_GB2312"/>
          <w:b w:val="0"/>
          <w:bCs w:val="0"/>
          <w:sz w:val="32"/>
          <w:szCs w:val="32"/>
          <w:shd w:val="clear" w:color="auto" w:fill="auto"/>
        </w:rPr>
        <w:t>法律法规，为推进依法行政和法治政府建设营造良好的社会氛围。</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sz w:val="32"/>
          <w:szCs w:val="32"/>
          <w:shd w:val="clear" w:color="auto" w:fill="auto"/>
        </w:rPr>
      </w:pPr>
    </w:p>
    <w:p>
      <w:pPr>
        <w:keepNext w:val="0"/>
        <w:keepLines w:val="0"/>
        <w:pageBreakBefore w:val="0"/>
        <w:kinsoku/>
        <w:wordWrap w:val="0"/>
        <w:overflowPunct/>
        <w:topLinePunct w:val="0"/>
        <w:autoSpaceDE/>
        <w:autoSpaceDN/>
        <w:bidi w:val="0"/>
        <w:adjustRightInd/>
        <w:snapToGrid/>
        <w:spacing w:line="580" w:lineRule="exact"/>
        <w:ind w:firstLine="640" w:firstLineChars="200"/>
        <w:jc w:val="right"/>
        <w:textAlignment w:val="auto"/>
        <w:rPr>
          <w:rFonts w:hint="default" w:ascii="仿宋_GB2312" w:hAnsi="仿宋_GB2312" w:eastAsia="仿宋_GB2312" w:cs="仿宋_GB2312"/>
          <w:b w:val="0"/>
          <w:bCs w:val="0"/>
          <w:sz w:val="32"/>
          <w:szCs w:val="32"/>
          <w:shd w:val="clear" w:color="auto" w:fill="auto"/>
          <w:lang w:val="en-US" w:eastAsia="zh-CN"/>
        </w:rPr>
      </w:pPr>
      <w:r>
        <w:rPr>
          <w:rFonts w:hint="eastAsia" w:ascii="仿宋_GB2312" w:hAnsi="仿宋_GB2312" w:eastAsia="仿宋_GB2312" w:cs="仿宋_GB2312"/>
          <w:sz w:val="32"/>
          <w:szCs w:val="32"/>
          <w:lang w:val="en-US" w:eastAsia="zh-CN"/>
        </w:rPr>
        <w:t xml:space="preserve">2024年2月        </w:t>
      </w:r>
    </w:p>
    <w:sectPr>
      <w:footerReference r:id="rId3" w:type="default"/>
      <w:pgSz w:w="11906" w:h="16838"/>
      <w:pgMar w:top="2154" w:right="1531" w:bottom="1984" w:left="1531" w:header="851" w:footer="136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jYzljNGY3ZTZlYjZmYzhmNjNjZDI2Njc4NGJlY2YifQ=="/>
    <w:docVar w:name="KSO_WPS_MARK_KEY" w:val="b2de8b51-b56b-4366-962a-b7238866a21d"/>
  </w:docVars>
  <w:rsids>
    <w:rsidRoot w:val="4F034C08"/>
    <w:rsid w:val="004F2C39"/>
    <w:rsid w:val="0882173B"/>
    <w:rsid w:val="1F147D30"/>
    <w:rsid w:val="1F371074"/>
    <w:rsid w:val="1FAE3C21"/>
    <w:rsid w:val="29B97123"/>
    <w:rsid w:val="35A97830"/>
    <w:rsid w:val="3A6A08B3"/>
    <w:rsid w:val="4F034C08"/>
    <w:rsid w:val="507006B6"/>
    <w:rsid w:val="55FE3268"/>
    <w:rsid w:val="56544F4C"/>
    <w:rsid w:val="568F7E33"/>
    <w:rsid w:val="5E442379"/>
    <w:rsid w:val="72D34D8A"/>
    <w:rsid w:val="7C1A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黑体" w:cs="Arial"/>
      <w:snapToGrid w:val="0"/>
      <w:color w:val="000000"/>
      <w:kern w:val="0"/>
      <w:sz w:val="32"/>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val="0"/>
      <w:adjustRightInd/>
      <w:snapToGrid/>
      <w:spacing w:after="120"/>
      <w:jc w:val="both"/>
    </w:pPr>
    <w:rPr>
      <w:rFonts w:ascii="Times New Roman" w:hAnsi="Times New Roman" w:eastAsia="宋体"/>
      <w:kern w:val="2"/>
      <w:sz w:val="21"/>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line="270" w:lineRule="atLeast"/>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1540</Words>
  <Characters>1568</Characters>
  <Lines>0</Lines>
  <Paragraphs>0</Paragraphs>
  <TotalTime>1</TotalTime>
  <ScaleCrop>false</ScaleCrop>
  <LinksUpToDate>false</LinksUpToDate>
  <CharactersWithSpaces>1570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2022-11-03T09:01:00Z</dcterms:created>
  <dc:creator>123456</dc:creator>
  <cp:lastModifiedBy>86177</cp:lastModifiedBy>
  <cp:lastPrinted>2022-11-04T03:45:00Z</cp:lastPrinted>
  <dcterms:modified xsi:type="dcterms:W3CDTF">2024-04-22T01:44:16Z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01ED9123559A4B88AC5C69B95FF5526C_13</vt:lpwstr>
  </property>
</Properties>
</file>