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lang w:val="en-US" w:eastAsia="zh-CN"/>
        </w:rPr>
        <w:t>鲁山县瀼河乡人民政府关于2023年法治政府建设情况的报告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  <w:lang w:val="en-US" w:eastAsia="zh-CN" w:bidi="ar"/>
        </w:rPr>
        <w:t>2023年，在县委县政府的坚强领导下，瀼河乡全面贯彻落实党中央和省、市、县关于法治建设的重大决策部署，自觉运用法治思维和法治方式深化改革、推动发展、化解矛盾维护稳定。现将2023年度法治政府建设工作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一、2023年度推进法治政府建设的主要举措和成效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（一）强化法治意识，提升法治工作水平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优化公共服务。大力推行“智能+政务服务”,规范的网上和实体大厅办理机制,打造“线上线下、虚实一体”互联贯通的政务服务平台。今年以来，新农合和养老金实现智能化缴费，群众在手机上缴费比率达到91%以上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创新社会治理。完善社会治安综合治理体制机制,全面落实领导责任制。强化“人防+技防”社会治安防控体系,有效防范管控影响社会安定的问题,保护人民群众生命财产安全。乡村两级巡逻队伍健全，实现了白天见警察，晚上见警灯常态化。2023年以来,乡信访办共调处案件80余起，办结率100%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重视人民调解工作。深入贯彻落实《中华人民共和国人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shd w:val="clear" w:color="auto" w:fill="auto"/>
          <w:lang w:val="en-US" w:eastAsia="zh-CN"/>
        </w:rPr>
        <w:t>民调解法》,加强对人民调解的指导支持,依法确认人民调解协议的法律效力。大力发展人民调解组织,实现乡村人民调解组织全覆盖,村级有调解员23人，乡级有专职调解员1人。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（二）严格执法程序，规范执法行为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建立责权明确、行为规范、运转协调、监督有效、保障有力的行政执法体制，坚持实行“办、审、定”三分离制度，按照“谁办理谁负责、谁审核谁负责、谁审批谁负责”的原则，进一步明确责权，落实责任；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行政执法人员全部办理了执法证件，并执证上岗；加强对司法、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环保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林业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、国土所等方面的行政执法管理工作，做到行政执法决定事实清楚，证据确凿充分，适用法律法规正确，程序合法，处罚公正合理；执法文书规范，案卷规范、完整。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（三）推行政务公开，建设阳光政府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切实抓好政务公开。成立了以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党委书记付红杰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为组长的政务公开工作领导小组，保证了政务公开工作的顺利进行。在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级平台，主要抓好政务公开栏建设，及时更新政务公开栏目信息，及时在市县政务信息网发布政务信息。在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直部门，着力抓好部门办事流程、收费项目的信息公开，进一步增加政府工作透明度，方便群众来访办事。大力推进“阳光村务工程”建设，为各村统一制作了宣传橱窗和宣传栏。以建立村务监督委员会为重点，成立村务监督委员会，确保村级公共权力阳光规范运行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认真做好行政复议答复和行政诉讼案件应诉工作，严格执行行政首长行政诉讼出庭应诉制度。今年以来我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无行政复议答复和行政诉讼应诉案件。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按照《信访条例》规定依法办理信访案件。今年以来，我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着力稳控，及时消除了个别重大信访隐患，上访总量和次数比去年同比明显下降。群众满意度显著提高。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四是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认真搞好全国法治宣传日等各项法治宣传活动，并及时向上级报送法治信息。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（四）加强执法监督，落实责任考核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实加强对行政行为的监督。认真做好规范性文件的审查备案工作，做到有件必备、有备必审、有错必纠。在制发文件的过程中，坚持凡内容涉及到公民、法人及其他组织权利义务的规范性文件，严格进行合法性审核和报备案，同时定期对规范性文件进行清理和审查，确保了规范性文件的时效性、稳定性、严肃性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切实加强对行政行为的监督。一方面注重以群众监督为重点的舆论监督，在具体行政行为实施过程中，畅通信访渠道，认真听取群众的意见和建议；另一方面加强以人大监督为主体的法律监督。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健全完善监督考核机制。将法治政府建设工作纳入责任制考核。建立了政府考核与群众评议相结合、法治政府建设考核与政绩考核相结合的责任考核机制，加大对行政机关工作人员的考核监督力度，对违反规定的执法人员，按照有关规定严肃追究其责任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（五）抓好执法培训，提升依法理念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为提高执法水平，树立服务观念，促进效能建设，我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立了执法部门学习制度，采取自学为主集中学习为辅的学习方式，重点对《行政处罚法》《行政复议法》等行政执法方面的法律法规和政策规定进行常规性学习，使干部在具体操作中能够熟练运用有关法律、法规和政策。同时，积极参加行政执法人员岗位培训和考核，着力提高行政执法人员的整体素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加强法治宣传，推进依法治理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强化公务人员和村两委法治学习，落实党委中心组学法制度，规范领导干部学法，组织机关干部和村委干部进行相关法律知识考试，进一步提升全体党员、干部和广大群众知法、懂法、守法和利用法律维护自己合法权益的能力。注重抓好“谁执法谁普法”工作的落实，联合多个部门在“3.8妇女节”、“3.15国际消费者权益保障日”和“6.26禁毒日”，“12.4国家宪法日暨全国法治宣传日”等重要时间节点法治宣传和相关法规政策咨询活动20余场次。根据辖区各村的情况，积极开展民主法治村创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二、2023年度推进法治政府建设存在的不足和原因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总结回顾我乡一年来的法治政府建设工作，虽然取得了一定成绩，但与期望相比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，还有一定差距，在社会事业发展中出现的一些热点、难点问题还没有得到很好的解决，主要表现在：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1.基层工作繁杂。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工作头绪繁多，涉足甚广，但是由于处事职权不配套，缺乏管理指挥、处理具体事务的职权，影响了统筹协调和管理职能的发挥。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2.法治素养还不够高。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在法治素养构成上，乡、村两级干部拥有法律专业的干部不多，有的村两委组成成员中没有法律专业的干部，法律人才的缺乏影响了法治政府建设的推进。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三、2023年度党政主要负责人履行推进法治建设第一责任人职责的情况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（一）加强组织领导，完善规章制度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以乡党委书记为组长,乡长为常务副组长的法治政府建设工作领导小组,切实加强对创建工作的领导。形成主要领导亲自抓,分管领导具体抓,相关站办室、各村配合抓的工作局面。领导小组下设办公室,专职负责创建工作的组织实施、督促检查和强化制度建设,确保职能发挥到位。按照《鲁山县助力平顶山市创建全国法治政府建设示范市宣传活动方案》要求,完善各项工作制度,促进职能作用的发挥;制定工作规划,将各项工作任务分解到相关单位,层层压紧压实责任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将法治政府建设任务与经济社会发展任务同部署、同检查、同落实、同考核。逐步建立健全了行政管理责任制度、政务公开制度、行政过错责任追究制度等相关工作制度。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（二）认真执行民主集中制，提高依法决策水平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坚持依法治乡，将法治理念贯穿党委、政府工作的全过程，弘扬社会主义法治理念和法治精神。积极推进政府法律顾问制度，充分发挥政府法律顾问的法律专业优势。严格规范文明执法，大力推行政务公开，自觉接受群众依法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四、2024年度推进法治政府建设的主要工作安排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（一）强化法律意识，提高行政执法水平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只有提高全民的法律意识，才能自觉遵守与执行法律；只有提高全体行政机关工作人员的法律意识，才能做到法治政府建设。因此，必须加强法治宣传教育，加强执法队伍建设。对公民来说，通过普法宣传教育，使他们知法、懂法、守法、增强法律意识，通过法律手段维护自己的合法权益，对行政机关工作人员的违法行政要加以批评、抵制，纠正违法行政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（二）进一步理顺体制，切实规范行政行为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按照条块结合、适当分权、便于执法、讲求实效的思路，理顺行政执法体制。各行政执法主体要以现行的法律法规为依据，明确其在行政执法方面的权力义务；要从领导机关到基层执法部门、从领导者到一般执法人员，逐步建立执法岗位责任制，分解落实行政执法任务，定期、逐级逐人、严肃认真、实事求是地进行考核，并将考核结果与公务员制度考核挂钩；各行政执法主体要建立健全内部管理的配套制度，严格实行错案追究制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（三）进一步深化改革，不断提高行政执法队伍的整体素质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提高行政机关执法队伍的整体素质，直接关系到法治政府建设的实现。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加强对行政执法队伍的思想政治建设，牢固树立马克思主义世界观、人生观、价值观，自觉地贯彻依法治国方略，自觉地推行法治政府建设；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要努力提高行政执法队伍的业务素质。要有针对性、经常性、多渠道地对行政执法人员进行业培训，定期、不定期地进行考核，促进行政执法人员必学、爱学、勤学业务，提高业务素质和实际工作能力；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要坚持“公开、平等、竞争、择优”的原则，健全对行政执法人员的奖惩制度，形成“能者上、平者让、庸者下、劣者汰”的良好机制。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（四）提高机关效能，改善机关作风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基层政府以开放透明的办公形式，快捷、高效的工作节奏，热情周到的服务态度，带动和促进了区域经济建设软环境的改善和优化。同时关心人民群众切身利益，沟通了民意，凝聚了人心，提升了人气，化解了部分社会矛盾，密切了政府同人民群众的血肉联系，为建立廉洁高效政府奠定基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（五）进一步强化监督，努力形成有效的行政监督机制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制定切实可行的人大监督法规，使监督内容、程度及后果明确清晰，便于操作，有效落实。党的监督、司法机关的监督、社会团体的监督、人民群众以及新闻媒体的监督都要充分发挥应有的作用，对各级各类行政机关行政行为依法实施监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（六）定期开展法治教育培训丰富学习内容和形式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组织旁听典型案例判决，强化法纪意识；开设法律讲堂，邀请法律顾问授课，注重学法用法能力培养，提高法治思维创新能力。丰富法治宣传方式，以人民群众喜闻乐见的方式进行普法，要接地气，让人民群众意识到法律的重要性，营造浓厚的法治氛围，努力使社会主义法治观念更加深入人心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鲁山县瀼河乡人民政府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right="0"/>
        <w:jc w:val="righ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2024年2月        </w:t>
      </w:r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mRlNzBhMWY3MzRkZjM3NjM4ZDgyNjkxM2E1NDcifQ=="/>
    <w:docVar w:name="KSO_WPS_MARK_KEY" w:val="d3a81018-b969-49c0-adf2-a5f652baa841"/>
  </w:docVars>
  <w:rsids>
    <w:rsidRoot w:val="4EC04D86"/>
    <w:rsid w:val="00A70567"/>
    <w:rsid w:val="054144F3"/>
    <w:rsid w:val="069C40D7"/>
    <w:rsid w:val="0D9A4364"/>
    <w:rsid w:val="11716160"/>
    <w:rsid w:val="156A14D0"/>
    <w:rsid w:val="204869A6"/>
    <w:rsid w:val="276D0A55"/>
    <w:rsid w:val="288F0792"/>
    <w:rsid w:val="343926B5"/>
    <w:rsid w:val="3BC82016"/>
    <w:rsid w:val="3C8B3CCA"/>
    <w:rsid w:val="402C57A2"/>
    <w:rsid w:val="440A7BCA"/>
    <w:rsid w:val="448E0C96"/>
    <w:rsid w:val="44953938"/>
    <w:rsid w:val="4565330A"/>
    <w:rsid w:val="48D77AA7"/>
    <w:rsid w:val="4C827C94"/>
    <w:rsid w:val="4EC04D86"/>
    <w:rsid w:val="53305B60"/>
    <w:rsid w:val="5799049A"/>
    <w:rsid w:val="58150BC0"/>
    <w:rsid w:val="591C7D2C"/>
    <w:rsid w:val="5A0C7DA1"/>
    <w:rsid w:val="5AD654AB"/>
    <w:rsid w:val="5D46181B"/>
    <w:rsid w:val="601C4AB5"/>
    <w:rsid w:val="61CB4807"/>
    <w:rsid w:val="6BC8789F"/>
    <w:rsid w:val="6BEA2B9B"/>
    <w:rsid w:val="70E62CA2"/>
    <w:rsid w:val="71246EC2"/>
    <w:rsid w:val="72195CC6"/>
    <w:rsid w:val="74A82061"/>
    <w:rsid w:val="7A293706"/>
    <w:rsid w:val="7B4E7DC1"/>
    <w:rsid w:val="7B6A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afterLines="0" w:line="600" w:lineRule="exact"/>
      <w:ind w:firstLine="420"/>
    </w:pPr>
    <w:rPr>
      <w:rFonts w:ascii="Calibri" w:hAnsi="Calibri" w:eastAsia="宋体" w:cs="Times New Roman"/>
      <w:bCs/>
      <w:sz w:val="30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Calibri" w:hAnsi="Calibri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标题 3 Char"/>
    <w:link w:val="4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3720</Words>
  <Characters>3768</Characters>
  <Lines>0</Lines>
  <Paragraphs>0</Paragraphs>
  <TotalTime>2</TotalTime>
  <ScaleCrop>false</ScaleCrop>
  <LinksUpToDate>false</LinksUpToDate>
  <CharactersWithSpaces>3779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2023-12-05T06:56:00Z</dcterms:created>
  <dc:creator>哈哈giao</dc:creator>
  <cp:lastModifiedBy>86177</cp:lastModifiedBy>
  <cp:lastPrinted>2023-12-07T08:01:00Z</cp:lastPrinted>
  <dcterms:modified xsi:type="dcterms:W3CDTF">2024-04-01T01:31:29Z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AE199C6A0F1544F690EBA3C270C0C88D_13</vt:lpwstr>
  </property>
</Properties>
</file>