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仿宋_GB2312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鲁山县城市管理局关于2023年法治政府建设情况的报告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仿宋_GB2312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今年以来，在县委、县政府的正确领导下，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鲁山县城市管理局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切实履行推进法治建设职责，坚持以习近平新时代中国特色社会主义思想为指导，深入贯彻习近平法治思想和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二十大</w:t>
      </w:r>
      <w:r>
        <w:rPr>
          <w:rFonts w:hint="eastAsia" w:ascii="仿宋_GB2312" w:hAnsi="仿宋_GB2312" w:eastAsia="仿宋_GB2312" w:cs="仿宋_GB2312"/>
          <w:sz w:val="32"/>
          <w:szCs w:val="32"/>
        </w:rPr>
        <w:t>重要精神，不断推进法治政府建设，认真落实法治建设各项工作措施，改进工作方法，创新工作思路，坚持以人民为中心，全面落实依法行政各项目标任务，着力提升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城市管理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系统依法行政能力，现将2023年法治建设情况报告如下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0" w:leftChars="0" w:firstLine="64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2023年度推进法治政府建设的主要举措和成效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（一）完善法治工作机制，加强依法行政领导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把法治建设工作列入重要议事日程，我局成立了法治政府建设领导小组，明确主要领导为第一责任人，明确责任，落实工作。制订依法行政工作计划、方案，召开依法行政工作会议，研究部署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全局年度依法行政工作任务，做到有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部署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、有检查、有总结，形成依法行政工作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一把手亲自抓、分管领导具体抓、业务科室协同抓”，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全局干部职工积极参与的工作格局。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（二）强化普法教育宣传，推动法治入脑入心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机关股室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局属各单位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，结合党的群众路线教育实践活动，做好“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五”普法宣传教育工作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省、市、县等组织的各类法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治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宣传活动。制作宣传标语、宣传标牌，通过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网络</w:t>
      </w:r>
      <w:r>
        <w:rPr>
          <w:rFonts w:hint="eastAsia" w:ascii="仿宋_GB2312" w:hAnsi="仿宋_GB2312" w:eastAsia="仿宋_GB2312" w:cs="仿宋_GB2312"/>
          <w:sz w:val="32"/>
          <w:szCs w:val="32"/>
        </w:rPr>
        <w:t>等形式宣传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《平顶山市城市市容和环境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卫生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管理条例》、《城市生活垃圾管理办法》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等与城市管理工作相关的法律法规，</w:t>
      </w:r>
      <w:r>
        <w:rPr>
          <w:rFonts w:hint="eastAsia" w:ascii="仿宋_GB2312" w:hAnsi="仿宋_GB2312" w:eastAsia="仿宋_GB2312" w:cs="仿宋_GB2312"/>
          <w:sz w:val="32"/>
          <w:szCs w:val="32"/>
        </w:rPr>
        <w:t>引导广大群众增强守法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观念</w:t>
      </w:r>
      <w:r>
        <w:rPr>
          <w:rFonts w:hint="eastAsia" w:ascii="仿宋_GB2312" w:hAnsi="仿宋_GB2312" w:eastAsia="仿宋_GB2312" w:cs="仿宋_GB2312"/>
          <w:sz w:val="32"/>
          <w:szCs w:val="32"/>
        </w:rPr>
        <w:t>和用法意识，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“4.15”全民国家安全日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5月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美好生活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.民法典相伴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宣传月、“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”环境保护日、“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6.14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”信用记录关爱日、信访工作条例宣传、“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宪法宣传周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等时间节点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法治宣传主题活动，</w:t>
      </w:r>
      <w:r>
        <w:rPr>
          <w:rFonts w:hint="eastAsia" w:ascii="仿宋_GB2312" w:hAnsi="仿宋_GB2312" w:eastAsia="仿宋_GB2312" w:cs="仿宋_GB2312"/>
          <w:sz w:val="32"/>
          <w:szCs w:val="32"/>
        </w:rPr>
        <w:t>共同营造尊法学法守法用法的社会氛围。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向市民</w:t>
      </w:r>
      <w:r>
        <w:rPr>
          <w:rFonts w:hint="eastAsia" w:ascii="仿宋_GB2312" w:hAnsi="仿宋_GB2312" w:eastAsia="仿宋_GB2312" w:cs="仿宋_GB2312"/>
          <w:sz w:val="32"/>
          <w:szCs w:val="32"/>
        </w:rPr>
        <w:t>发放宣传单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6000余</w:t>
      </w:r>
      <w:r>
        <w:rPr>
          <w:rFonts w:hint="eastAsia" w:ascii="仿宋_GB2312" w:hAnsi="仿宋_GB2312" w:eastAsia="仿宋_GB2312" w:cs="仿宋_GB2312"/>
          <w:sz w:val="32"/>
          <w:szCs w:val="32"/>
        </w:rPr>
        <w:t>份、宣传展示牌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个、“一封信”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3000</w:t>
      </w:r>
      <w:r>
        <w:rPr>
          <w:rFonts w:hint="eastAsia" w:ascii="仿宋_GB2312" w:hAnsi="仿宋_GB2312" w:eastAsia="仿宋_GB2312" w:cs="仿宋_GB2312"/>
          <w:sz w:val="32"/>
          <w:szCs w:val="32"/>
        </w:rPr>
        <w:t>余份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、悬挂宣传条幅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15条，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我们通过悬挂横幅、摆放展板、发放宣传资料等方式向市民普及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知识，受到了广大市民的一致好评。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（三）组织人员法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治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培训，提升执法规范能力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法治教育培训。制定了《2023年法治教育学习培训计划》和《行政处罚文书制作使用规范（暂行）》，对在职执法人员通过采用集中学习、邀请法律专业人士授课和业务指导、行政执法考试等灵活多样的学习形式，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《中华人民共和国行政处罚法》《住房和城乡建设行政处罚程序规定》等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相关法律法规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2023年开展法治教育培训考试10余次。通过培训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提高执法人员的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法律知识和执法能力</w:t>
      </w:r>
      <w:r>
        <w:rPr>
          <w:rFonts w:hint="eastAsia" w:ascii="仿宋_GB2312" w:hAnsi="仿宋_GB2312" w:eastAsia="仿宋_GB2312" w:cs="仿宋_GB2312"/>
          <w:sz w:val="32"/>
          <w:szCs w:val="32"/>
        </w:rPr>
        <w:t>。对案件认定的违法事实、调查的证据、适用的依据、办案的程序、作出的决定、执行的结果、卷宗的整理等，进行评议分析，摆出问题、指出不足、找出差距，明确完善目标，使行政处罚案件的办理严格按照制度执行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规范执法文书制作。通过培训学习重点强调执法队员要全面准确把握各项要素，要严格按照行政执法案件案卷制作流程、规范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填写执法文书、装订顺序执行，要正确适用法律，程序合法合规，语言严谨规范，确保执法文书的制作质量。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梳理执法、规范依据。编印了《城市管理行政执法法律法规汇编》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《行政执法文书指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导规范》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《城市管理综合执法手册》等</w:t>
      </w:r>
      <w:r>
        <w:rPr>
          <w:rFonts w:hint="eastAsia" w:ascii="仿宋_GB2312" w:hAnsi="仿宋_GB2312" w:eastAsia="仿宋_GB2312" w:cs="仿宋_GB2312"/>
          <w:sz w:val="32"/>
          <w:szCs w:val="32"/>
        </w:rPr>
        <w:t>各类规范化执法文书，印刷执法文书1500余份，统一发放一线执法人员使用。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模拟执法大演练。结合市局《平顶山市城市综合执法系统县（市、区）城市综合执法工作考核方案》和局年度法治教育学习培训计划，制定了《鲁山县城市管理局现场模拟执法演练工作方案》，于6月下旬开展现场模拟执法演练活动，以实践促学习、以实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促提升，实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现管理水平大提升，队伍形象大提升。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（四）强化决策规范建设，加强法制审核机制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认真做好行政处罚案件的立案、审核工作，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对每一起处罚案件进行认真审核把关，真正做到事实清楚、依据准确、程序合法、处罚适当。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全年共办理行政处罚一般程序案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（扬尘污染类2起、规划类5起、住建类4起、市容类1起），无一起行政复议、行政诉讼案件。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根据鲁山县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纪委办公室文件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（鲁纪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办〔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号）《关于涉企行政执法突出问题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专项监督工作的通知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县城市管理局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在2021年1月1日至2023年3月31日期间办结的涉企行政执法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案件共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16起案件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了自查自纠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查找问题根源，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研究具体的整改措施，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健全</w:t>
      </w:r>
      <w:r>
        <w:rPr>
          <w:rFonts w:hint="eastAsia" w:ascii="仿宋_GB2312" w:hAnsi="仿宋_GB2312" w:eastAsia="仿宋_GB2312" w:cs="仿宋_GB2312"/>
          <w:sz w:val="32"/>
          <w:szCs w:val="32"/>
        </w:rPr>
        <w:t>相应管理制度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执法证件年审和行政执法资格认证考试工作。对全局行政执法人员的126个行政执法证和2个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行政执法监督证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件进行了资格审查，同时按照县司法局文件要求，组织持有执法证件人员进行专业法律知识考试和执法证件年审工作。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（五）建立健全决策机制，加强执法监管规范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积极推进行政决策科学化民主化法治化，实行法律顾问制度，每年都从律师事务所聘请专业律师作为我局的法律顾问，我局的重大决策以及规范性文件都要经过法律顾问审核。建立健全了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《鲁山县城市管理局法律顾问工作制度》，为我局的法制审核工作作保障。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严格落实行政执法“三项制度”，推进执法规范化建设。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及时调整、完善权力清单、责任清单。按照“职权法定、简政放权、权责一致、依法确责、公开透明”的原则，制定了《</w:t>
      </w:r>
      <w:r>
        <w:rPr>
          <w:rFonts w:hint="eastAsia" w:ascii="仿宋_GB2312" w:hAnsi="仿宋_GB2312" w:eastAsia="仿宋_GB2312" w:cs="仿宋_GB2312"/>
          <w:sz w:val="32"/>
          <w:szCs w:val="32"/>
        </w:rPr>
        <w:t>鲁山县城市管理局权力清单和责任清单统计表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》，并进行公示。以制度执行为保障，做好规范性文件专项清理和规范政策文件制定程序，进步完善健全行政决策程序，坚持依法行政，坚持民主集中制，认真落实行政权力责任清单。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实施“双随机、一公开”。加强事中事后监管,提高监管的有效性。按照工作要求，加大督查和考核力度，将“双随机,一公开”工作情况列入督办事项和行政执法责任制考核目标。并对行政执法事项进行抽查，抽查占比达100%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0" w:leftChars="0" w:firstLine="64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2023年度推进法治政府建设存在的不足和原因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我局明确工作重心，压实工作责任，有效落实举措，法治政府建设工作有条不紊地开展，但仍然存在一些问题，主要表现在：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制度建立还不够完善。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行政执法能力和水平有待进一步提高。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法治宣传的形式和内容还需要进一步创新和丰富。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一些具体工作完成后没有及时在网上公开发布。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0" w:leftChars="0" w:firstLine="64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2023年度党政主要负责人履行推进法治建设第一责任人职责的情况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强化领导责任，提供组织保障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强化组织领导，不断加大投入，健全制度建设，确保“三到位”。确保责任到位。成立以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党组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书记为组长、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党组成员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为副组长，各相关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室、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二级机构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单位负责人为成员的法治建设工作领导小组，形成主要领导负责抓，分管领导具体抓，相关部门配合抓的工作局面。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制定法治政府建设年度工作安排，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按照法治政府建设指导思想和基本原则,深入贯彻落实上级实施方案,抓住法治政府建设的关键环节和“关键少数”,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将法治政府建设纳入班子会议，每季度我局至少召开一次专题会议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切实解决当前依法行政面临的突出问题,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依法全面履行政府职能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改革行政执法体制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完善行政执法程序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创新行政执法方式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健全行政执法人员管理制度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注重通过法治实践提高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执法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人员法治思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维和依法行政能力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（二）加强自身学习，增强法治意识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深入学习贯彻习近平依法治国系列讲话和法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治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思想重要论述，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贯彻落实习近平总书记关于法治建设的重要指示，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紧密结合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中央、省委、市委、县委关于法治建设重要部署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组织开展法治宣传主题教育活动。结合城管执法工作，通过媒体广泛宣传，通过对每次专项整治行动的跟踪报道，以案释法、说理式执法、现场宣讲等多种形式和渠道，开展执法宣传教育，在群众中营造知法、懂法、守法的浓厚舆论氛围，引导市民自觉遵守城市管理法律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并且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日常学习城市管理有关的法律法规，加强自身法治意识，自觉遵守党内法规制度。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（三）顺应法治要求，推行服务执法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深入推进服务型行政执法建设，提升我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服务型行政执法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highlight w:val="none"/>
          <w:shd w:val="clear" w:fill="FFFFFF"/>
        </w:rPr>
        <w:t>创建质量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，加快建设人民满意的法治政府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坚持制度保障。进一步规范行政许可、行政处罚等执法行为。加快建设以执法有据、行为规范、权力约束、过程监控、违法追究为主要内容的行政执法责任制度体系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。保证执法规范化、文明化。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（四）坚持依法行政，提升监管能力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按照简政放权、放管结合、优化服务的总体工作部署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全面落实三项制度。明确责任领导、责任股室和主责人员对行政执法公示制度、执法全过程记录制度、重大执法决定法制审核制度等三项制度进行梳理论证，制订执法主体、职责、权限、依据、程序事项清单，确保制度有效落地、落实。对标国家推行“三项制度”各项任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制定《鲁山县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城市管理局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关于全面推行行政执法公示、执法全过程记录、重大执法决定法制审核三项制度实施方案》，提出具体工作要求，做到分工明确、责任到位。强化执法督察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明确城市管理工作主体责任，落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实工作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推进责任。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完善城市管理执法监督机制，做到管理服务职能明晰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对城市管理工作开展跟踪督办。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建立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以能力作风建设为抓手，进一步强化执法工作行为检查，严肃执法纪律，切实实现文明执法、柔性执法、温情执法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（五）完善监督机制，拓宽反馈渠道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完善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行政执法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监督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制度，畅通投诉举报渠道，充分保障行政相对人和社会公众的知情权和监督权，进一步提升行政执法的规范化水平和社会满意度。畅通多种渠道，多措并举做好矛盾化解工作，指定专人专线接听群众来电，接受群众投诉举报及申诉，通过数字化城管热线形式倾听市民的需求，妥善推进矛盾纠纷化解。</w:t>
      </w:r>
      <w:r>
        <w:rPr>
          <w:rStyle w:val="6"/>
          <w:rFonts w:hint="eastAsia" w:ascii="仿宋_GB2312" w:hAnsi="仿宋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坚持督查整改，确保落实到位。</w:t>
      </w:r>
      <w:r>
        <w:rPr>
          <w:rFonts w:hint="eastAsia" w:ascii="仿宋_GB2312" w:hAnsi="仿宋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对群众关心、社会关注与群众利益息息相关的问题进行监督，排查法治建设中的突出问题，及时提出建设性的整改意见，并督促整改到位。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（六）开展法治学习，提升执法能力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深入开展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教育学习培训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活动，把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法律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法规内容列入年度学习计划，明确局党组学法范围和具体内容，党组带头学法用法，依法行政。执法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人员每月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在局会议室集中学法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次，组织全体干部职工、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执法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人员进行法律知识集中培训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学习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城市管理相关的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法律法规，广泛宣传城市管理法律主要内容，促进管理工作有效顺利开展。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学法用法考法方面，我局全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体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执法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人员参加了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法律培训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考试活动，全部通过测试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严格落实普法责任制，坚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持执法、管理、服务全过程普法制度，利用以案说法、以案普法、以案学法、以案释法等方式普及法律知识，引导群众自觉守法、遇事找法、解决问题靠法。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四、2024年度推进法治政府建设的主要工作安排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将持续深化法治政府建设，严格遵守法律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，把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执法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工作全面纳入法治轨道。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健全制度，做到依法科学民主决策。推行行政执法责任制和执法过错责任追究制，解决执法不公、执法不严等问题，为推动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发展提供有力的法治保障。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加强执法队伍管理，严格实行持证上岗和资格管理制度，健全纪律约束机制，针对当前法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治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工作中存在的重点、疑点、难点问题，要及时组织培训，加强业务交流和学习，进而提高法制队伍的业务素质和工作能力。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创新法治宣传教育形式和内容，提高宣传教育的实效性和针对性。采用更加多样化的宣传形式和内容，针对不同群体和需求进行宣传教育，提高宣传教育的吸引力和实效性。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畅通民意诉求渠道，加强行政复议应诉能力建设。深入推进政务公开和信息公开，让行政权力在法治轨道上公开透明运行。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总之，我们将认真总结上一年度推进法治政府建设存在的不足和原因，采取有效措施加以改进和提高，为鲁山县的城市管理工作做出更大的贡献。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2024年2月        </w:t>
      </w:r>
    </w:p>
    <w:p/>
    <w:sectPr>
      <w:footerReference r:id="rId3" w:type="default"/>
      <w:pgSz w:w="11906" w:h="16838"/>
      <w:pgMar w:top="2098" w:right="1587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32"/>
        <w:szCs w:val="3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167F4A"/>
    <w:multiLevelType w:val="singleLevel"/>
    <w:tmpl w:val="05167F4A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iMmRlNzBhMWY3MzRkZjM3NjM4ZDgyNjkxM2E1NDcifQ=="/>
    <w:docVar w:name="KSO_WPS_MARK_KEY" w:val="8ba8f4d8-842e-4a48-ab92-83be82e575f0"/>
  </w:docVars>
  <w:rsids>
    <w:rsidRoot w:val="374B2AE0"/>
    <w:rsid w:val="02E37940"/>
    <w:rsid w:val="0AED4091"/>
    <w:rsid w:val="1F442D95"/>
    <w:rsid w:val="374B2AE0"/>
    <w:rsid w:val="633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2024-03-26T07:04:00Z</dcterms:created>
  <dc:creator>热情不减</dc:creator>
  <cp:lastModifiedBy>86177</cp:lastModifiedBy>
  <dcterms:modified xsi:type="dcterms:W3CDTF">2024-03-29T07:56:57Z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295E50569B9141EDBEAB8DB2F4F57BFA_13</vt:lpwstr>
  </property>
</Properties>
</file>