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A4F3D">
      <w:pPr>
        <w:keepNext w:val="0"/>
        <w:keepLines w:val="0"/>
        <w:pageBreakBefore w:val="0"/>
        <w:widowControl w:val="0"/>
        <w:kinsoku/>
        <w:wordWrap/>
        <w:overflowPunct/>
        <w:topLinePunct w:val="0"/>
        <w:autoSpaceDE/>
        <w:autoSpaceDN/>
        <w:bidi w:val="0"/>
        <w:adjustRightInd/>
        <w:snapToGrid w:val="0"/>
        <w:spacing w:line="579" w:lineRule="exact"/>
        <w:ind w:right="0"/>
        <w:jc w:val="both"/>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val="en-US" w:eastAsia="zh-CN"/>
        </w:rPr>
        <w:t>磙子营乡</w:t>
      </w:r>
      <w:r>
        <w:rPr>
          <w:rFonts w:hint="eastAsia" w:ascii="Times New Roman" w:hAnsi="Times New Roman" w:eastAsia="方正小标宋简体" w:cs="Times New Roman"/>
          <w:snapToGrid/>
          <w:kern w:val="2"/>
          <w:sz w:val="44"/>
          <w:szCs w:val="24"/>
          <w:lang w:eastAsia="zh-CN"/>
        </w:rPr>
        <w:t>经营性自建房“带险经营”专项整治</w:t>
      </w:r>
    </w:p>
    <w:p w14:paraId="75886B31">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eastAsia="zh-CN"/>
        </w:rPr>
        <w:t>工作方案（</w:t>
      </w:r>
      <w:r>
        <w:rPr>
          <w:rFonts w:hint="eastAsia" w:ascii="Times New Roman" w:hAnsi="Times New Roman" w:eastAsia="方正小标宋简体" w:cs="Times New Roman"/>
          <w:snapToGrid/>
          <w:kern w:val="2"/>
          <w:sz w:val="44"/>
          <w:szCs w:val="24"/>
          <w:lang w:val="en-US" w:eastAsia="zh-CN"/>
        </w:rPr>
        <w:t>征求意见稿</w:t>
      </w:r>
      <w:r>
        <w:rPr>
          <w:rFonts w:hint="eastAsia" w:ascii="Times New Roman" w:hAnsi="Times New Roman" w:eastAsia="方正小标宋简体" w:cs="Times New Roman"/>
          <w:snapToGrid/>
          <w:kern w:val="2"/>
          <w:sz w:val="44"/>
          <w:szCs w:val="24"/>
          <w:lang w:eastAsia="zh-CN"/>
        </w:rPr>
        <w:t>）</w:t>
      </w:r>
    </w:p>
    <w:p w14:paraId="7561DB95">
      <w:pPr>
        <w:keepNext w:val="0"/>
        <w:keepLines w:val="0"/>
        <w:pageBreakBefore w:val="0"/>
        <w:wordWrap/>
        <w:overflowPunct/>
        <w:topLinePunct w:val="0"/>
        <w:bidi w:val="0"/>
        <w:spacing w:line="579" w:lineRule="exact"/>
        <w:ind w:left="0" w:leftChars="0" w:right="0" w:firstLine="980" w:firstLineChars="200"/>
        <w:jc w:val="both"/>
        <w:rPr>
          <w:rFonts w:hint="eastAsia" w:ascii="仿宋_GB2312" w:hAnsi="仿宋_GB2312" w:eastAsia="仿宋_GB2312" w:cs="仿宋_GB2312"/>
          <w:spacing w:val="5"/>
          <w:sz w:val="48"/>
          <w:szCs w:val="48"/>
          <w:lang w:val="en-US" w:eastAsia="zh-CN"/>
        </w:rPr>
      </w:pPr>
    </w:p>
    <w:p w14:paraId="515AAD48">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为深刻涉取沈丘县“2·14”民房浴池局部垮塌事故教训，全面贯彻落实省、市、县工作安排，消除我乡辖区内各类人员密集、公众聚集经营性自建房安全隐患，杜绝“带险经营”行为，做好合规经营，切实保障人民群众生命财产安全，结合我乡实际，制定本方案。</w:t>
      </w:r>
    </w:p>
    <w:p w14:paraId="52CBE0A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一、总体要求</w:t>
      </w:r>
    </w:p>
    <w:p w14:paraId="27D7A04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村责任，坚决做到“带险不经营、经营不带险”，遏制房屋倒塌伤人事故发生。</w:t>
      </w:r>
    </w:p>
    <w:p w14:paraId="6204DF3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二、主要任务</w:t>
      </w:r>
    </w:p>
    <w:p w14:paraId="5C98B7D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（一）排查内容。</w:t>
      </w:r>
      <w:r>
        <w:rPr>
          <w:rFonts w:hint="eastAsia" w:ascii="仿宋" w:hAnsi="仿宋" w:eastAsia="仿宋" w:cs="仿宋"/>
          <w:snapToGrid/>
          <w:kern w:val="2"/>
          <w:sz w:val="32"/>
          <w:szCs w:val="32"/>
          <w:lang w:val="en-US" w:eastAsia="zh-CN"/>
        </w:rPr>
        <w:t>重点排查人员密集、公众聚集的经营性自建房，主要排查：结构安全性，包括设计、施工、使用等情况；经营安全性，重点检查经营许可取得情况和场所安全要求落实情况；建设合规性，全面排查土地、规划、建设等审批手续办理情况。</w:t>
      </w:r>
    </w:p>
    <w:p w14:paraId="255C57A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（二）排查方式。</w:t>
      </w:r>
      <w:r>
        <w:rPr>
          <w:rFonts w:hint="eastAsia" w:ascii="仿宋" w:hAnsi="仿宋" w:eastAsia="仿宋" w:cs="仿宋"/>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乡镇全面核查，最后由县、乡（镇）二级进行随机抽查，确保排查工作全覆盖、无遗漏。</w:t>
      </w:r>
    </w:p>
    <w:p w14:paraId="4E25DCE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（三）分级整治。</w:t>
      </w:r>
      <w:r>
        <w:rPr>
          <w:rFonts w:hint="eastAsia" w:ascii="仿宋" w:hAnsi="仿宋" w:eastAsia="仿宋" w:cs="仿宋"/>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开展“回头看”复核，发现问题立即整改；对前期未发现隐患的，要加强日常巡查，确保隐患早发现、早处置。</w:t>
      </w:r>
    </w:p>
    <w:p w14:paraId="7166B88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（四）安全鉴定。</w:t>
      </w:r>
      <w:r>
        <w:rPr>
          <w:rFonts w:hint="eastAsia" w:ascii="仿宋" w:hAnsi="仿宋" w:eastAsia="仿宋" w:cs="仿宋"/>
          <w:snapToGrid/>
          <w:kern w:val="2"/>
          <w:sz w:val="32"/>
          <w:szCs w:val="32"/>
          <w:lang w:val="en-US" w:eastAsia="zh-CN"/>
        </w:rPr>
        <w:t>自建房转为经营用途的，产权人（使用人）在办理相关经营许可、开展经营活动前，应当依法依规取得房屋安全鉴定合格证明。</w:t>
      </w:r>
      <w:r>
        <w:rPr>
          <w:rFonts w:hint="eastAsia" w:ascii="仿宋" w:hAnsi="仿宋" w:eastAsia="仿宋" w:cs="仿宋"/>
          <w:b w:val="0"/>
          <w:bCs w:val="0"/>
          <w:snapToGrid/>
          <w:color w:val="auto"/>
          <w:kern w:val="2"/>
          <w:sz w:val="32"/>
          <w:szCs w:val="32"/>
          <w:lang w:val="en-US" w:eastAsia="zh-CN"/>
        </w:rPr>
        <w:t>各乡（镇、街道、中心）</w:t>
      </w:r>
      <w:r>
        <w:rPr>
          <w:rFonts w:hint="eastAsia" w:ascii="仿宋" w:hAnsi="仿宋" w:eastAsia="仿宋" w:cs="仿宋"/>
          <w:snapToGrid/>
          <w:kern w:val="2"/>
          <w:sz w:val="32"/>
          <w:szCs w:val="32"/>
          <w:lang w:val="en-US" w:eastAsia="zh-CN"/>
        </w:rPr>
        <w:t>及相关行业主管部门，应督导产权人（使用人）开展房屋安全鉴定。安全鉴定为B级以上的，产权人（使用人）要加强日常维护；鉴定为C、D级的，要通报行业主管部门，责令停业整改，整治完成后方可恢复经营。</w:t>
      </w:r>
    </w:p>
    <w:p w14:paraId="1529691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三、工作步骤</w:t>
      </w:r>
    </w:p>
    <w:p w14:paraId="2444940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color w:val="000000" w:themeColor="text1"/>
          <w:kern w:val="2"/>
          <w:sz w:val="32"/>
          <w:szCs w:val="32"/>
          <w:lang w:val="en-US" w:eastAsia="zh-CN"/>
          <w14:textFill>
            <w14:solidFill>
              <w14:schemeClr w14:val="tx1"/>
            </w14:solidFill>
          </w14:textFill>
        </w:rPr>
      </w:pPr>
      <w:r>
        <w:rPr>
          <w:rFonts w:hint="eastAsia" w:ascii="仿宋" w:hAnsi="仿宋" w:eastAsia="仿宋" w:cs="仿宋"/>
          <w:b w:val="0"/>
          <w:bCs w:val="0"/>
          <w:snapToGrid/>
          <w:kern w:val="2"/>
          <w:sz w:val="32"/>
          <w:szCs w:val="32"/>
          <w:lang w:val="en-US" w:eastAsia="zh-CN"/>
        </w:rPr>
        <w:t>（一）动员部署阶段（2025年2月28日至3月31日）。</w:t>
      </w:r>
      <w:r>
        <w:rPr>
          <w:rFonts w:hint="eastAsia" w:ascii="仿宋" w:hAnsi="仿宋" w:eastAsia="仿宋" w:cs="仿宋"/>
          <w:b w:val="0"/>
          <w:bCs w:val="0"/>
          <w:snapToGrid/>
          <w:color w:val="000000" w:themeColor="text1"/>
          <w:kern w:val="2"/>
          <w:sz w:val="32"/>
          <w:szCs w:val="32"/>
          <w:lang w:val="en-US" w:eastAsia="zh-CN"/>
          <w14:textFill>
            <w14:solidFill>
              <w14:schemeClr w14:val="tx1"/>
            </w14:solidFill>
          </w14:textFill>
        </w:rPr>
        <w:t>县自建房安全专项整治工作专班成员单位</w:t>
      </w:r>
      <w:r>
        <w:rPr>
          <w:rFonts w:hint="eastAsia" w:ascii="仿宋" w:hAnsi="仿宋" w:eastAsia="仿宋" w:cs="仿宋"/>
          <w:snapToGrid/>
          <w:color w:val="000000" w:themeColor="text1"/>
          <w:kern w:val="2"/>
          <w:sz w:val="32"/>
          <w:szCs w:val="32"/>
          <w:lang w:val="en-US" w:eastAsia="zh-CN"/>
          <w14:textFill>
            <w14:solidFill>
              <w14:schemeClr w14:val="tx1"/>
            </w14:solidFill>
          </w14:textFill>
        </w:rPr>
        <w:t>要根据本方案要求，结合各自实际，制定具体实施方案，开展全面动员部署。工作方案和联系人名单于3月18日前报县专班。</w:t>
      </w:r>
    </w:p>
    <w:p w14:paraId="16F05C6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（二）排查整治阶段（2025年4月1日至5月31日）。</w:t>
      </w:r>
      <w:r>
        <w:rPr>
          <w:rFonts w:hint="eastAsia" w:ascii="仿宋" w:hAnsi="仿宋" w:eastAsia="仿宋" w:cs="仿宋"/>
          <w:snapToGrid/>
          <w:kern w:val="2"/>
          <w:sz w:val="32"/>
          <w:szCs w:val="32"/>
          <w:lang w:val="en-US" w:eastAsia="zh-CN"/>
        </w:rPr>
        <w:t>各行政村、乡直各单位及相关行业主管部门可依托在鲁备案的房屋安全鉴定机构及技术专家开展专业排查，形成排查台账和整改台账，实行“一户一策”清单管理，确保隐患整治到位。</w:t>
      </w:r>
    </w:p>
    <w:p w14:paraId="13C9BB23">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（三）总结评估阶段（2025年6月1日至6月28日）。</w:t>
      </w:r>
      <w:r>
        <w:rPr>
          <w:rFonts w:hint="eastAsia" w:ascii="仿宋" w:hAnsi="仿宋" w:eastAsia="仿宋" w:cs="仿宋"/>
          <w:snapToGrid/>
          <w:kern w:val="2"/>
          <w:sz w:val="32"/>
          <w:szCs w:val="32"/>
          <w:lang w:val="en-US" w:eastAsia="zh-CN"/>
        </w:rPr>
        <w:t>各行政村、乡直各单位及相关行业主管部门任务完成后上报排查整治工作总结，包括开展的工作、详细台账，住房城乡建设部门牵头组织评估、通报有关情况。</w:t>
      </w:r>
    </w:p>
    <w:p w14:paraId="4E0FA46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四、保障措施</w:t>
      </w:r>
    </w:p>
    <w:p w14:paraId="3949373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（一）加强组织领导。</w:t>
      </w:r>
      <w:r>
        <w:rPr>
          <w:rFonts w:hint="eastAsia" w:ascii="仿宋" w:hAnsi="仿宋" w:eastAsia="仿宋" w:cs="仿宋"/>
          <w:snapToGrid/>
          <w:kern w:val="2"/>
          <w:sz w:val="32"/>
          <w:szCs w:val="32"/>
          <w:lang w:val="en-US" w:eastAsia="zh-CN"/>
        </w:rPr>
        <w:t>整治工作实行省级统筹、市县负总责、乡村抓落实的工作机制。各行政村、乡直各单位</w:t>
      </w:r>
      <w:r>
        <w:rPr>
          <w:rFonts w:hint="eastAsia" w:ascii="仿宋" w:hAnsi="仿宋" w:eastAsia="仿宋" w:cs="仿宋"/>
          <w:b w:val="0"/>
          <w:bCs w:val="0"/>
          <w:snapToGrid/>
          <w:color w:val="auto"/>
          <w:kern w:val="2"/>
          <w:sz w:val="32"/>
          <w:szCs w:val="32"/>
          <w:lang w:val="en-US" w:eastAsia="zh-CN"/>
        </w:rPr>
        <w:t>及相关行业主管部门</w:t>
      </w:r>
      <w:r>
        <w:rPr>
          <w:rFonts w:hint="eastAsia" w:ascii="仿宋" w:hAnsi="仿宋" w:eastAsia="仿宋" w:cs="仿宋"/>
          <w:snapToGrid/>
          <w:kern w:val="2"/>
          <w:sz w:val="32"/>
          <w:szCs w:val="32"/>
          <w:lang w:val="en-US" w:eastAsia="zh-CN"/>
        </w:rPr>
        <w:t>要切实履行职责，制定实施方案，进行动员部署，明确工作任务和责任分工，抓紧抓实各项整治工作落实。</w:t>
      </w:r>
    </w:p>
    <w:p w14:paraId="33862F0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（二）压实各方责任。</w:t>
      </w:r>
      <w:r>
        <w:rPr>
          <w:rFonts w:hint="eastAsia" w:ascii="仿宋" w:hAnsi="仿宋" w:eastAsia="仿宋" w:cs="仿宋"/>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行业主管部门要严格落实监管责任，各行政村、乡直各单位要严格落实管理责任。</w:t>
      </w:r>
    </w:p>
    <w:p w14:paraId="07F1D68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（三）加强技术支撑。乡</w:t>
      </w:r>
      <w:r>
        <w:rPr>
          <w:rFonts w:hint="eastAsia" w:ascii="仿宋" w:hAnsi="仿宋" w:eastAsia="仿宋" w:cs="仿宋"/>
          <w:snapToGrid/>
          <w:kern w:val="2"/>
          <w:sz w:val="32"/>
          <w:szCs w:val="32"/>
          <w:lang w:val="en-US" w:eastAsia="zh-CN"/>
        </w:rPr>
        <w:t>自建房安全专项整治工作领导小组要加强业务指导和技术保障，严格规范鉴定机构鉴定行为。依据《河南省住房和城乡建设厅关于做好房屋安全鉴定管理有关工作的通知》（豫建质安〔2022〕114号）要求，积极遴选并推荐符合条件在鲁备案的鉴定机构。</w:t>
      </w:r>
    </w:p>
    <w:p w14:paraId="4C8A84C8">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（四）强化督查指导。</w:t>
      </w:r>
      <w:r>
        <w:rPr>
          <w:rFonts w:hint="eastAsia" w:ascii="仿宋" w:hAnsi="仿宋" w:eastAsia="仿宋" w:cs="仿宋"/>
          <w:snapToGrid/>
          <w:kern w:val="2"/>
          <w:sz w:val="32"/>
          <w:szCs w:val="32"/>
          <w:lang w:val="en-US" w:eastAsia="zh-CN"/>
        </w:rPr>
        <w:t>将此次整治情况纳入全乡安全生产工作年度考核重点内容，严肃查处排查整治不严、不细、不实，甚至走过场等问题。</w:t>
      </w:r>
    </w:p>
    <w:p w14:paraId="24FC2F8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napToGrid/>
          <w:kern w:val="2"/>
          <w:sz w:val="32"/>
          <w:szCs w:val="32"/>
          <w:lang w:val="en-US" w:eastAsia="zh-CN"/>
        </w:rPr>
        <w:t>（五）强化宣传教育。</w:t>
      </w:r>
      <w:r>
        <w:rPr>
          <w:rFonts w:hint="eastAsia" w:ascii="仿宋" w:hAnsi="仿宋" w:eastAsia="仿宋" w:cs="仿宋"/>
          <w:snapToGrid/>
          <w:kern w:val="2"/>
          <w:sz w:val="32"/>
          <w:szCs w:val="32"/>
          <w:lang w:val="en-US" w:eastAsia="zh-CN"/>
        </w:rPr>
        <w:t xml:space="preserve">采取多种形式广泛开展房屋建筑安全宣传教育，普及房屋安全使用常识，引导全社会强化房屋安全意识。   </w:t>
      </w:r>
    </w:p>
    <w:p w14:paraId="504F04F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为保障此项工作顺利开展，</w:t>
      </w:r>
      <w:r>
        <w:rPr>
          <w:rFonts w:hint="eastAsia" w:ascii="仿宋_GB2312" w:hAnsi="仿宋_GB2312" w:eastAsia="仿宋_GB2312" w:cs="仿宋_GB2312"/>
          <w:sz w:val="32"/>
          <w:szCs w:val="32"/>
        </w:rPr>
        <w:t>经乡党委、政府研究决定，</w:t>
      </w:r>
      <w:r>
        <w:rPr>
          <w:rFonts w:hint="eastAsia" w:ascii="仿宋_GB2312" w:hAnsi="仿宋_GB2312" w:eastAsia="仿宋_GB2312" w:cs="仿宋_GB2312"/>
          <w:sz w:val="32"/>
          <w:szCs w:val="32"/>
          <w:lang w:val="en-US" w:eastAsia="zh-CN"/>
        </w:rPr>
        <w:t>成立磙子营乡自建房安全专项整治工作领导小组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现将领导小组名单通知如下：</w:t>
      </w:r>
      <w:bookmarkStart w:id="0" w:name="_GoBack"/>
      <w:bookmarkEnd w:id="0"/>
    </w:p>
    <w:p w14:paraId="737C17E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华润和   党委副书记、乡长</w:t>
      </w:r>
    </w:p>
    <w:p w14:paraId="49D840B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 组 长</w:t>
      </w:r>
      <w:r>
        <w:rPr>
          <w:rFonts w:hint="eastAsia" w:ascii="仿宋_GB2312" w:hAnsi="仿宋_GB2312" w:eastAsia="仿宋_GB2312" w:cs="仿宋_GB2312"/>
          <w:sz w:val="32"/>
          <w:szCs w:val="32"/>
        </w:rPr>
        <w:t>：李宁科   党委委员、人大主席</w:t>
      </w:r>
    </w:p>
    <w:p w14:paraId="0B44632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杨广耀   党委副书记、政法委员</w:t>
      </w:r>
    </w:p>
    <w:p w14:paraId="10E8EA4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于斐斐   党委委员、纪委书记</w:t>
      </w:r>
    </w:p>
    <w:p w14:paraId="24F88C0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李砖头   党委委员、武装部长</w:t>
      </w:r>
    </w:p>
    <w:p w14:paraId="6510422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李文须   主任科员</w:t>
      </w:r>
    </w:p>
    <w:p w14:paraId="5DAF1098">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徐亚洲   副乡长</w:t>
      </w:r>
    </w:p>
    <w:p w14:paraId="25C13B13">
      <w:pPr>
        <w:pStyle w:val="3"/>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袁文璨   综合执法</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长</w:t>
      </w:r>
    </w:p>
    <w:p w14:paraId="2979316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员：李  刚   党政办主任</w:t>
      </w:r>
    </w:p>
    <w:p w14:paraId="733B93A2">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林秋坤   纪委副书记 </w:t>
      </w:r>
    </w:p>
    <w:p w14:paraId="099C379A">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朱庆伟   财政所所长 </w:t>
      </w:r>
    </w:p>
    <w:p w14:paraId="25FCE99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杜  杰   社保所所长 </w:t>
      </w:r>
    </w:p>
    <w:p w14:paraId="7748C90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姬  川   卫生院院长 </w:t>
      </w:r>
    </w:p>
    <w:p w14:paraId="16A0662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宁广铎   乡村振兴办主任  </w:t>
      </w:r>
    </w:p>
    <w:p w14:paraId="4137CDAE">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邵振华   应急办主任</w:t>
      </w:r>
    </w:p>
    <w:p w14:paraId="2791CAD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邵朝阳   文化、广播、旅游中心主任</w:t>
      </w:r>
    </w:p>
    <w:p w14:paraId="4667FD28">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燕  三   军人退役事务站站长</w:t>
      </w:r>
    </w:p>
    <w:p w14:paraId="66B2B7A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褚亚武   国土资源所所长</w:t>
      </w:r>
    </w:p>
    <w:p w14:paraId="33130B6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邵建军   村镇规划中心主任 </w:t>
      </w:r>
    </w:p>
    <w:p w14:paraId="265C5B7F">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韩大杰   </w:t>
      </w:r>
      <w:r>
        <w:rPr>
          <w:rFonts w:hint="eastAsia" w:ascii="仿宋_GB2312" w:hAnsi="仿宋_GB2312" w:eastAsia="仿宋_GB2312" w:cs="仿宋_GB2312"/>
          <w:sz w:val="32"/>
          <w:szCs w:val="32"/>
          <w:lang w:val="en-US" w:eastAsia="zh-CN"/>
        </w:rPr>
        <w:t>市场监督所</w:t>
      </w:r>
      <w:r>
        <w:rPr>
          <w:rFonts w:hint="eastAsia" w:ascii="仿宋_GB2312" w:hAnsi="仿宋_GB2312" w:eastAsia="仿宋_GB2312" w:cs="仿宋_GB2312"/>
          <w:sz w:val="32"/>
          <w:szCs w:val="32"/>
        </w:rPr>
        <w:t>所长</w:t>
      </w:r>
    </w:p>
    <w:p w14:paraId="6F1B13A1">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军   环保所所长</w:t>
      </w:r>
    </w:p>
    <w:p w14:paraId="5108F90D">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rPr>
      </w:pPr>
      <w:r>
        <w:rPr>
          <w:rFonts w:hint="eastAsia" w:ascii="仿宋_GB2312" w:hAnsi="仿宋_GB2312" w:eastAsia="仿宋_GB2312" w:cs="仿宋_GB2312"/>
          <w:sz w:val="32"/>
          <w:szCs w:val="32"/>
        </w:rPr>
        <w:t>余江涛   派出所所长</w:t>
      </w:r>
    </w:p>
    <w:p w14:paraId="2287507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赵中辉   民政所所长</w:t>
      </w:r>
    </w:p>
    <w:p w14:paraId="3BB7718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史全杰   农业服务中心主任</w:t>
      </w:r>
    </w:p>
    <w:p w14:paraId="16A67BBB">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贾二战   中心校校长</w:t>
      </w:r>
    </w:p>
    <w:p w14:paraId="0AE7A3E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蔺国义   水利站站长 </w:t>
      </w:r>
    </w:p>
    <w:p w14:paraId="5A7D1653">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升   社会综合治理中心主任</w:t>
      </w:r>
    </w:p>
    <w:p w14:paraId="0A63BC8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司忠民   司法所所长 </w:t>
      </w:r>
    </w:p>
    <w:p w14:paraId="26E45C1D">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default" w:eastAsia="仿宋_GB2312"/>
          <w:lang w:val="en-US" w:eastAsia="zh-CN"/>
        </w:rPr>
      </w:pPr>
      <w:r>
        <w:rPr>
          <w:rFonts w:hint="eastAsia" w:ascii="仿宋_GB2312" w:hAnsi="仿宋_GB2312" w:eastAsia="仿宋_GB2312" w:cs="仿宋_GB2312"/>
          <w:sz w:val="32"/>
          <w:szCs w:val="32"/>
        </w:rPr>
        <w:t xml:space="preserve">暴  克   信访办主任 </w:t>
      </w:r>
    </w:p>
    <w:p w14:paraId="25834B1B">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李占伟   洼陈党总支书记</w:t>
      </w:r>
    </w:p>
    <w:p w14:paraId="37A89B7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方   中心党总支书记</w:t>
      </w:r>
    </w:p>
    <w:p w14:paraId="0229955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田广亮   石岭党总支书记</w:t>
      </w:r>
    </w:p>
    <w:p w14:paraId="0ED9BC43">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王延周   白炼堂党总支书记</w:t>
      </w:r>
    </w:p>
    <w:p w14:paraId="701966A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陈海峰   </w:t>
      </w:r>
      <w:r>
        <w:rPr>
          <w:rFonts w:hint="eastAsia" w:ascii="仿宋_GB2312" w:hAnsi="仿宋_GB2312" w:eastAsia="仿宋_GB2312" w:cs="仿宋_GB2312"/>
          <w:sz w:val="32"/>
          <w:szCs w:val="32"/>
        </w:rPr>
        <w:t>杨林党总支书记</w:t>
      </w:r>
    </w:p>
    <w:p w14:paraId="2E9B540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单晓央   柳林党总支书记</w:t>
      </w:r>
    </w:p>
    <w:p w14:paraId="173EFFA6">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段国朝   </w:t>
      </w:r>
      <w:r>
        <w:rPr>
          <w:rFonts w:hint="eastAsia" w:ascii="仿宋_GB2312" w:hAnsi="仿宋_GB2312" w:eastAsia="仿宋_GB2312" w:cs="仿宋_GB2312"/>
          <w:sz w:val="32"/>
          <w:szCs w:val="32"/>
        </w:rPr>
        <w:t>孙街党总支书记</w:t>
      </w:r>
    </w:p>
    <w:p w14:paraId="4483565E">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邵红涛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大尹庄党总支书记</w:t>
      </w:r>
    </w:p>
    <w:p w14:paraId="4B4D8E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领导小组下设办公室，办公室设在乡村镇</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办公室，由</w:t>
      </w:r>
      <w:r>
        <w:rPr>
          <w:rFonts w:hint="eastAsia" w:ascii="仿宋_GB2312" w:hAnsi="仿宋_GB2312" w:eastAsia="仿宋_GB2312" w:cs="仿宋_GB2312"/>
          <w:sz w:val="32"/>
          <w:szCs w:val="32"/>
          <w:lang w:val="en-US" w:eastAsia="zh-CN"/>
        </w:rPr>
        <w:t>邵建军</w:t>
      </w:r>
      <w:r>
        <w:rPr>
          <w:rFonts w:hint="eastAsia" w:ascii="仿宋_GB2312" w:hAnsi="仿宋_GB2312" w:eastAsia="仿宋_GB2312" w:cs="仿宋_GB2312"/>
          <w:sz w:val="32"/>
          <w:szCs w:val="32"/>
        </w:rPr>
        <w:t>同志担任办公室主任。</w:t>
      </w:r>
    </w:p>
    <w:p w14:paraId="66CA27B5">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p>
    <w:p w14:paraId="2C67460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snapToGrid/>
          <w:kern w:val="2"/>
          <w:sz w:val="32"/>
          <w:szCs w:val="32"/>
          <w:lang w:val="en-US" w:eastAsia="zh-CN"/>
        </w:rPr>
      </w:pPr>
    </w:p>
    <w:p w14:paraId="332423F1">
      <w:pPr>
        <w:pStyle w:val="9"/>
        <w:keepNext w:val="0"/>
        <w:keepLines w:val="0"/>
        <w:pageBreakBefore w:val="0"/>
        <w:wordWrap/>
        <w:overflowPunct/>
        <w:topLinePunct w:val="0"/>
        <w:bidi w:val="0"/>
        <w:spacing w:after="0" w:line="579" w:lineRule="exact"/>
        <w:ind w:left="0" w:leftChars="0" w:right="0" w:firstLine="640" w:firstLineChars="200"/>
        <w:jc w:val="right"/>
        <w:rPr>
          <w:rFonts w:hint="eastAsia" w:ascii="方正仿宋_GBK" w:hAnsi="方正仿宋_GBK" w:eastAsia="方正仿宋_GBK" w:cs="方正仿宋_GBK"/>
          <w:color w:val="FF0000"/>
          <w:sz w:val="32"/>
          <w:szCs w:val="32"/>
          <w:lang w:val="en-US" w:eastAsia="zh-CN"/>
        </w:rPr>
      </w:pPr>
    </w:p>
    <w:p w14:paraId="55255F6D">
      <w:pPr>
        <w:rPr>
          <w:rFonts w:hint="eastAsia"/>
          <w:lang w:val="en-US" w:eastAsia="zh-CN"/>
        </w:rPr>
      </w:pPr>
    </w:p>
    <w:sectPr>
      <w:pgSz w:w="11906" w:h="16838"/>
      <w:pgMar w:top="1984" w:right="1474" w:bottom="198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6E8D"/>
    <w:rsid w:val="00672A3B"/>
    <w:rsid w:val="17103E6C"/>
    <w:rsid w:val="172C01C8"/>
    <w:rsid w:val="1EB7650A"/>
    <w:rsid w:val="38877CAA"/>
    <w:rsid w:val="486111D3"/>
    <w:rsid w:val="56812246"/>
    <w:rsid w:val="63E46773"/>
    <w:rsid w:val="763E6E8D"/>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footer"/>
    <w:basedOn w:val="1"/>
    <w:qFormat/>
    <w:uiPriority w:val="0"/>
    <w:pPr>
      <w:snapToGrid w:val="0"/>
      <w:jc w:val="left"/>
    </w:pPr>
    <w:rPr>
      <w:sz w:val="18"/>
    </w:rPr>
  </w:style>
  <w:style w:type="paragraph" w:styleId="7">
    <w:name w:val="footnote text"/>
    <w:basedOn w:val="1"/>
    <w:next w:val="2"/>
    <w:unhideWhenUsed/>
    <w:qFormat/>
    <w:uiPriority w:val="99"/>
    <w:pPr>
      <w:snapToGrid w:val="0"/>
      <w:spacing w:after="200" w:line="276" w:lineRule="auto"/>
      <w:jc w:val="left"/>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2"/>
    <w:basedOn w:val="4"/>
    <w:next w:val="1"/>
    <w:qFormat/>
    <w:uiPriority w:val="0"/>
    <w:pPr>
      <w:ind w:firstLine="420" w:firstLineChars="200"/>
    </w:pPr>
    <w:rPr>
      <w:rFonts w:ascii="Times New Roman" w:hAnsi="Times New Roman" w:eastAsia="宋体" w:cs="Times New Roman"/>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2368</Words>
  <Characters>2409</Characters>
  <Lines>0</Lines>
  <Paragraphs>0</Paragraphs>
  <TotalTime>3</TotalTime>
  <ScaleCrop>false</ScaleCrop>
  <LinksUpToDate>false</LinksUpToDate>
  <CharactersWithSpaces>2636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a追梦</cp:lastModifiedBy>
  <dcterms:modified xsi:type="dcterms:W3CDTF">2025-06-16T04:48:13Z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2E82FE31E51543E49AB3D96B8CF90489_13</vt:lpwstr>
  </property>
  <property fmtid="{D5CDD505-2E9C-101B-9397-08002B2CF9AE}" pid="4" name="KSOTemplateDocerSaveRecord">
    <vt:lpwstr>eyJoZGlkIjoiZDJkMGU5Y2Y3ZDdhN2M1OWZkYmM5MWI0MWVmZTQ2NWMiLCJ1c2VySWQiOiIzODAyMTQ3MjAifQ==</vt:lpwstr>
  </property>
</Properties>
</file>