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  <w:shd w:val="clear" w:fill="F9F9F9"/>
        </w:rPr>
      </w:pPr>
      <w:r>
        <w:rPr>
          <w:rFonts w:hint="eastAsia" w:ascii="黑体" w:hAnsi="黑体" w:eastAsia="黑体" w:cs="黑体"/>
          <w:sz w:val="44"/>
          <w:szCs w:val="44"/>
          <w:shd w:val="clear" w:fill="F9F9F9"/>
        </w:rPr>
        <w:t>鲁山县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val="en-US" w:eastAsia="zh-CN"/>
        </w:rPr>
        <w:t>住房和城乡建设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>局关于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val="en-US" w:eastAsia="zh-CN"/>
        </w:rPr>
        <w:t>尧山文化广场地下停车场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>项目地方政府债券存续期</w:t>
      </w:r>
      <w:r>
        <w:rPr>
          <w:rFonts w:hint="eastAsia" w:ascii="黑体" w:hAnsi="黑体" w:eastAsia="黑体" w:cs="黑体"/>
          <w:sz w:val="44"/>
          <w:szCs w:val="44"/>
          <w:shd w:val="clear" w:fill="F9F9F9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shd w:val="clear" w:fill="F9F9F9"/>
        </w:rPr>
        <w:t xml:space="preserve">情况 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债券资金总体情况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截至2023年底，尧山文化广场地下停车场项目共申请专项债券1900万元,实际批复到位资金1900万元，年限15年。地方政府专项债券2021年第八批，发行1900万元，票面利率 4.5%，当年付息，期末一次还本，不考虑资金筹集费用。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专项债券项目基本情况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（一）项目基本情况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鲁山县尧山文化广场地下停车场项目，位于鲁山县老城区中心区域，西邻向阳路，南邻老城大街，东临建设中的尧山文化广场商业综合体，北侧现状为多层民宅。用地面积约 2088 平方米（3.13 亩），地下两层，总建筑面积 3842 平方米。机动车停车位共 118 辆 ，建设内容包括地下停车场建设工程、地面广场绿化及配套工程。尧山文化广场地下停车场项目总投资估算为 2436.10 万元。拟申请政府专项债券资金 1900 万元，剩余部分资金由县财政配套解决。</w:t>
      </w:r>
    </w:p>
    <w:p>
      <w:pPr>
        <w:numPr>
          <w:ilvl w:val="0"/>
          <w:numId w:val="2"/>
        </w:numPr>
        <w:ind w:left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债券资金使用情况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截止2023年12月31日，项目专项债资金已使用1109.86万元，使用率为58.41%。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项目进展及运营情况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地下两层的顶板已浇筑完毕，正在进行回填方施工，已完成总体工程量的85%。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专项债券项目收益及对应资产情况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截止2023年底，该项目还未建成产生收益，所支付的资金全部纳入在建工程。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>绩效评价情况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32"/>
          <w:szCs w:val="32"/>
          <w:shd w:val="clear" w:fill="F9F9F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9F9F9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 xml:space="preserve"> 本单位政府债券已按规定开展绩效评价工作，尧山文化广场地下停车场项目绩效评价结果为良。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right"/>
        <w:rPr>
          <w:rFonts w:hint="default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9F9F9"/>
          <w:lang w:val="en-US" w:eastAsia="zh-CN"/>
        </w:rPr>
        <w:t>2024年6月13日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A3CE0"/>
    <w:multiLevelType w:val="singleLevel"/>
    <w:tmpl w:val="0E2A3C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B18514"/>
    <w:multiLevelType w:val="singleLevel"/>
    <w:tmpl w:val="18B185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g4NzA4ZmUzM2E2Zjg4MTFjYzQxZTc5NjE5N2QifQ=="/>
  </w:docVars>
  <w:rsids>
    <w:rsidRoot w:val="00000000"/>
    <w:rsid w:val="09D32344"/>
    <w:rsid w:val="34CA7642"/>
    <w:rsid w:val="3CB10962"/>
    <w:rsid w:val="4F724E47"/>
    <w:rsid w:val="7F8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586</Characters>
  <Lines>0</Lines>
  <Paragraphs>0</Paragraphs>
  <TotalTime>47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2023-06-16T09:58:00Z</dcterms:created>
  <dc:creator>Administrator</dc:creator>
  <cp:lastModifiedBy>奇石</cp:lastModifiedBy>
  <dcterms:modified xsi:type="dcterms:W3CDTF">2024-06-13T02:39:23Z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9A53D37751C54F89AC104107E32D813D_13</vt:lpwstr>
  </property>
</Properties>
</file>