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3"/>
        <w:tabs>
          <w:tab w:val="left" w:pos="7560"/>
        </w:tabs>
        <w:jc w:val="center"/>
        <w:outlineLvl w:val="0"/>
        <w:rPr>
          <w:rFonts w:ascii="Times New Roman" w:hAnsi="Times New Roman"/>
          <w:b/>
          <w:bCs/>
          <w:snapToGrid w:val="0"/>
          <w:color w:val="000000" w:themeColor="text1"/>
          <w:sz w:val="30"/>
          <w:szCs w:val="30"/>
          <w14:textFill>
            <w14:solidFill>
              <w14:schemeClr w14:val="tx1"/>
            </w14:solidFill>
          </w14:textFill>
        </w:rPr>
      </w:pPr>
      <w:bookmarkStart w:id="7" w:name="_GoBack"/>
      <w:r>
        <w:rPr>
          <w:rFonts w:hint="eastAsia" w:ascii="Times New Roman" w:hAnsi="Times New Roman"/>
          <w:b/>
          <w:bCs/>
          <w:snapToGrid w:val="0"/>
          <w:color w:val="000000" w:themeColor="text1"/>
          <w:sz w:val="30"/>
          <w:szCs w:val="30"/>
          <w14:textFill>
            <w14:solidFill>
              <w14:schemeClr w14:val="tx1"/>
            </w14:solidFill>
          </w14:textFill>
        </w:rPr>
        <w:t>一、建设项目基本情况</w:t>
      </w:r>
    </w:p>
    <w:tbl>
      <w:tblPr>
        <w:tblStyle w:val="26"/>
        <w:tblW w:w="88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2223"/>
        <w:gridCol w:w="1796"/>
        <w:gridCol w:w="2072"/>
        <w:gridCol w:w="140"/>
        <w:gridCol w:w="263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建设项目名称</w:t>
            </w:r>
          </w:p>
        </w:tc>
        <w:tc>
          <w:tcPr>
            <w:tcW w:w="6647" w:type="dxa"/>
            <w:gridSpan w:val="4"/>
            <w:vAlign w:val="center"/>
          </w:tcPr>
          <w:p>
            <w:pPr>
              <w:adjustRightInd w:val="0"/>
              <w:snapToGrid w:val="0"/>
              <w:jc w:val="center"/>
              <w:rPr>
                <w:rFonts w:hint="default" w:eastAsia="宋体" w:cs="宋体"/>
                <w:color w:val="000000" w:themeColor="text1"/>
                <w:sz w:val="24"/>
                <w:lang w:val="en-US" w:eastAsia="zh-CN"/>
                <w14:textFill>
                  <w14:solidFill>
                    <w14:schemeClr w14:val="tx1"/>
                  </w14:solidFill>
                </w14:textFill>
              </w:rPr>
            </w:pPr>
            <w:r>
              <w:rPr>
                <w:rFonts w:hint="eastAsia" w:cs="宋体"/>
                <w:color w:val="000000" w:themeColor="text1"/>
                <w:sz w:val="24"/>
                <w:lang w:val="en-US" w:eastAsia="zh-CN"/>
                <w14:textFill>
                  <w14:solidFill>
                    <w14:schemeClr w14:val="tx1"/>
                  </w14:solidFill>
                </w14:textFill>
              </w:rPr>
              <w:t>植物、食用菌类深加工项目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项目代码</w:t>
            </w:r>
          </w:p>
        </w:tc>
        <w:tc>
          <w:tcPr>
            <w:tcW w:w="6647" w:type="dxa"/>
            <w:gridSpan w:val="4"/>
            <w:vAlign w:val="center"/>
          </w:tcPr>
          <w:p>
            <w:pPr>
              <w:adjustRightInd w:val="0"/>
              <w:snapToGrid w:val="0"/>
              <w:jc w:val="center"/>
              <w:rPr>
                <w:rFonts w:hint="default" w:eastAsia="宋体" w:cs="宋体"/>
                <w:color w:val="000000" w:themeColor="text1"/>
                <w:sz w:val="24"/>
                <w:lang w:val="en-US" w:eastAsia="zh-CN"/>
                <w14:textFill>
                  <w14:solidFill>
                    <w14:schemeClr w14:val="tx1"/>
                  </w14:solidFill>
                </w14:textFill>
              </w:rPr>
            </w:pPr>
            <w:r>
              <w:rPr>
                <w:rFonts w:hint="eastAsia" w:cs="宋体"/>
                <w:color w:val="000000" w:themeColor="text1"/>
                <w:sz w:val="24"/>
                <w:lang w:val="en-US" w:eastAsia="zh-CN"/>
                <w14:textFill>
                  <w14:solidFill>
                    <w14:schemeClr w14:val="tx1"/>
                  </w14:solidFill>
                </w14:textFill>
              </w:rPr>
              <w:t>2209-410423-04-01-939090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建设单位联系人</w:t>
            </w:r>
          </w:p>
        </w:tc>
        <w:tc>
          <w:tcPr>
            <w:tcW w:w="1796" w:type="dxa"/>
            <w:vAlign w:val="center"/>
          </w:tcPr>
          <w:p>
            <w:pPr>
              <w:adjustRightInd w:val="0"/>
              <w:snapToGrid w:val="0"/>
              <w:jc w:val="center"/>
              <w:rPr>
                <w:rFonts w:hint="default" w:eastAsia="宋体" w:cs="宋体"/>
                <w:color w:val="000000" w:themeColor="text1"/>
                <w:sz w:val="24"/>
                <w:highlight w:val="none"/>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李小娟</w:t>
            </w:r>
          </w:p>
        </w:tc>
        <w:tc>
          <w:tcPr>
            <w:tcW w:w="2212" w:type="dxa"/>
            <w:gridSpan w:val="2"/>
            <w:vAlign w:val="center"/>
          </w:tcPr>
          <w:p>
            <w:pPr>
              <w:adjustRightInd w:val="0"/>
              <w:snapToGrid w:val="0"/>
              <w:jc w:val="center"/>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联系方式</w:t>
            </w:r>
          </w:p>
        </w:tc>
        <w:tc>
          <w:tcPr>
            <w:tcW w:w="2639" w:type="dxa"/>
            <w:vAlign w:val="center"/>
          </w:tcPr>
          <w:p>
            <w:pPr>
              <w:adjustRightInd w:val="0"/>
              <w:snapToGrid w:val="0"/>
              <w:jc w:val="center"/>
              <w:rPr>
                <w:rFonts w:hint="default" w:eastAsia="宋体" w:cs="宋体"/>
                <w:color w:val="000000" w:themeColor="text1"/>
                <w:sz w:val="24"/>
                <w:highlight w:val="yellow"/>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15660585832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建设地点</w:t>
            </w:r>
          </w:p>
        </w:tc>
        <w:tc>
          <w:tcPr>
            <w:tcW w:w="6647" w:type="dxa"/>
            <w:gridSpan w:val="4"/>
            <w:vAlign w:val="center"/>
          </w:tcPr>
          <w:p>
            <w:pPr>
              <w:adjustRightInd w:val="0"/>
              <w:snapToGrid w:val="0"/>
              <w:jc w:val="center"/>
              <w:rPr>
                <w:rFonts w:hint="default" w:eastAsia="宋体" w:cs="宋体"/>
                <w:color w:val="000000" w:themeColor="text1"/>
                <w:sz w:val="24"/>
                <w:lang w:val="en-US" w:eastAsia="zh-CN"/>
                <w14:textFill>
                  <w14:solidFill>
                    <w14:schemeClr w14:val="tx1"/>
                  </w14:solidFill>
                </w14:textFill>
              </w:rPr>
            </w:pPr>
            <w:r>
              <w:rPr>
                <w:rFonts w:hint="eastAsia" w:cs="宋体"/>
                <w:color w:val="000000" w:themeColor="text1"/>
                <w:sz w:val="24"/>
                <w:u w:val="single"/>
                <w14:textFill>
                  <w14:solidFill>
                    <w14:schemeClr w14:val="tx1"/>
                  </w14:solidFill>
                </w14:textFill>
              </w:rPr>
              <w:t>河南</w:t>
            </w:r>
            <w:r>
              <w:rPr>
                <w:rFonts w:hint="eastAsia" w:cs="宋体"/>
                <w:color w:val="000000" w:themeColor="text1"/>
                <w:sz w:val="24"/>
                <w14:textFill>
                  <w14:solidFill>
                    <w14:schemeClr w14:val="tx1"/>
                  </w14:solidFill>
                </w14:textFill>
              </w:rPr>
              <w:t>省</w:t>
            </w:r>
            <w:r>
              <w:rPr>
                <w:rFonts w:hint="eastAsia" w:cs="宋体"/>
                <w:color w:val="000000" w:themeColor="text1"/>
                <w:sz w:val="24"/>
                <w:u w:val="single"/>
                <w14:textFill>
                  <w14:solidFill>
                    <w14:schemeClr w14:val="tx1"/>
                  </w14:solidFill>
                </w14:textFill>
              </w:rPr>
              <w:t>平顶山</w:t>
            </w:r>
            <w:r>
              <w:rPr>
                <w:rFonts w:hint="eastAsia" w:cs="宋体"/>
                <w:color w:val="000000" w:themeColor="text1"/>
                <w:sz w:val="24"/>
                <w14:textFill>
                  <w14:solidFill>
                    <w14:schemeClr w14:val="tx1"/>
                  </w14:solidFill>
                </w14:textFill>
              </w:rPr>
              <w:t>市</w:t>
            </w:r>
            <w:r>
              <w:rPr>
                <w:rFonts w:hint="eastAsia" w:cs="宋体"/>
                <w:color w:val="000000" w:themeColor="text1"/>
                <w:sz w:val="24"/>
                <w:u w:val="single"/>
                <w14:textFill>
                  <w14:solidFill>
                    <w14:schemeClr w14:val="tx1"/>
                  </w14:solidFill>
                </w14:textFill>
              </w:rPr>
              <w:t>鲁山</w:t>
            </w:r>
            <w:r>
              <w:rPr>
                <w:rFonts w:hint="eastAsia" w:cs="宋体"/>
                <w:color w:val="000000" w:themeColor="text1"/>
                <w:sz w:val="24"/>
                <w14:textFill>
                  <w14:solidFill>
                    <w14:schemeClr w14:val="tx1"/>
                  </w14:solidFill>
                </w14:textFill>
              </w:rPr>
              <w:t>县</w:t>
            </w:r>
            <w:r>
              <w:rPr>
                <w:rFonts w:hint="eastAsia" w:cs="宋体"/>
                <w:color w:val="000000" w:themeColor="text1"/>
                <w:sz w:val="24"/>
                <w:u w:val="single"/>
                <w:lang w:val="en-US" w:eastAsia="zh-CN"/>
                <w14:textFill>
                  <w14:solidFill>
                    <w14:schemeClr w14:val="tx1"/>
                  </w14:solidFill>
                </w14:textFill>
              </w:rPr>
              <w:t>库区</w:t>
            </w:r>
            <w:r>
              <w:rPr>
                <w:rFonts w:hint="eastAsia" w:cs="宋体"/>
                <w:color w:val="000000" w:themeColor="text1"/>
                <w:sz w:val="24"/>
                <w:u w:val="none"/>
                <w:lang w:val="en-US" w:eastAsia="zh-CN"/>
                <w14:textFill>
                  <w14:solidFill>
                    <w14:schemeClr w14:val="tx1"/>
                  </w14:solidFill>
                </w14:textFill>
              </w:rPr>
              <w:t>乡</w:t>
            </w:r>
            <w:r>
              <w:rPr>
                <w:rFonts w:hint="eastAsia" w:cs="宋体"/>
                <w:color w:val="000000" w:themeColor="text1"/>
                <w:sz w:val="24"/>
                <w:u w:val="single"/>
                <w:lang w:val="en-US" w:eastAsia="zh-CN"/>
                <w14:textFill>
                  <w14:solidFill>
                    <w14:schemeClr w14:val="tx1"/>
                  </w14:solidFill>
                </w14:textFill>
              </w:rPr>
              <w:t>平岭街</w:t>
            </w:r>
            <w:r>
              <w:rPr>
                <w:rFonts w:hint="eastAsia" w:cs="宋体"/>
                <w:color w:val="000000" w:themeColor="text1"/>
                <w:sz w:val="24"/>
                <w:u w:val="none"/>
                <w:lang w:val="en-US" w:eastAsia="zh-CN"/>
                <w14:textFill>
                  <w14:solidFill>
                    <w14:schemeClr w14:val="tx1"/>
                  </w14:solidFill>
                </w14:textFill>
              </w:rPr>
              <w:t>01号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地理坐标</w:t>
            </w:r>
          </w:p>
        </w:tc>
        <w:tc>
          <w:tcPr>
            <w:tcW w:w="6647" w:type="dxa"/>
            <w:gridSpan w:val="4"/>
            <w:vAlign w:val="center"/>
          </w:tcPr>
          <w:p>
            <w:pPr>
              <w:jc w:val="center"/>
              <w:rPr>
                <w:rFonts w:hint="eastAsia"/>
                <w:color w:val="000000" w:themeColor="text1"/>
                <w:sz w:val="24"/>
                <w14:textFill>
                  <w14:solidFill>
                    <w14:schemeClr w14:val="tx1"/>
                  </w14:solidFill>
                </w14:textFill>
              </w:rPr>
            </w:pPr>
            <w:r>
              <w:rPr>
                <w:rFonts w:hint="eastAsia"/>
                <w:color w:val="000000" w:themeColor="text1"/>
                <w:sz w:val="24"/>
                <w:u w:val="single"/>
                <w:lang w:val="en-US" w:eastAsia="zh-CN"/>
                <w14:textFill>
                  <w14:solidFill>
                    <w14:schemeClr w14:val="tx1"/>
                  </w14:solidFill>
                </w14:textFill>
              </w:rPr>
              <w:t>112</w:t>
            </w:r>
            <w:r>
              <w:rPr>
                <w:rFonts w:hint="eastAsia"/>
                <w:color w:val="000000" w:themeColor="text1"/>
                <w:sz w:val="24"/>
                <w14:textFill>
                  <w14:solidFill>
                    <w14:schemeClr w14:val="tx1"/>
                  </w14:solidFill>
                </w14:textFill>
              </w:rPr>
              <w:t>度</w:t>
            </w:r>
            <w:r>
              <w:rPr>
                <w:rFonts w:hint="eastAsia"/>
                <w:color w:val="000000" w:themeColor="text1"/>
                <w:sz w:val="24"/>
                <w:u w:val="single"/>
                <w:lang w:val="en-US" w:eastAsia="zh-CN"/>
                <w14:textFill>
                  <w14:solidFill>
                    <w14:schemeClr w14:val="tx1"/>
                  </w14:solidFill>
                </w14:textFill>
              </w:rPr>
              <w:t>45</w:t>
            </w:r>
            <w:r>
              <w:rPr>
                <w:rFonts w:hint="eastAsia"/>
                <w:color w:val="000000" w:themeColor="text1"/>
                <w:sz w:val="24"/>
                <w14:textFill>
                  <w14:solidFill>
                    <w14:schemeClr w14:val="tx1"/>
                  </w14:solidFill>
                </w14:textFill>
              </w:rPr>
              <w:t>分</w:t>
            </w:r>
            <w:r>
              <w:rPr>
                <w:rFonts w:hint="eastAsia"/>
                <w:color w:val="000000" w:themeColor="text1"/>
                <w:sz w:val="24"/>
                <w:u w:val="single"/>
                <w:lang w:val="en-US" w:eastAsia="zh-CN"/>
                <w14:textFill>
                  <w14:solidFill>
                    <w14:schemeClr w14:val="tx1"/>
                  </w14:solidFill>
                </w14:textFill>
              </w:rPr>
              <w:t>52.596</w:t>
            </w:r>
            <w:r>
              <w:rPr>
                <w:rFonts w:hint="eastAsia"/>
                <w:color w:val="000000" w:themeColor="text1"/>
                <w:sz w:val="24"/>
                <w14:textFill>
                  <w14:solidFill>
                    <w14:schemeClr w14:val="tx1"/>
                  </w14:solidFill>
                </w14:textFill>
              </w:rPr>
              <w:t>秒，</w:t>
            </w:r>
            <w:r>
              <w:rPr>
                <w:rFonts w:hint="eastAsia"/>
                <w:color w:val="000000" w:themeColor="text1"/>
                <w:sz w:val="24"/>
                <w:u w:val="single"/>
                <w:lang w:val="en-US" w:eastAsia="zh-CN"/>
                <w14:textFill>
                  <w14:solidFill>
                    <w14:schemeClr w14:val="tx1"/>
                  </w14:solidFill>
                </w14:textFill>
              </w:rPr>
              <w:t>33</w:t>
            </w:r>
            <w:r>
              <w:rPr>
                <w:rFonts w:hint="eastAsia"/>
                <w:color w:val="000000" w:themeColor="text1"/>
                <w:sz w:val="24"/>
                <w14:textFill>
                  <w14:solidFill>
                    <w14:schemeClr w14:val="tx1"/>
                  </w14:solidFill>
                </w14:textFill>
              </w:rPr>
              <w:t>度</w:t>
            </w:r>
            <w:r>
              <w:rPr>
                <w:rFonts w:hint="eastAsia"/>
                <w:color w:val="000000" w:themeColor="text1"/>
                <w:sz w:val="24"/>
                <w:u w:val="single"/>
                <w:lang w:val="en-US" w:eastAsia="zh-CN"/>
                <w14:textFill>
                  <w14:solidFill>
                    <w14:schemeClr w14:val="tx1"/>
                  </w14:solidFill>
                </w14:textFill>
              </w:rPr>
              <w:t>47</w:t>
            </w:r>
            <w:r>
              <w:rPr>
                <w:rFonts w:hint="eastAsia"/>
                <w:color w:val="000000" w:themeColor="text1"/>
                <w:sz w:val="24"/>
                <w14:textFill>
                  <w14:solidFill>
                    <w14:schemeClr w14:val="tx1"/>
                  </w14:solidFill>
                </w14:textFill>
              </w:rPr>
              <w:t>分</w:t>
            </w:r>
            <w:r>
              <w:rPr>
                <w:rFonts w:hint="eastAsia"/>
                <w:color w:val="000000" w:themeColor="text1"/>
                <w:sz w:val="24"/>
                <w:u w:val="single"/>
                <w:lang w:val="en-US" w:eastAsia="zh-CN"/>
                <w14:textFill>
                  <w14:solidFill>
                    <w14:schemeClr w14:val="tx1"/>
                  </w14:solidFill>
                </w14:textFill>
              </w:rPr>
              <w:t>15.031</w:t>
            </w:r>
            <w:r>
              <w:rPr>
                <w:rFonts w:hint="eastAsia"/>
                <w:color w:val="000000" w:themeColor="text1"/>
                <w:sz w:val="24"/>
                <w14:textFill>
                  <w14:solidFill>
                    <w14:schemeClr w14:val="tx1"/>
                  </w14:solidFill>
                </w14:textFill>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国民经济</w:t>
            </w:r>
          </w:p>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行业类别</w:t>
            </w:r>
          </w:p>
        </w:tc>
        <w:tc>
          <w:tcPr>
            <w:tcW w:w="1796" w:type="dxa"/>
            <w:vAlign w:val="center"/>
          </w:tcPr>
          <w:p>
            <w:pPr>
              <w:pStyle w:val="25"/>
              <w:spacing w:after="0"/>
              <w:ind w:right="113" w:rightChars="0" w:firstLine="0" w:firstLineChars="0"/>
              <w:rPr>
                <w:rFonts w:hint="default" w:eastAsia="宋体" w:cs="宋体"/>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C1492保健食品制造</w:t>
            </w:r>
          </w:p>
        </w:tc>
        <w:tc>
          <w:tcPr>
            <w:tcW w:w="2072" w:type="dxa"/>
            <w:vAlign w:val="center"/>
          </w:tcPr>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建设项目</w:t>
            </w:r>
          </w:p>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行业类别</w:t>
            </w:r>
          </w:p>
        </w:tc>
        <w:tc>
          <w:tcPr>
            <w:tcW w:w="2779" w:type="dxa"/>
            <w:gridSpan w:val="2"/>
            <w:vAlign w:val="center"/>
          </w:tcPr>
          <w:p>
            <w:pPr>
              <w:numPr>
                <w:ilvl w:val="0"/>
                <w:numId w:val="1"/>
              </w:numPr>
              <w:adjustRightInd w:val="0"/>
              <w:snapToGrid w:val="0"/>
              <w:rPr>
                <w:rFonts w:hint="eastAsia"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食品制造业14</w:t>
            </w:r>
          </w:p>
          <w:p>
            <w:pPr>
              <w:numPr>
                <w:ilvl w:val="0"/>
                <w:numId w:val="0"/>
              </w:numPr>
              <w:adjustRightInd w:val="0"/>
              <w:snapToGrid w:val="0"/>
              <w:rPr>
                <w:rFonts w:cs="宋体"/>
                <w:color w:val="000000" w:themeColor="text1"/>
                <w:sz w:val="24"/>
                <w14:textFill>
                  <w14:solidFill>
                    <w14:schemeClr w14:val="tx1"/>
                  </w14:solidFill>
                </w14:textFill>
              </w:rPr>
            </w:pPr>
            <w:r>
              <w:rPr>
                <w:rFonts w:hint="eastAsia" w:cs="宋体"/>
                <w:color w:val="000000" w:themeColor="text1"/>
                <w:sz w:val="24"/>
                <w:lang w:val="en-US" w:eastAsia="zh-CN"/>
                <w14:textFill>
                  <w14:solidFill>
                    <w14:schemeClr w14:val="tx1"/>
                  </w14:solidFill>
                </w14:textFill>
              </w:rPr>
              <w:t>其他食品制造149*—保健食品制造（节选）</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建设性质</w:t>
            </w:r>
          </w:p>
        </w:tc>
        <w:tc>
          <w:tcPr>
            <w:tcW w:w="1796" w:type="dxa"/>
            <w:vAlign w:val="center"/>
          </w:tcPr>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52"/>
            </w:r>
            <w:r>
              <w:rPr>
                <w:rFonts w:hint="eastAsia" w:cs="宋体"/>
                <w:color w:val="000000" w:themeColor="text1"/>
                <w:sz w:val="24"/>
                <w14:textFill>
                  <w14:solidFill>
                    <w14:schemeClr w14:val="tx1"/>
                  </w14:solidFill>
                </w14:textFill>
              </w:rPr>
              <w:t>新建（迁建）</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□改建</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□扩建</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□技术改造</w:t>
            </w:r>
          </w:p>
        </w:tc>
        <w:tc>
          <w:tcPr>
            <w:tcW w:w="2072" w:type="dxa"/>
            <w:vAlign w:val="center"/>
          </w:tcPr>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建设项目</w:t>
            </w:r>
          </w:p>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申报情形</w:t>
            </w:r>
          </w:p>
        </w:tc>
        <w:tc>
          <w:tcPr>
            <w:tcW w:w="2779" w:type="dxa"/>
            <w:gridSpan w:val="2"/>
            <w:vAlign w:val="center"/>
          </w:tcPr>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A3"/>
            </w:r>
            <w:r>
              <w:rPr>
                <w:rFonts w:hint="eastAsia" w:cs="宋体"/>
                <w:color w:val="000000" w:themeColor="text1"/>
                <w:sz w:val="24"/>
                <w14:textFill>
                  <w14:solidFill>
                    <w14:schemeClr w14:val="tx1"/>
                  </w14:solidFill>
                </w14:textFill>
              </w:rPr>
              <w:t>首次申报项目</w:t>
            </w:r>
            <w:r>
              <w:rPr>
                <w:rFonts w:cs="宋体"/>
                <w:color w:val="000000" w:themeColor="text1"/>
                <w:sz w:val="24"/>
                <w14:textFill>
                  <w14:solidFill>
                    <w14:schemeClr w14:val="tx1"/>
                  </w14:solidFill>
                </w14:textFill>
              </w:rPr>
              <w:t xml:space="preserve">             </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□不予批准后再次申报项目</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A3"/>
            </w:r>
            <w:r>
              <w:rPr>
                <w:rFonts w:hint="eastAsia" w:cs="宋体"/>
                <w:color w:val="000000" w:themeColor="text1"/>
                <w:sz w:val="24"/>
                <w14:textFill>
                  <w14:solidFill>
                    <w14:schemeClr w14:val="tx1"/>
                  </w14:solidFill>
                </w14:textFill>
              </w:rPr>
              <w:t>超五年重新审核项目</w:t>
            </w:r>
            <w:r>
              <w:rPr>
                <w:rFonts w:cs="宋体"/>
                <w:color w:val="000000" w:themeColor="text1"/>
                <w:sz w:val="24"/>
                <w14:textFill>
                  <w14:solidFill>
                    <w14:schemeClr w14:val="tx1"/>
                  </w14:solidFill>
                </w14:textFill>
              </w:rPr>
              <w:t xml:space="preserve">     </w:t>
            </w:r>
          </w:p>
          <w:p>
            <w:pPr>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52"/>
            </w:r>
            <w:r>
              <w:rPr>
                <w:rFonts w:hint="eastAsia" w:cs="宋体"/>
                <w:color w:val="000000" w:themeColor="text1"/>
                <w:sz w:val="24"/>
                <w14:textFill>
                  <w14:solidFill>
                    <w14:schemeClr w14:val="tx1"/>
                  </w14:solidFill>
                </w14:textFill>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项目审批（备案）部门</w:t>
            </w:r>
          </w:p>
        </w:tc>
        <w:tc>
          <w:tcPr>
            <w:tcW w:w="1796" w:type="dxa"/>
            <w:vAlign w:val="center"/>
          </w:tcPr>
          <w:p>
            <w:pPr>
              <w:adjustRightInd w:val="0"/>
              <w:snapToGrid w:val="0"/>
              <w:jc w:val="center"/>
              <w:rPr>
                <w:rFonts w:hint="eastAsia" w:eastAsia="宋体" w:cs="宋体"/>
                <w:color w:val="000000" w:themeColor="text1"/>
                <w:sz w:val="24"/>
                <w:lang w:val="en-US" w:eastAsia="zh-CN"/>
                <w14:textFill>
                  <w14:solidFill>
                    <w14:schemeClr w14:val="tx1"/>
                  </w14:solidFill>
                </w14:textFill>
              </w:rPr>
            </w:pPr>
            <w:r>
              <w:rPr>
                <w:rFonts w:hint="eastAsia" w:cs="宋体"/>
                <w:color w:val="000000" w:themeColor="text1"/>
                <w:sz w:val="24"/>
                <w14:textFill>
                  <w14:solidFill>
                    <w14:schemeClr w14:val="tx1"/>
                  </w14:solidFill>
                </w14:textFill>
              </w:rPr>
              <w:t>鲁山县</w:t>
            </w:r>
            <w:r>
              <w:rPr>
                <w:rFonts w:hint="eastAsia" w:cs="宋体"/>
                <w:color w:val="000000" w:themeColor="text1"/>
                <w:sz w:val="24"/>
                <w:lang w:val="en-US" w:eastAsia="zh-CN"/>
                <w14:textFill>
                  <w14:solidFill>
                    <w14:schemeClr w14:val="tx1"/>
                  </w14:solidFill>
                </w14:textFill>
              </w:rPr>
              <w:t>发展和改革委员会</w:t>
            </w:r>
          </w:p>
        </w:tc>
        <w:tc>
          <w:tcPr>
            <w:tcW w:w="2072" w:type="dxa"/>
            <w:vAlign w:val="center"/>
          </w:tcPr>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项目审批（备案）文号</w:t>
            </w:r>
          </w:p>
        </w:tc>
        <w:tc>
          <w:tcPr>
            <w:tcW w:w="2779" w:type="dxa"/>
            <w:gridSpan w:val="2"/>
            <w:vAlign w:val="center"/>
          </w:tcPr>
          <w:p>
            <w:pPr>
              <w:adjustRightInd w:val="0"/>
              <w:snapToGrid w:val="0"/>
              <w:jc w:val="center"/>
              <w:rPr>
                <w:rFonts w:hint="default" w:eastAsia="宋体" w:cs="宋体"/>
                <w:color w:val="000000" w:themeColor="text1"/>
                <w:sz w:val="24"/>
                <w:lang w:val="en-US" w:eastAsia="zh-CN"/>
                <w14:textFill>
                  <w14:solidFill>
                    <w14:schemeClr w14:val="tx1"/>
                  </w14:solidFill>
                </w14:textFill>
              </w:rPr>
            </w:pPr>
            <w:r>
              <w:rPr>
                <w:rFonts w:hint="default" w:eastAsia="宋体" w:cs="宋体"/>
                <w:color w:val="000000" w:themeColor="text1"/>
                <w:sz w:val="24"/>
                <w:lang w:val="en-US" w:eastAsia="zh-CN"/>
                <w14:textFill>
                  <w14:solidFill>
                    <w14:schemeClr w14:val="tx1"/>
                  </w14:solidFill>
                </w14:textFill>
              </w:rPr>
              <w:t>2209-410423-04-01-939090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总投资（万元）</w:t>
            </w:r>
          </w:p>
        </w:tc>
        <w:tc>
          <w:tcPr>
            <w:tcW w:w="1796" w:type="dxa"/>
            <w:vAlign w:val="center"/>
          </w:tcPr>
          <w:p>
            <w:pPr>
              <w:adjustRightInd w:val="0"/>
              <w:snapToGrid w:val="0"/>
              <w:jc w:val="center"/>
              <w:rPr>
                <w:rFonts w:hint="default" w:eastAsia="宋体" w:cs="宋体"/>
                <w:color w:val="000000" w:themeColor="text1"/>
                <w:sz w:val="24"/>
                <w:highlight w:val="none"/>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3000</w:t>
            </w:r>
          </w:p>
        </w:tc>
        <w:tc>
          <w:tcPr>
            <w:tcW w:w="2072" w:type="dxa"/>
            <w:tcMar>
              <w:top w:w="16" w:type="dxa"/>
              <w:left w:w="16" w:type="dxa"/>
              <w:right w:w="16" w:type="dxa"/>
            </w:tcMar>
            <w:vAlign w:val="center"/>
          </w:tcPr>
          <w:p>
            <w:pPr>
              <w:adjustRightInd w:val="0"/>
              <w:snapToGrid w:val="0"/>
              <w:jc w:val="center"/>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环保投资（万元）</w:t>
            </w:r>
          </w:p>
        </w:tc>
        <w:tc>
          <w:tcPr>
            <w:tcW w:w="2779" w:type="dxa"/>
            <w:gridSpan w:val="2"/>
            <w:vAlign w:val="center"/>
          </w:tcPr>
          <w:p>
            <w:pPr>
              <w:adjustRightInd w:val="0"/>
              <w:snapToGrid w:val="0"/>
              <w:jc w:val="center"/>
              <w:rPr>
                <w:rFonts w:hint="default" w:eastAsia="宋体" w:cs="宋体"/>
                <w:color w:val="000000" w:themeColor="text1"/>
                <w:sz w:val="24"/>
                <w:highlight w:val="none"/>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环保投资占比（</w:t>
            </w:r>
            <w:r>
              <w:rPr>
                <w:rFonts w:cs="宋体"/>
                <w:color w:val="000000" w:themeColor="text1"/>
                <w:sz w:val="24"/>
                <w:highlight w:val="none"/>
                <w14:textFill>
                  <w14:solidFill>
                    <w14:schemeClr w14:val="tx1"/>
                  </w14:solidFill>
                </w14:textFill>
              </w:rPr>
              <w:t>%</w:t>
            </w:r>
            <w:r>
              <w:rPr>
                <w:rFonts w:hint="eastAsia" w:cs="宋体"/>
                <w:color w:val="000000" w:themeColor="text1"/>
                <w:sz w:val="24"/>
                <w:highlight w:val="none"/>
                <w14:textFill>
                  <w14:solidFill>
                    <w14:schemeClr w14:val="tx1"/>
                  </w14:solidFill>
                </w14:textFill>
              </w:rPr>
              <w:t>）</w:t>
            </w:r>
          </w:p>
        </w:tc>
        <w:tc>
          <w:tcPr>
            <w:tcW w:w="1796" w:type="dxa"/>
            <w:vAlign w:val="center"/>
          </w:tcPr>
          <w:p>
            <w:pPr>
              <w:adjustRightInd w:val="0"/>
              <w:snapToGrid w:val="0"/>
              <w:jc w:val="center"/>
              <w:rPr>
                <w:rFonts w:hint="default" w:eastAsia="宋体" w:cs="宋体"/>
                <w:color w:val="000000" w:themeColor="text1"/>
                <w:sz w:val="24"/>
                <w:highlight w:val="none"/>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2.2</w:t>
            </w:r>
          </w:p>
        </w:tc>
        <w:tc>
          <w:tcPr>
            <w:tcW w:w="2072" w:type="dxa"/>
            <w:tcMar>
              <w:top w:w="16" w:type="dxa"/>
              <w:left w:w="16" w:type="dxa"/>
              <w:right w:w="16" w:type="dxa"/>
            </w:tcMar>
            <w:vAlign w:val="center"/>
          </w:tcPr>
          <w:p>
            <w:pPr>
              <w:adjustRightInd w:val="0"/>
              <w:snapToGrid w:val="0"/>
              <w:jc w:val="center"/>
              <w:rPr>
                <w:rFonts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施工工期</w:t>
            </w:r>
          </w:p>
        </w:tc>
        <w:tc>
          <w:tcPr>
            <w:tcW w:w="2779" w:type="dxa"/>
            <w:gridSpan w:val="2"/>
            <w:vAlign w:val="center"/>
          </w:tcPr>
          <w:p>
            <w:pPr>
              <w:adjustRightInd w:val="0"/>
              <w:snapToGrid w:val="0"/>
              <w:jc w:val="center"/>
              <w:rPr>
                <w:rFonts w:hint="default" w:cs="宋体"/>
                <w:color w:val="000000" w:themeColor="text1"/>
                <w:sz w:val="24"/>
                <w:highlight w:val="none"/>
                <w:lang w:val="en-US"/>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15天</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09" w:hRule="atLeast"/>
          <w:jc w:val="center"/>
        </w:trPr>
        <w:tc>
          <w:tcPr>
            <w:tcW w:w="2223" w:type="dxa"/>
            <w:tcMar>
              <w:top w:w="16" w:type="dxa"/>
              <w:left w:w="16" w:type="dxa"/>
              <w:right w:w="16" w:type="dxa"/>
            </w:tcMar>
            <w:vAlign w:val="center"/>
          </w:tcPr>
          <w:p>
            <w:pPr>
              <w:keepNext w:val="0"/>
              <w:keepLines w:val="0"/>
              <w:pageBreakBefore w:val="0"/>
              <w:widowControl w:val="0"/>
              <w:kinsoku/>
              <w:wordWrap/>
              <w:overflowPunct/>
              <w:topLinePunct w:val="0"/>
              <w:bidi w:val="0"/>
              <w:adjustRightInd w:val="0"/>
              <w:snapToGrid w:val="0"/>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是否开工建设</w:t>
            </w:r>
          </w:p>
        </w:tc>
        <w:tc>
          <w:tcPr>
            <w:tcW w:w="1796" w:type="dxa"/>
            <w:vAlign w:val="center"/>
          </w:tcPr>
          <w:p>
            <w:pPr>
              <w:adjustRightInd w:val="0"/>
              <w:snapToGrid w:val="0"/>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A3"/>
            </w:r>
            <w:r>
              <w:rPr>
                <w:rFonts w:hint="eastAsia" w:cs="宋体"/>
                <w:color w:val="000000" w:themeColor="text1"/>
                <w:sz w:val="24"/>
                <w14:textFill>
                  <w14:solidFill>
                    <w14:schemeClr w14:val="tx1"/>
                  </w14:solidFill>
                </w14:textFill>
              </w:rPr>
              <w:t>否</w:t>
            </w:r>
          </w:p>
          <w:p>
            <w:pPr>
              <w:adjustRightInd w:val="0"/>
              <w:snapToGrid w:val="0"/>
              <w:jc w:val="left"/>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sym w:font="Wingdings 2" w:char="0052"/>
            </w:r>
            <w:r>
              <w:rPr>
                <w:rFonts w:hint="eastAsia" w:cs="宋体"/>
                <w:color w:val="000000" w:themeColor="text1"/>
                <w:sz w:val="24"/>
                <w14:textFill>
                  <w14:solidFill>
                    <w14:schemeClr w14:val="tx1"/>
                  </w14:solidFill>
                </w14:textFill>
              </w:rPr>
              <w:t>是：</w:t>
            </w:r>
            <w:r>
              <w:rPr>
                <w:rFonts w:hint="eastAsia" w:cs="宋体"/>
                <w:color w:val="000000" w:themeColor="text1"/>
                <w:sz w:val="24"/>
                <w:u w:val="single"/>
                <w:lang w:val="en-US" w:eastAsia="zh-CN"/>
                <w14:textFill>
                  <w14:solidFill>
                    <w14:schemeClr w14:val="tx1"/>
                  </w14:solidFill>
                </w14:textFill>
              </w:rPr>
              <w:t>重大变动重新报批项目</w:t>
            </w:r>
            <w:r>
              <w:rPr>
                <w:rFonts w:hint="eastAsia" w:cs="宋体"/>
                <w:color w:val="000000" w:themeColor="text1"/>
                <w:sz w:val="24"/>
                <w:u w:val="single"/>
                <w14:textFill>
                  <w14:solidFill>
                    <w14:schemeClr w14:val="tx1"/>
                  </w14:solidFill>
                </w14:textFill>
              </w:rPr>
              <w:t xml:space="preserve">       </w:t>
            </w:r>
          </w:p>
        </w:tc>
        <w:tc>
          <w:tcPr>
            <w:tcW w:w="2072" w:type="dxa"/>
            <w:tcMar>
              <w:top w:w="16" w:type="dxa"/>
              <w:left w:w="16" w:type="dxa"/>
              <w:right w:w="16" w:type="dxa"/>
            </w:tcMar>
            <w:vAlign w:val="center"/>
          </w:tcPr>
          <w:p>
            <w:pPr>
              <w:adjustRightInd w:val="0"/>
              <w:snapToGrid w:val="0"/>
              <w:jc w:val="center"/>
              <w:rPr>
                <w:rFonts w:cs="宋体"/>
                <w:color w:val="000000" w:themeColor="text1"/>
                <w:spacing w:val="-6"/>
                <w:sz w:val="24"/>
                <w14:textFill>
                  <w14:solidFill>
                    <w14:schemeClr w14:val="tx1"/>
                  </w14:solidFill>
                </w14:textFill>
              </w:rPr>
            </w:pPr>
            <w:r>
              <w:rPr>
                <w:rFonts w:hint="eastAsia" w:cs="宋体"/>
                <w:color w:val="000000" w:themeColor="text1"/>
                <w:spacing w:val="-6"/>
                <w:sz w:val="24"/>
                <w14:textFill>
                  <w14:solidFill>
                    <w14:schemeClr w14:val="tx1"/>
                  </w14:solidFill>
                </w14:textFill>
              </w:rPr>
              <w:t>用地（用海）</w:t>
            </w:r>
          </w:p>
          <w:p>
            <w:pPr>
              <w:adjustRightInd w:val="0"/>
              <w:snapToGrid w:val="0"/>
              <w:jc w:val="center"/>
              <w:rPr>
                <w:rFonts w:cs="宋体"/>
                <w:color w:val="000000" w:themeColor="text1"/>
                <w:sz w:val="24"/>
                <w14:textFill>
                  <w14:solidFill>
                    <w14:schemeClr w14:val="tx1"/>
                  </w14:solidFill>
                </w14:textFill>
              </w:rPr>
            </w:pPr>
            <w:r>
              <w:rPr>
                <w:rFonts w:hint="eastAsia" w:cs="宋体"/>
                <w:color w:val="000000" w:themeColor="text1"/>
                <w:spacing w:val="-6"/>
                <w:sz w:val="24"/>
                <w14:textFill>
                  <w14:solidFill>
                    <w14:schemeClr w14:val="tx1"/>
                  </w14:solidFill>
                </w14:textFill>
              </w:rPr>
              <w:t>面积（</w:t>
            </w:r>
            <w:r>
              <w:rPr>
                <w:rFonts w:cs="宋体"/>
                <w:color w:val="000000" w:themeColor="text1"/>
                <w:spacing w:val="-6"/>
                <w:sz w:val="24"/>
                <w14:textFill>
                  <w14:solidFill>
                    <w14:schemeClr w14:val="tx1"/>
                  </w14:solidFill>
                </w14:textFill>
              </w:rPr>
              <w:t>m</w:t>
            </w:r>
            <w:r>
              <w:rPr>
                <w:rFonts w:cs="宋体"/>
                <w:color w:val="000000" w:themeColor="text1"/>
                <w:spacing w:val="-6"/>
                <w:sz w:val="24"/>
                <w:vertAlign w:val="superscript"/>
                <w14:textFill>
                  <w14:solidFill>
                    <w14:schemeClr w14:val="tx1"/>
                  </w14:solidFill>
                </w14:textFill>
              </w:rPr>
              <w:t>2</w:t>
            </w:r>
            <w:r>
              <w:rPr>
                <w:rFonts w:hint="eastAsia" w:cs="宋体"/>
                <w:color w:val="000000" w:themeColor="text1"/>
                <w:spacing w:val="-6"/>
                <w:sz w:val="24"/>
                <w14:textFill>
                  <w14:solidFill>
                    <w14:schemeClr w14:val="tx1"/>
                  </w14:solidFill>
                </w14:textFill>
              </w:rPr>
              <w:t>）</w:t>
            </w:r>
          </w:p>
        </w:tc>
        <w:tc>
          <w:tcPr>
            <w:tcW w:w="2779" w:type="dxa"/>
            <w:gridSpan w:val="2"/>
            <w:vAlign w:val="center"/>
          </w:tcPr>
          <w:p>
            <w:pPr>
              <w:adjustRightInd w:val="0"/>
              <w:snapToGrid w:val="0"/>
              <w:jc w:val="center"/>
              <w:rPr>
                <w:rFonts w:hint="default" w:eastAsia="宋体" w:cs="宋体"/>
                <w:color w:val="000000" w:themeColor="text1"/>
                <w:sz w:val="24"/>
                <w:lang w:val="en-US" w:eastAsia="zh-CN"/>
                <w14:textFill>
                  <w14:solidFill>
                    <w14:schemeClr w14:val="tx1"/>
                  </w14:solidFill>
                </w14:textFill>
              </w:rPr>
            </w:pPr>
            <w:r>
              <w:rPr>
                <w:rFonts w:hint="eastAsia" w:cs="宋体"/>
                <w:color w:val="000000" w:themeColor="text1"/>
                <w:sz w:val="24"/>
                <w:highlight w:val="none"/>
                <w:lang w:val="en-US" w:eastAsia="zh-CN"/>
                <w14:textFill>
                  <w14:solidFill>
                    <w14:schemeClr w14:val="tx1"/>
                  </w14:solidFill>
                </w14:textFill>
              </w:rPr>
              <w:t>3000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2223" w:type="dxa"/>
            <w:vAlign w:val="center"/>
          </w:tcPr>
          <w:p>
            <w:pPr>
              <w:keepNext w:val="0"/>
              <w:keepLines w:val="0"/>
              <w:pageBreakBefore w:val="0"/>
              <w:widowControl w:val="0"/>
              <w:kinsoku/>
              <w:wordWrap/>
              <w:overflowPunct/>
              <w:topLinePunct w:val="0"/>
              <w:autoSpaceDE w:val="0"/>
              <w:autoSpaceDN w:val="0"/>
              <w:bidi w:val="0"/>
              <w:adjustRightInd w:val="0"/>
              <w:snapToGrid w:val="0"/>
              <w:jc w:val="center"/>
              <w:textAlignment w:val="auto"/>
              <w:rPr>
                <w:rFonts w:cs="宋体"/>
                <w:b w:val="0"/>
                <w:bCs w:val="0"/>
                <w:color w:val="000000" w:themeColor="text1"/>
                <w:kern w:val="0"/>
                <w:sz w:val="24"/>
                <w14:textFill>
                  <w14:solidFill>
                    <w14:schemeClr w14:val="tx1"/>
                  </w14:solidFill>
                </w14:textFill>
              </w:rPr>
            </w:pPr>
            <w:r>
              <w:rPr>
                <w:rFonts w:hint="eastAsia" w:cs="宋体"/>
                <w:b w:val="0"/>
                <w:bCs w:val="0"/>
                <w:color w:val="000000" w:themeColor="text1"/>
                <w:kern w:val="0"/>
                <w:sz w:val="24"/>
                <w14:textFill>
                  <w14:solidFill>
                    <w14:schemeClr w14:val="tx1"/>
                  </w14:solidFill>
                </w14:textFill>
              </w:rPr>
              <w:t>专项评价设置情况</w:t>
            </w:r>
          </w:p>
        </w:tc>
        <w:tc>
          <w:tcPr>
            <w:tcW w:w="6647" w:type="dxa"/>
            <w:gridSpan w:val="4"/>
            <w:vAlign w:val="center"/>
          </w:tcPr>
          <w:p>
            <w:pPr>
              <w:keepNext w:val="0"/>
              <w:keepLines w:val="0"/>
              <w:pageBreakBefore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outlineLvl w:val="9"/>
              <w:rPr>
                <w:b w:val="0"/>
                <w:bCs w:val="0"/>
                <w:color w:val="000000" w:themeColor="text1"/>
                <w14:textFill>
                  <w14:solidFill>
                    <w14:schemeClr w14:val="tx1"/>
                  </w14:solidFill>
                </w14:textFill>
              </w:rPr>
            </w:pPr>
            <w:r>
              <w:rPr>
                <w:rFonts w:hint="eastAsia" w:cs="宋体"/>
                <w:b w:val="0"/>
                <w:bCs w:val="0"/>
                <w:color w:val="000000" w:themeColor="text1"/>
                <w:sz w:val="24"/>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2223"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jc w:val="center"/>
              <w:textAlignment w:val="auto"/>
              <w:rPr>
                <w:rFonts w:cs="宋体"/>
                <w:b w:val="0"/>
                <w:bCs w:val="0"/>
                <w:color w:val="000000" w:themeColor="text1"/>
                <w:kern w:val="0"/>
                <w:sz w:val="24"/>
                <w14:textFill>
                  <w14:solidFill>
                    <w14:schemeClr w14:val="tx1"/>
                  </w14:solidFill>
                </w14:textFill>
              </w:rPr>
            </w:pPr>
            <w:r>
              <w:rPr>
                <w:rFonts w:hint="eastAsia" w:cs="宋体"/>
                <w:b w:val="0"/>
                <w:bCs w:val="0"/>
                <w:color w:val="000000" w:themeColor="text1"/>
                <w:sz w:val="24"/>
                <w14:textFill>
                  <w14:solidFill>
                    <w14:schemeClr w14:val="tx1"/>
                  </w14:solidFill>
                </w14:textFill>
              </w:rPr>
              <w:t>规划情况</w:t>
            </w:r>
          </w:p>
        </w:tc>
        <w:tc>
          <w:tcPr>
            <w:tcW w:w="6647" w:type="dxa"/>
            <w:gridSpan w:val="4"/>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0" w:firstLineChars="0"/>
              <w:jc w:val="center"/>
              <w:textAlignment w:val="auto"/>
              <w:outlineLvl w:val="9"/>
              <w:rPr>
                <w:rFonts w:hint="eastAsia" w:eastAsia="宋体" w:cs="宋体"/>
                <w:b w:val="0"/>
                <w:bCs w:val="0"/>
                <w:color w:val="000000" w:themeColor="text1"/>
                <w:kern w:val="0"/>
                <w:sz w:val="24"/>
                <w:highlight w:val="none"/>
                <w:lang w:eastAsia="zh-CN"/>
                <w14:textFill>
                  <w14:solidFill>
                    <w14:schemeClr w14:val="tx1"/>
                  </w14:solidFill>
                </w14:textFill>
              </w:rPr>
            </w:pPr>
            <w:r>
              <w:rPr>
                <w:rFonts w:hint="eastAsia" w:cs="宋体"/>
                <w:b w:val="0"/>
                <w:bCs w:val="0"/>
                <w:color w:val="000000" w:themeColor="text1"/>
                <w:kern w:val="0"/>
                <w:sz w:val="24"/>
                <w:highlight w:val="none"/>
                <w:lang w:val="en-US" w:eastAsia="zh-CN"/>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2223" w:type="dxa"/>
            <w:vAlign w:val="center"/>
          </w:tcPr>
          <w:p>
            <w:pPr>
              <w:keepNext w:val="0"/>
              <w:keepLines w:val="0"/>
              <w:pageBreakBefore w:val="0"/>
              <w:widowControl w:val="0"/>
              <w:kinsoku/>
              <w:wordWrap/>
              <w:overflowPunct/>
              <w:topLinePunct w:val="0"/>
              <w:bidi w:val="0"/>
              <w:adjustRightInd w:val="0"/>
              <w:snapToGrid w:val="0"/>
              <w:spacing w:line="360" w:lineRule="auto"/>
              <w:jc w:val="center"/>
              <w:textAlignment w:val="auto"/>
              <w:rPr>
                <w:rFonts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规划环境影响</w:t>
            </w:r>
          </w:p>
          <w:p>
            <w:pPr>
              <w:keepNext w:val="0"/>
              <w:keepLines w:val="0"/>
              <w:pageBreakBefore w:val="0"/>
              <w:widowControl w:val="0"/>
              <w:kinsoku/>
              <w:wordWrap/>
              <w:overflowPunct/>
              <w:topLinePunct w:val="0"/>
              <w:bidi w:val="0"/>
              <w:adjustRightInd w:val="0"/>
              <w:snapToGrid w:val="0"/>
              <w:spacing w:line="360" w:lineRule="auto"/>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sz w:val="24"/>
                <w14:textFill>
                  <w14:solidFill>
                    <w14:schemeClr w14:val="tx1"/>
                  </w14:solidFill>
                </w14:textFill>
              </w:rPr>
              <w:t>评价情况</w:t>
            </w:r>
          </w:p>
        </w:tc>
        <w:tc>
          <w:tcPr>
            <w:tcW w:w="6647" w:type="dxa"/>
            <w:gridSpan w:val="4"/>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0" w:firstLineChars="0"/>
              <w:jc w:val="center"/>
              <w:textAlignment w:val="auto"/>
              <w:outlineLvl w:val="9"/>
              <w:rPr>
                <w:rFonts w:hint="default" w:eastAsia="宋体" w:cs="宋体"/>
                <w:color w:val="000000" w:themeColor="text1"/>
                <w:kern w:val="0"/>
                <w:sz w:val="24"/>
                <w:highlight w:val="none"/>
                <w:lang w:val="en-US" w:eastAsia="zh-CN"/>
                <w14:textFill>
                  <w14:solidFill>
                    <w14:schemeClr w14:val="tx1"/>
                  </w14:solidFill>
                </w14:textFill>
              </w:rPr>
            </w:pPr>
            <w:r>
              <w:rPr>
                <w:rFonts w:hint="eastAsia" w:cs="宋体"/>
                <w:color w:val="000000" w:themeColor="text1"/>
                <w:kern w:val="0"/>
                <w:sz w:val="24"/>
                <w:highlight w:val="none"/>
                <w:lang w:val="en-US" w:eastAsia="zh-CN"/>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2223" w:type="dxa"/>
            <w:vAlign w:val="center"/>
          </w:tcPr>
          <w:p>
            <w:pPr>
              <w:pStyle w:val="34"/>
              <w:keepNext w:val="0"/>
              <w:keepLines w:val="0"/>
              <w:pageBreakBefore w:val="0"/>
              <w:widowControl w:val="0"/>
              <w:kinsoku/>
              <w:wordWrap/>
              <w:overflowPunct/>
              <w:topLinePunct w:val="0"/>
              <w:bidi w:val="0"/>
              <w:jc w:val="center"/>
              <w:textAlignment w:val="auto"/>
              <w:rPr>
                <w:rFonts w:hint="eastAsia" w:cs="宋体"/>
                <w:color w:val="000000" w:themeColor="text1"/>
                <w:sz w:val="24"/>
                <w14:textFill>
                  <w14:solidFill>
                    <w14:schemeClr w14:val="tx1"/>
                  </w14:solidFill>
                </w14:textFill>
              </w:rPr>
            </w:pPr>
            <w:r>
              <w:rPr>
                <w:rFonts w:hint="eastAsia" w:cs="宋体"/>
                <w:color w:val="000000" w:themeColor="text1"/>
                <w:sz w:val="24"/>
                <w14:textFill>
                  <w14:solidFill>
                    <w14:schemeClr w14:val="tx1"/>
                  </w14:solidFill>
                </w14:textFill>
              </w:rPr>
              <w:t>规划及规划环境影响评价符合性分析</w:t>
            </w:r>
          </w:p>
        </w:tc>
        <w:tc>
          <w:tcPr>
            <w:tcW w:w="6647" w:type="dxa"/>
            <w:gridSpan w:val="4"/>
            <w:vAlign w:val="center"/>
          </w:tcPr>
          <w:p>
            <w:pPr>
              <w:pStyle w:val="34"/>
              <w:keepNext w:val="0"/>
              <w:keepLines w:val="0"/>
              <w:pageBreakBefore w:val="0"/>
              <w:widowControl w:val="0"/>
              <w:kinsoku/>
              <w:wordWrap/>
              <w:overflowPunct/>
              <w:topLinePunct w:val="0"/>
              <w:autoSpaceDE w:val="0"/>
              <w:autoSpaceDN w:val="0"/>
              <w:bidi w:val="0"/>
              <w:adjustRightInd w:val="0"/>
              <w:snapToGrid w:val="0"/>
              <w:spacing w:line="360" w:lineRule="auto"/>
              <w:jc w:val="center"/>
              <w:textAlignment w:val="auto"/>
              <w:rPr>
                <w:rFonts w:hint="default" w:eastAsia="宋体" w:cs="宋体"/>
                <w:color w:val="000000" w:themeColor="text1"/>
                <w:kern w:val="0"/>
                <w:sz w:val="24"/>
                <w:lang w:val="en-US" w:eastAsia="zh-CN"/>
                <w14:textFill>
                  <w14:solidFill>
                    <w14:schemeClr w14:val="tx1"/>
                  </w14:solidFill>
                </w14:textFill>
              </w:rPr>
            </w:pPr>
            <w:r>
              <w:rPr>
                <w:rFonts w:hint="eastAsia" w:eastAsia="宋体" w:cs="宋体"/>
                <w:color w:val="000000" w:themeColor="text1"/>
                <w:kern w:val="0"/>
                <w:sz w:val="24"/>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9" w:hRule="atLeast"/>
          <w:jc w:val="center"/>
        </w:trPr>
        <w:tc>
          <w:tcPr>
            <w:tcW w:w="2223"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left="0" w:leftChars="0"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keepNext w:val="0"/>
              <w:keepLines w:val="0"/>
              <w:widowControl/>
              <w:suppressLineNumbers w:val="0"/>
              <w:jc w:val="center"/>
              <w:rPr>
                <w:color w:val="000000" w:themeColor="text1"/>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0" w:firstLineChars="0"/>
              <w:jc w:val="center"/>
              <w:textAlignment w:val="auto"/>
              <w:rPr>
                <w:rFonts w:hint="eastAsia"/>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w:t>其他符合性分析</w:t>
            </w: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left="0" w:leftChars="0"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left="0" w:leftChars="0" w:right="0" w:firstLine="0" w:firstLineChars="0"/>
              <w:jc w:val="center"/>
              <w:textAlignment w:val="auto"/>
              <w:rPr>
                <w:rFonts w:hint="eastAsia"/>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0" w:firstLineChars="0"/>
              <w:jc w:val="center"/>
              <w:textAlignment w:val="auto"/>
              <w:rPr>
                <w:rFonts w:hint="eastAsia"/>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w:t>其他符合性分析</w:t>
            </w: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adjustRightInd w:val="0"/>
              <w:snapToGrid w:val="0"/>
              <w:spacing w:before="0" w:after="0" w:line="36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eastAsia="宋体"/>
                <w:color w:val="000000" w:themeColor="text1"/>
                <w:sz w:val="24"/>
                <w:szCs w:val="24"/>
                <w:lang w:eastAsia="zh-CN"/>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adjustRightInd w:val="0"/>
              <w:snapToGrid w:val="0"/>
              <w:spacing w:before="0" w:after="0" w:line="240" w:lineRule="auto"/>
              <w:ind w:right="0" w:firstLine="0" w:firstLineChars="0"/>
              <w:jc w:val="center"/>
              <w:textAlignment w:val="auto"/>
              <w:rPr>
                <w:rFonts w:hint="eastAsia"/>
                <w:color w:val="000000" w:themeColor="text1"/>
                <w:sz w:val="24"/>
                <w:szCs w:val="24"/>
                <w14:textFill>
                  <w14:solidFill>
                    <w14:schemeClr w14:val="tx1"/>
                  </w14:solidFill>
                </w14:textFill>
              </w:rPr>
            </w:pPr>
          </w:p>
          <w:p>
            <w:pPr>
              <w:pStyle w:val="25"/>
              <w:keepNext w:val="0"/>
              <w:keepLines w:val="0"/>
              <w:pageBreakBefore w:val="0"/>
              <w:widowControl w:val="0"/>
              <w:kinsoku/>
              <w:wordWrap/>
              <w:overflowPunct/>
              <w:topLinePunct w:val="0"/>
              <w:bidi w:val="0"/>
              <w:ind w:left="0" w:leftChars="0" w:firstLine="0" w:firstLineChars="0"/>
              <w:jc w:val="center"/>
              <w:textAlignment w:val="auto"/>
              <w:rPr>
                <w:rFonts w:hint="eastAsia"/>
                <w:color w:val="000000" w:themeColor="text1"/>
                <w:sz w:val="24"/>
                <w14:textFill>
                  <w14:solidFill>
                    <w14:schemeClr w14:val="tx1"/>
                  </w14:solidFill>
                </w14:textFill>
              </w:rPr>
            </w:pPr>
          </w:p>
        </w:tc>
        <w:tc>
          <w:tcPr>
            <w:tcW w:w="6647" w:type="dxa"/>
            <w:gridSpan w:val="4"/>
            <w:vAlign w:val="top"/>
          </w:tcPr>
          <w:p>
            <w:pPr>
              <w:keepNext w:val="0"/>
              <w:keepLines w:val="0"/>
              <w:pageBreakBefore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14:textFill>
                  <w14:solidFill>
                    <w14:schemeClr w14:val="tx1"/>
                  </w14:solidFill>
                </w14:textFill>
              </w:rPr>
              <w:t>1</w:t>
            </w:r>
            <w:r>
              <w:rPr>
                <w:rFonts w:hint="eastAsia" w:ascii="Times New Roman" w:hAnsi="Times New Roman" w:eastAsia="宋体" w:cs="Times New Roman"/>
                <w:b/>
                <w:bCs/>
                <w:color w:val="000000" w:themeColor="text1"/>
                <w:sz w:val="24"/>
                <w:szCs w:val="24"/>
                <w:lang w:eastAsia="zh-CN"/>
                <w14:textFill>
                  <w14:solidFill>
                    <w14:schemeClr w14:val="tx1"/>
                  </w14:solidFill>
                </w14:textFill>
              </w:rPr>
              <w:t>、</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与</w:t>
            </w: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三线一单</w:t>
            </w: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符合性分析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t>为深入贯彻《中共中央国务院关于全面加强生态环境保护坚决打好污染防治攻坚战的意见》和《河南省人民政府关于实施“三线一单”生态环境分区管控的意见》（豫政〔2020〕37号），</w:t>
            </w:r>
            <w:r>
              <w:rPr>
                <w:rFonts w:hint="eastAsia" w:cs="宋体"/>
                <w:color w:val="000000" w:themeColor="text1"/>
                <w:kern w:val="0"/>
                <w:sz w:val="24"/>
                <w14:textFill>
                  <w14:solidFill>
                    <w14:schemeClr w14:val="tx1"/>
                  </w14:solidFill>
                </w14:textFill>
              </w:rPr>
              <w:t>2021</w:t>
            </w:r>
            <w:r>
              <w:rPr>
                <w:rFonts w:cs="宋体"/>
                <w:color w:val="000000" w:themeColor="text1"/>
                <w:kern w:val="0"/>
                <w:sz w:val="24"/>
                <w14:textFill>
                  <w14:solidFill>
                    <w14:schemeClr w14:val="tx1"/>
                  </w14:solidFill>
                </w14:textFill>
              </w:rPr>
              <w:t>年</w:t>
            </w:r>
            <w:r>
              <w:rPr>
                <w:rFonts w:hint="eastAsia" w:cs="宋体"/>
                <w:color w:val="000000" w:themeColor="text1"/>
                <w:kern w:val="0"/>
                <w:sz w:val="24"/>
                <w14:textFill>
                  <w14:solidFill>
                    <w14:schemeClr w14:val="tx1"/>
                  </w14:solidFill>
                </w14:textFill>
              </w:rPr>
              <w:t>6</w:t>
            </w:r>
            <w:r>
              <w:rPr>
                <w:rFonts w:cs="宋体"/>
                <w:color w:val="000000" w:themeColor="text1"/>
                <w:kern w:val="0"/>
                <w:sz w:val="24"/>
                <w14:textFill>
                  <w14:solidFill>
                    <w14:schemeClr w14:val="tx1"/>
                  </w14:solidFill>
                </w14:textFill>
              </w:rPr>
              <w:t>月</w:t>
            </w:r>
            <w:r>
              <w:rPr>
                <w:rFonts w:hint="eastAsia" w:cs="宋体"/>
                <w:color w:val="000000" w:themeColor="text1"/>
                <w:kern w:val="0"/>
                <w:sz w:val="24"/>
                <w14:textFill>
                  <w14:solidFill>
                    <w14:schemeClr w14:val="tx1"/>
                  </w14:solidFill>
                </w14:textFill>
              </w:rPr>
              <w:t>18</w:t>
            </w:r>
            <w:r>
              <w:rPr>
                <w:rFonts w:cs="宋体"/>
                <w:color w:val="000000" w:themeColor="text1"/>
                <w:kern w:val="0"/>
                <w:sz w:val="24"/>
                <w14:textFill>
                  <w14:solidFill>
                    <w14:schemeClr w14:val="tx1"/>
                  </w14:solidFill>
                </w14:textFill>
              </w:rPr>
              <w:t>日</w:t>
            </w:r>
            <w:r>
              <w:rPr>
                <w:rFonts w:hint="eastAsia" w:cs="宋体"/>
                <w:color w:val="000000" w:themeColor="text1"/>
                <w:kern w:val="0"/>
                <w:sz w:val="24"/>
                <w14:textFill>
                  <w14:solidFill>
                    <w14:schemeClr w14:val="tx1"/>
                  </w14:solidFill>
                </w14:textFill>
              </w:rPr>
              <w:t>平顶山市人民政府</w:t>
            </w:r>
            <w:r>
              <w:rPr>
                <w:rFonts w:cs="宋体"/>
                <w:color w:val="000000" w:themeColor="text1"/>
                <w:kern w:val="0"/>
                <w:sz w:val="24"/>
                <w14:textFill>
                  <w14:solidFill>
                    <w14:schemeClr w14:val="tx1"/>
                  </w14:solidFill>
                </w14:textFill>
              </w:rPr>
              <w:t>发布了《</w:t>
            </w:r>
            <w:r>
              <w:rPr>
                <w:rFonts w:hint="eastAsia" w:cs="宋体"/>
                <w:color w:val="000000" w:themeColor="text1"/>
                <w:kern w:val="0"/>
                <w:sz w:val="24"/>
                <w14:textFill>
                  <w14:solidFill>
                    <w14:schemeClr w14:val="tx1"/>
                  </w14:solidFill>
                </w14:textFill>
              </w:rPr>
              <w:t>平顶山市</w:t>
            </w:r>
            <w:r>
              <w:rPr>
                <w:rFonts w:cs="宋体"/>
                <w:color w:val="000000" w:themeColor="text1"/>
                <w:kern w:val="0"/>
                <w:sz w:val="24"/>
                <w14:textFill>
                  <w14:solidFill>
                    <w14:schemeClr w14:val="tx1"/>
                  </w14:solidFill>
                </w14:textFill>
              </w:rPr>
              <w:t>人民政府关于实施</w:t>
            </w:r>
            <w:r>
              <w:rPr>
                <w:rFonts w:hint="eastAsia" w:cs="宋体"/>
                <w:color w:val="000000" w:themeColor="text1"/>
                <w:kern w:val="0"/>
                <w:sz w:val="24"/>
                <w14:textFill>
                  <w14:solidFill>
                    <w14:schemeClr w14:val="tx1"/>
                  </w14:solidFill>
                </w14:textFill>
              </w:rPr>
              <w:t>“</w:t>
            </w:r>
            <w:r>
              <w:rPr>
                <w:rFonts w:cs="宋体"/>
                <w:color w:val="000000" w:themeColor="text1"/>
                <w:kern w:val="0"/>
                <w:sz w:val="24"/>
                <w14:textFill>
                  <w14:solidFill>
                    <w14:schemeClr w14:val="tx1"/>
                  </w14:solidFill>
                </w14:textFill>
              </w:rPr>
              <w:t>三线一单</w:t>
            </w:r>
            <w:r>
              <w:rPr>
                <w:rFonts w:hint="eastAsia" w:cs="宋体"/>
                <w:color w:val="000000" w:themeColor="text1"/>
                <w:kern w:val="0"/>
                <w:sz w:val="24"/>
                <w14:textFill>
                  <w14:solidFill>
                    <w14:schemeClr w14:val="tx1"/>
                  </w14:solidFill>
                </w14:textFill>
              </w:rPr>
              <w:t>”</w:t>
            </w:r>
            <w:r>
              <w:rPr>
                <w:rFonts w:cs="宋体"/>
                <w:color w:val="000000" w:themeColor="text1"/>
                <w:kern w:val="0"/>
                <w:sz w:val="24"/>
                <w14:textFill>
                  <w14:solidFill>
                    <w14:schemeClr w14:val="tx1"/>
                  </w14:solidFill>
                </w14:textFill>
              </w:rPr>
              <w:t>生态环境分区管控的意见》</w:t>
            </w:r>
            <w:r>
              <w:rPr>
                <w:rFonts w:hint="eastAsia" w:cs="宋体"/>
                <w:color w:val="000000" w:themeColor="text1"/>
                <w:kern w:val="0"/>
                <w:sz w:val="24"/>
                <w14:textFill>
                  <w14:solidFill>
                    <w14:schemeClr w14:val="tx1"/>
                  </w14:solidFill>
                </w14:textFill>
              </w:rPr>
              <w:t>（平政</w:t>
            </w:r>
            <w:r>
              <w:rPr>
                <w:rFonts w:hint="eastAsia" w:cs="宋体"/>
                <w:color w:val="000000" w:themeColor="text1"/>
                <w:kern w:val="0"/>
                <w:sz w:val="24"/>
                <w:lang w:val="en-US" w:eastAsia="zh-CN"/>
                <w14:textFill>
                  <w14:solidFill>
                    <w14:schemeClr w14:val="tx1"/>
                  </w14:solidFill>
                </w14:textFill>
              </w:rPr>
              <w:t>[2021]</w:t>
            </w:r>
            <w:r>
              <w:rPr>
                <w:rFonts w:hint="eastAsia" w:cs="宋体"/>
                <w:color w:val="000000" w:themeColor="text1"/>
                <w:kern w:val="0"/>
                <w:sz w:val="24"/>
                <w14:textFill>
                  <w14:solidFill>
                    <w14:schemeClr w14:val="tx1"/>
                  </w14:solidFill>
                </w14:textFill>
              </w:rPr>
              <w:t>10号）</w:t>
            </w:r>
            <w:r>
              <w:rPr>
                <w:rFonts w:cs="宋体"/>
                <w:color w:val="000000" w:themeColor="text1"/>
                <w:kern w:val="0"/>
                <w:sz w:val="24"/>
                <w14:textFill>
                  <w14:solidFill>
                    <w14:schemeClr w14:val="tx1"/>
                  </w14:solidFill>
                </w14:textFill>
              </w:rPr>
              <w:t>，</w:t>
            </w:r>
            <w:r>
              <w:rPr>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t>本项目与平顶山市“三线一单”相符性分析如下：</w:t>
            </w:r>
          </w:p>
          <w:p>
            <w:pPr>
              <w:keepNext w:val="0"/>
              <w:keepLines w:val="0"/>
              <w:pageBreakBefore w:val="0"/>
              <w:widowControl/>
              <w:suppressLineNumbers w:val="0"/>
              <w:kinsoku/>
              <w:wordWrap/>
              <w:overflowPunct/>
              <w:topLinePunct w:val="0"/>
              <w:autoSpaceDE/>
              <w:autoSpaceDN/>
              <w:bidi w:val="0"/>
              <w:adjustRightInd w:val="0"/>
              <w:snapToGrid w:val="0"/>
              <w:spacing w:line="360" w:lineRule="auto"/>
              <w:jc w:val="both"/>
              <w:textAlignment w:val="auto"/>
              <w:rPr>
                <w:rFonts w:hint="default" w:ascii="Times New Roman" w:hAnsi="Times New Roman" w:eastAsia="宋体" w:cs="Times New Roman"/>
                <w:b/>
                <w:bCs/>
                <w:color w:val="000000" w:themeColor="text1"/>
                <w:sz w:val="24"/>
                <w:szCs w:val="24"/>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（1）生态保护红线</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0" w:firstLine="480" w:firstLineChars="200"/>
              <w:jc w:val="both"/>
              <w:textAlignment w:val="auto"/>
              <w:rPr>
                <w:rFonts w:hint="default"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根据《平顶山市人民政府关于实施“三线一单”生态环境分区管控的意见》（平政[2021]10号），</w:t>
            </w:r>
            <w:r>
              <w:rPr>
                <w:rFonts w:hint="default"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按照生态保护红线、环境质量底线、资源利用上线等相关要求，划定全市优先保护单元、重点管控单元和一般管控单元三类生态环境管控单元，并实施分类管控。全市国土空间按优先保护单元、重点管控单元、一般管控单元三大类共分为65个生态环境管控单元。其中，优先保护单元23个</w:t>
            </w:r>
            <w:r>
              <w:rPr>
                <w:rFonts w:hint="eastAsia" w:cs="Times New Roman"/>
                <w:b w:val="0"/>
                <w:bCs w:val="0"/>
                <w:color w:val="000000" w:themeColor="text1"/>
                <w:kern w:val="0"/>
                <w:sz w:val="24"/>
                <w:szCs w:val="24"/>
                <w:u w:val="none"/>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重点管控单元35个</w:t>
            </w:r>
            <w:r>
              <w:rPr>
                <w:rFonts w:hint="eastAsia" w:cs="Times New Roman"/>
                <w:b w:val="0"/>
                <w:bCs w:val="0"/>
                <w:color w:val="000000" w:themeColor="text1"/>
                <w:kern w:val="0"/>
                <w:sz w:val="24"/>
                <w:szCs w:val="24"/>
                <w:u w:val="none"/>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一般管控单元7个。</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0" w:firstLine="482" w:firstLineChars="200"/>
              <w:jc w:val="both"/>
              <w:textAlignment w:val="auto"/>
              <w:rPr>
                <w:rFonts w:hint="default"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本项目位于平顶山市鲁山县库区乡平岭街01号，根据河南省“三线一单”成果查询系统查询结果，本项目位于环境管控单元为鲁山县一般管控单元、环境管控单元编码ZH41042330001、管控单元分类为一般管控单元。本项目不涉及饮用水源地、风景名胜区、自然保护区等生态保护区，不在生态保护红线范围内。</w:t>
            </w:r>
          </w:p>
          <w:p>
            <w:pPr>
              <w:keepNext w:val="0"/>
              <w:keepLines w:val="0"/>
              <w:pageBreakBefore w:val="0"/>
              <w:widowControl/>
              <w:suppressLineNumbers w:val="0"/>
              <w:kinsoku/>
              <w:wordWrap/>
              <w:overflowPunct/>
              <w:topLinePunct w:val="0"/>
              <w:autoSpaceDE/>
              <w:autoSpaceDN/>
              <w:bidi w:val="0"/>
              <w:adjustRightInd w:val="0"/>
              <w:snapToGrid w:val="0"/>
              <w:spacing w:line="360" w:lineRule="auto"/>
              <w:jc w:val="both"/>
              <w:textAlignment w:val="auto"/>
              <w:rPr>
                <w:rFonts w:hint="default" w:ascii="Times New Roman" w:hAnsi="Times New Roman" w:eastAsia="宋体" w:cs="Times New Roman"/>
                <w:b/>
                <w:bCs/>
                <w:color w:val="000000" w:themeColor="text1"/>
                <w:sz w:val="24"/>
                <w:szCs w:val="24"/>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u w:val="single"/>
                <w:lang w:val="en-US" w:eastAsia="zh-CN"/>
                <w14:textFill>
                  <w14:solidFill>
                    <w14:schemeClr w14:val="tx1"/>
                  </w14:solidFill>
                </w14:textFill>
              </w:rPr>
              <w:t>（2）环境质量底线</w:t>
            </w:r>
          </w:p>
          <w:p>
            <w:pPr>
              <w:keepNext w:val="0"/>
              <w:keepLines w:val="0"/>
              <w:pageBreakBefore w:val="0"/>
              <w:widowControl/>
              <w:suppressLineNumbers w:val="0"/>
              <w:kinsoku/>
              <w:wordWrap/>
              <w:overflowPunct/>
              <w:topLinePunct w:val="0"/>
              <w:autoSpaceDE/>
              <w:autoSpaceDN/>
              <w:bidi w:val="0"/>
              <w:adjustRightInd w:val="0"/>
              <w:snapToGrid w:val="0"/>
              <w:spacing w:line="360" w:lineRule="auto"/>
              <w:ind w:firstLine="482" w:firstLineChars="200"/>
              <w:jc w:val="both"/>
              <w:textAlignment w:val="auto"/>
              <w:rPr>
                <w:rFonts w:hint="default" w:ascii="Times New Roman" w:hAnsi="Times New Roman" w:eastAsia="宋体" w:cs="Times New Roman"/>
                <w:b/>
                <w:bCs/>
                <w:color w:val="000000" w:themeColor="text1"/>
                <w:sz w:val="24"/>
                <w:szCs w:val="24"/>
                <w:u w:val="single"/>
                <w14:textFill>
                  <w14:solidFill>
                    <w14:schemeClr w14:val="tx1"/>
                  </w14:solidFill>
                </w14:textFill>
              </w:rPr>
            </w:pPr>
            <w:r>
              <w:rPr>
                <w:rFonts w:hint="eastAsia" w:cs="Times New Roman"/>
                <w:b/>
                <w:bCs/>
                <w:color w:val="000000" w:themeColor="text1"/>
                <w:sz w:val="24"/>
                <w:szCs w:val="24"/>
                <w:u w:val="single"/>
                <w:lang w:val="en-US" w:eastAsia="zh-CN"/>
                <w14:textFill>
                  <w14:solidFill>
                    <w14:schemeClr w14:val="tx1"/>
                  </w14:solidFill>
                </w14:textFill>
              </w:rPr>
              <w:t>根据2022年鲁山县环境空气监测数据，2022年鲁山县环境空气PM</w:t>
            </w:r>
            <w:r>
              <w:rPr>
                <w:rFonts w:hint="eastAsia" w:cs="Times New Roman"/>
                <w:b/>
                <w:bCs/>
                <w:color w:val="000000" w:themeColor="text1"/>
                <w:sz w:val="24"/>
                <w:szCs w:val="24"/>
                <w:u w:val="single"/>
                <w:vertAlign w:val="subscript"/>
                <w:lang w:val="en-US" w:eastAsia="zh-CN"/>
                <w14:textFill>
                  <w14:solidFill>
                    <w14:schemeClr w14:val="tx1"/>
                  </w14:solidFill>
                </w14:textFill>
              </w:rPr>
              <w:t>10</w:t>
            </w:r>
            <w:r>
              <w:rPr>
                <w:rFonts w:hint="eastAsia" w:cs="Times New Roman"/>
                <w:b/>
                <w:bCs/>
                <w:color w:val="000000" w:themeColor="text1"/>
                <w:sz w:val="24"/>
                <w:szCs w:val="24"/>
                <w:u w:val="single"/>
                <w:lang w:val="en-US" w:eastAsia="zh-CN"/>
                <w14:textFill>
                  <w14:solidFill>
                    <w14:schemeClr w14:val="tx1"/>
                  </w14:solidFill>
                </w14:textFill>
              </w:rPr>
              <w:t>、PM</w:t>
            </w:r>
            <w:r>
              <w:rPr>
                <w:rFonts w:hint="eastAsia" w:cs="Times New Roman"/>
                <w:b/>
                <w:bCs/>
                <w:color w:val="000000" w:themeColor="text1"/>
                <w:sz w:val="24"/>
                <w:szCs w:val="24"/>
                <w:u w:val="single"/>
                <w:vertAlign w:val="subscript"/>
                <w:lang w:val="en-US" w:eastAsia="zh-CN"/>
                <w14:textFill>
                  <w14:solidFill>
                    <w14:schemeClr w14:val="tx1"/>
                  </w14:solidFill>
                </w14:textFill>
              </w:rPr>
              <w:t>2.5</w:t>
            </w:r>
            <w:r>
              <w:rPr>
                <w:rFonts w:hint="eastAsia" w:cs="Times New Roman"/>
                <w:b/>
                <w:bCs/>
                <w:color w:val="000000" w:themeColor="text1"/>
                <w:sz w:val="24"/>
                <w:szCs w:val="24"/>
                <w:u w:val="single"/>
                <w:lang w:val="en-US" w:eastAsia="zh-CN"/>
                <w14:textFill>
                  <w14:solidFill>
                    <w14:schemeClr w14:val="tx1"/>
                  </w14:solidFill>
                </w14:textFill>
              </w:rPr>
              <w:t>年平均质量浓度不达标，因此本项目所在区域环境空气属于不达标区。鲁山县正在实施《平顶山市年蓝天保卫战实施方案》（平环委办[2023]13号）等一系列措施，可不断改善区域大气环境质量。根据《鲁山县2022年环境质量公报》，</w:t>
            </w:r>
            <w:r>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t>2022年，市控出境水断面沙河水质达标率100%，同比提升10%。全县7个考核断面综合达标率82.5%，同比提升23%，超额完成市定“水质总体达标率达到68%以上”的目标任务。</w:t>
            </w:r>
            <w:r>
              <w:rPr>
                <w:rFonts w:hint="eastAsia" w:cs="Times New Roman"/>
                <w:b/>
                <w:bCs/>
                <w:color w:val="000000" w:themeColor="text1"/>
                <w:sz w:val="24"/>
                <w:szCs w:val="24"/>
                <w:u w:val="single"/>
                <w:lang w:val="en-US" w:eastAsia="zh-CN"/>
                <w14:textFill>
                  <w14:solidFill>
                    <w14:schemeClr w14:val="tx1"/>
                  </w14:solidFill>
                </w14:textFill>
              </w:rPr>
              <w:t>该</w:t>
            </w:r>
            <w:r>
              <w:rPr>
                <w:rFonts w:hint="eastAsia" w:ascii="Times New Roman" w:hAnsi="Times New Roman" w:eastAsia="宋体" w:cs="Times New Roman"/>
                <w:b/>
                <w:bCs/>
                <w:color w:val="000000" w:themeColor="text1"/>
                <w:kern w:val="0"/>
                <w:sz w:val="24"/>
                <w:szCs w:val="20"/>
                <w:u w:val="single"/>
                <w:lang w:val="en-US" w:eastAsia="zh-CN" w:bidi="ar-SA"/>
                <w14:textFill>
                  <w14:solidFill>
                    <w14:schemeClr w14:val="tx1"/>
                  </w14:solidFill>
                </w14:textFill>
              </w:rPr>
              <w:t>区域水环境质量现状较好。</w:t>
            </w:r>
          </w:p>
          <w:p>
            <w:pPr>
              <w:keepNext w:val="0"/>
              <w:keepLines w:val="0"/>
              <w:pageBreakBefore w:val="0"/>
              <w:widowControl/>
              <w:suppressLineNumbers w:val="0"/>
              <w:kinsoku/>
              <w:wordWrap/>
              <w:overflowPunct/>
              <w:topLinePunct w:val="0"/>
              <w:autoSpaceDE/>
              <w:autoSpaceDN/>
              <w:bidi w:val="0"/>
              <w:adjustRightInd w:val="0"/>
              <w:snapToGrid w:val="0"/>
              <w:spacing w:line="360" w:lineRule="auto"/>
              <w:ind w:firstLine="480" w:firstLineChars="200"/>
              <w:jc w:val="both"/>
              <w:textAlignment w:val="auto"/>
              <w:rPr>
                <w:rFonts w:hint="eastAsia" w:cs="Times New Roman"/>
                <w:color w:val="000000" w:themeColor="text1"/>
                <w:sz w:val="24"/>
                <w:szCs w:val="24"/>
                <w:lang w:val="en-US" w:eastAsia="zh-CN"/>
                <w14:textFill>
                  <w14:solidFill>
                    <w14:schemeClr w14:val="tx1"/>
                  </w14:solidFill>
                </w14:textFill>
              </w:rPr>
            </w:pPr>
            <w:r>
              <w:rPr>
                <w:rFonts w:hint="eastAsia" w:cs="Times New Roman"/>
                <w:color w:val="000000" w:themeColor="text1"/>
                <w:sz w:val="24"/>
                <w:szCs w:val="24"/>
                <w:lang w:val="en-US" w:eastAsia="zh-CN"/>
                <w14:textFill>
                  <w14:solidFill>
                    <w14:schemeClr w14:val="tx1"/>
                  </w14:solidFill>
                </w14:textFill>
              </w:rPr>
              <w:t>项目废气、噪声经治理后可达标排放，工业废水不外排，固体废物全部妥善处理，项目建设不会明显降低区域环境质量现状，不会对当地环境质量底线造成冲击。</w:t>
            </w:r>
          </w:p>
          <w:p>
            <w:pPr>
              <w:keepNext w:val="0"/>
              <w:keepLines w:val="0"/>
              <w:pageBreakBefore w:val="0"/>
              <w:widowControl/>
              <w:suppressLineNumbers w:val="0"/>
              <w:kinsoku/>
              <w:wordWrap/>
              <w:overflowPunct/>
              <w:topLinePunct w:val="0"/>
              <w:autoSpaceDE/>
              <w:autoSpaceDN/>
              <w:bidi w:val="0"/>
              <w:adjustRightInd w:val="0"/>
              <w:snapToGrid w:val="0"/>
              <w:spacing w:line="360" w:lineRule="auto"/>
              <w:jc w:val="both"/>
              <w:textAlignment w:val="auto"/>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（3）资源利用上线</w:t>
            </w:r>
          </w:p>
          <w:p>
            <w:pPr>
              <w:keepNext w:val="0"/>
              <w:keepLines w:val="0"/>
              <w:pageBreakBefore w:val="0"/>
              <w:suppressLineNumbers w:val="0"/>
              <w:kinsoku/>
              <w:wordWrap/>
              <w:overflowPunct/>
              <w:topLinePunct w:val="0"/>
              <w:autoSpaceDE w:val="0"/>
              <w:autoSpaceDN w:val="0"/>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b w:val="0"/>
                <w:bCs w:val="0"/>
                <w:color w:val="000000" w:themeColor="text1"/>
                <w:kern w:val="0"/>
                <w:sz w:val="24"/>
                <w:highlight w:val="none"/>
                <w:u w:val="none"/>
                <w14:textFill>
                  <w14:solidFill>
                    <w14:schemeClr w14:val="tx1"/>
                  </w14:solidFill>
                </w14:textFill>
              </w:rPr>
              <w:t>本项目营运过程中消耗电</w:t>
            </w:r>
            <w:r>
              <w:rPr>
                <w:rFonts w:hint="eastAsia"/>
                <w:b w:val="0"/>
                <w:bCs w:val="0"/>
                <w:color w:val="000000" w:themeColor="text1"/>
                <w:kern w:val="0"/>
                <w:sz w:val="24"/>
                <w:highlight w:val="none"/>
                <w:u w:val="none"/>
                <w:lang w:val="en-US" w:eastAsia="zh-CN"/>
                <w14:textFill>
                  <w14:solidFill>
                    <w14:schemeClr w14:val="tx1"/>
                  </w14:solidFill>
                </w14:textFill>
              </w:rPr>
              <w:t>15万</w:t>
            </w:r>
            <w:r>
              <w:rPr>
                <w:rFonts w:hint="eastAsia"/>
                <w:b w:val="0"/>
                <w:bCs w:val="0"/>
                <w:color w:val="000000" w:themeColor="text1"/>
                <w:kern w:val="0"/>
                <w:sz w:val="24"/>
                <w:highlight w:val="none"/>
                <w:u w:val="none"/>
                <w14:textFill>
                  <w14:solidFill>
                    <w14:schemeClr w14:val="tx1"/>
                  </w14:solidFill>
                </w14:textFill>
              </w:rPr>
              <w:t>kW/a、</w:t>
            </w:r>
            <w:r>
              <w:rPr>
                <w:rFonts w:hint="eastAsia"/>
                <w:b w:val="0"/>
                <w:bCs w:val="0"/>
                <w:color w:val="000000" w:themeColor="text1"/>
                <w:kern w:val="0"/>
                <w:sz w:val="24"/>
                <w:highlight w:val="none"/>
                <w:u w:val="none"/>
                <w:lang w:eastAsia="zh-CN"/>
                <w14:textFill>
                  <w14:solidFill>
                    <w14:schemeClr w14:val="tx1"/>
                  </w14:solidFill>
                </w14:textFill>
              </w:rPr>
              <w:t>消耗</w:t>
            </w:r>
            <w:r>
              <w:rPr>
                <w:rFonts w:hint="eastAsia"/>
                <w:b w:val="0"/>
                <w:bCs w:val="0"/>
                <w:color w:val="000000" w:themeColor="text1"/>
                <w:kern w:val="0"/>
                <w:sz w:val="24"/>
                <w:highlight w:val="none"/>
                <w:u w:val="none"/>
                <w14:textFill>
                  <w14:solidFill>
                    <w14:schemeClr w14:val="tx1"/>
                  </w14:solidFill>
                </w14:textFill>
              </w:rPr>
              <w:t>水</w:t>
            </w:r>
            <w:r>
              <w:rPr>
                <w:rFonts w:hint="eastAsia"/>
                <w:b w:val="0"/>
                <w:bCs w:val="0"/>
                <w:color w:val="000000" w:themeColor="text1"/>
                <w:kern w:val="0"/>
                <w:sz w:val="24"/>
                <w:highlight w:val="none"/>
                <w:u w:val="none"/>
                <w:lang w:val="en-US" w:eastAsia="zh-CN"/>
                <w14:textFill>
                  <w14:solidFill>
                    <w14:schemeClr w14:val="tx1"/>
                  </w14:solidFill>
                </w14:textFill>
              </w:rPr>
              <w:t>4433.28m</w:t>
            </w:r>
            <w:r>
              <w:rPr>
                <w:rFonts w:hint="eastAsia"/>
                <w:b w:val="0"/>
                <w:bCs w:val="0"/>
                <w:color w:val="000000" w:themeColor="text1"/>
                <w:kern w:val="0"/>
                <w:sz w:val="24"/>
                <w:highlight w:val="none"/>
                <w:u w:val="none"/>
                <w:vertAlign w:val="superscript"/>
                <w:lang w:val="en-US" w:eastAsia="zh-CN"/>
                <w14:textFill>
                  <w14:solidFill>
                    <w14:schemeClr w14:val="tx1"/>
                  </w14:solidFill>
                </w14:textFill>
              </w:rPr>
              <w:t>3</w:t>
            </w:r>
            <w:r>
              <w:rPr>
                <w:rFonts w:hint="eastAsia"/>
                <w:b w:val="0"/>
                <w:bCs w:val="0"/>
                <w:color w:val="000000" w:themeColor="text1"/>
                <w:kern w:val="0"/>
                <w:sz w:val="24"/>
                <w:highlight w:val="none"/>
                <w:u w:val="none"/>
                <w:lang w:val="en-US" w:eastAsia="zh-CN"/>
                <w14:textFill>
                  <w14:solidFill>
                    <w14:schemeClr w14:val="tx1"/>
                  </w14:solidFill>
                </w14:textFill>
              </w:rPr>
              <w:t>/a</w:t>
            </w:r>
            <w:r>
              <w:rPr>
                <w:rFonts w:hint="eastAsia"/>
                <w:b w:val="0"/>
                <w:bCs w:val="0"/>
                <w:color w:val="000000" w:themeColor="text1"/>
                <w:kern w:val="0"/>
                <w:sz w:val="24"/>
                <w:highlight w:val="none"/>
                <w:u w:val="none"/>
                <w14:textFill>
                  <w14:solidFill>
                    <w14:schemeClr w14:val="tx1"/>
                  </w14:solidFill>
                </w14:textFill>
              </w:rPr>
              <w:t>，项目资源消耗量相对区域资源利用总量较少，不会突破当地资源</w:t>
            </w:r>
            <w:r>
              <w:rPr>
                <w:rFonts w:hint="eastAsia"/>
                <w:b w:val="0"/>
                <w:bCs w:val="0"/>
                <w:color w:val="000000" w:themeColor="text1"/>
                <w:kern w:val="0"/>
                <w:sz w:val="24"/>
                <w:highlight w:val="none"/>
                <w:u w:val="none"/>
                <w:lang w:eastAsia="zh-CN"/>
                <w14:textFill>
                  <w14:solidFill>
                    <w14:schemeClr w14:val="tx1"/>
                  </w14:solidFill>
                </w14:textFill>
              </w:rPr>
              <w:t>利用</w:t>
            </w:r>
            <w:r>
              <w:rPr>
                <w:rFonts w:hint="eastAsia"/>
                <w:b w:val="0"/>
                <w:bCs w:val="0"/>
                <w:color w:val="000000" w:themeColor="text1"/>
                <w:kern w:val="0"/>
                <w:sz w:val="24"/>
                <w:highlight w:val="none"/>
                <w:u w:val="none"/>
                <w14:textFill>
                  <w14:solidFill>
                    <w14:schemeClr w14:val="tx1"/>
                  </w14:solidFill>
                </w14:textFill>
              </w:rPr>
              <w:t>上限。</w:t>
            </w:r>
            <w:r>
              <w:rPr>
                <w:rFonts w:hint="eastAsia" w:cs="Times New Roman"/>
                <w:color w:val="000000" w:themeColor="text1"/>
                <w:sz w:val="24"/>
                <w:szCs w:val="24"/>
                <w:highlight w:val="none"/>
                <w:lang w:val="en-US" w:eastAsia="zh-CN"/>
                <w14:textFill>
                  <w14:solidFill>
                    <w14:schemeClr w14:val="tx1"/>
                  </w14:solidFill>
                </w14:textFill>
              </w:rPr>
              <w:t>项目用地为工业用地，</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不会对当地</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土地</w:t>
            </w:r>
            <w:r>
              <w:rPr>
                <w:rFonts w:hint="eastAsia" w:cs="Times New Roman"/>
                <w:color w:val="000000" w:themeColor="text1"/>
                <w:sz w:val="24"/>
                <w:szCs w:val="24"/>
                <w:lang w:val="en-US" w:eastAsia="zh-CN"/>
                <w14:textFill>
                  <w14:solidFill>
                    <w14:schemeClr w14:val="tx1"/>
                  </w14:solidFill>
                </w14:textFill>
              </w:rPr>
              <w:t>资源</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cs="Times New Roman"/>
                <w:color w:val="000000" w:themeColor="text1"/>
                <w:sz w:val="24"/>
                <w:szCs w:val="24"/>
                <w:lang w:val="en-US" w:eastAsia="zh-CN"/>
                <w14:textFill>
                  <w14:solidFill>
                    <w14:schemeClr w14:val="tx1"/>
                  </w14:solidFill>
                </w14:textFill>
              </w:rPr>
              <w:t>土壤</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资源造成较大影响，因此，项目建设符合资源利用上线管理要求。</w:t>
            </w:r>
          </w:p>
          <w:p>
            <w:pPr>
              <w:keepNext w:val="0"/>
              <w:keepLines w:val="0"/>
              <w:pageBreakBefore w:val="0"/>
              <w:widowControl/>
              <w:suppressLineNumbers w:val="0"/>
              <w:kinsoku/>
              <w:wordWrap/>
              <w:overflowPunct/>
              <w:topLinePunct w:val="0"/>
              <w:autoSpaceDE/>
              <w:autoSpaceDN/>
              <w:bidi w:val="0"/>
              <w:adjustRightInd w:val="0"/>
              <w:snapToGrid w:val="0"/>
              <w:spacing w:line="360" w:lineRule="auto"/>
              <w:jc w:val="both"/>
              <w:textAlignment w:val="auto"/>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t>（4）生态环境准入清单</w:t>
            </w:r>
          </w:p>
          <w:p>
            <w:pPr>
              <w:pStyle w:val="34"/>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宋体" w:hAnsi="宋体" w:eastAsia="宋体" w:cs="宋体"/>
                <w:b/>
                <w:bCs w:val="0"/>
                <w:snapToGrid w:val="0"/>
                <w:color w:val="000000" w:themeColor="text1"/>
                <w:kern w:val="0"/>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t>本项目位于平顶山鲁山县产业集聚区北区，根据《平顶山市人民政府关于实施“三线一单”生态环境分区管控的意见》（平政[2021]10号）、《平顶山市生态环境准入清单（试行）》，本项目所处环境管控单元名称为鲁山县产业集聚区，环境管控单元编码ZH41042320001，管控单元分类重点管控单元。本项目建设与该管控单元相符性见下表。</w:t>
            </w:r>
          </w:p>
        </w:tc>
      </w:tr>
    </w:tbl>
    <w:p>
      <w:pPr>
        <w:pStyle w:val="34"/>
        <w:rPr>
          <w:color w:val="000000" w:themeColor="text1"/>
          <w:sz w:val="30"/>
          <w14:textFill>
            <w14:solidFill>
              <w14:schemeClr w14:val="tx1"/>
            </w14:solidFill>
          </w14:textFill>
        </w:rPr>
      </w:pPr>
    </w:p>
    <w:p>
      <w:pPr>
        <w:pStyle w:val="34"/>
        <w:rPr>
          <w:color w:val="000000" w:themeColor="text1"/>
          <w:sz w:val="30"/>
          <w14:textFill>
            <w14:solidFill>
              <w14:schemeClr w14:val="tx1"/>
            </w14:solidFill>
          </w14:textFill>
        </w:rPr>
        <w:sectPr>
          <w:footerReference r:id="rId3" w:type="default"/>
          <w:pgSz w:w="11906" w:h="16838"/>
          <w:pgMar w:top="1701" w:right="1531" w:bottom="1701" w:left="1531" w:header="851" w:footer="1077" w:gutter="0"/>
          <w:pgBorders>
            <w:top w:val="none" w:sz="0" w:space="0"/>
            <w:left w:val="none" w:sz="0" w:space="0"/>
            <w:bottom w:val="none" w:sz="0" w:space="0"/>
            <w:right w:val="none" w:sz="0" w:space="0"/>
          </w:pgBorders>
          <w:cols w:space="720" w:num="1"/>
          <w:docGrid w:linePitch="312" w:charSpace="0"/>
        </w:sectPr>
      </w:pPr>
    </w:p>
    <w:tbl>
      <w:tblPr>
        <w:tblStyle w:val="26"/>
        <w:tblW w:w="1365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967"/>
        <w:gridCol w:w="1168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67" w:type="dxa"/>
            <w:vAlign w:val="center"/>
          </w:tcPr>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autoSpaceDE w:val="0"/>
              <w:autoSpaceDN w:val="0"/>
              <w:adjustRightInd w:val="0"/>
              <w:snapToGrid w:val="0"/>
              <w:jc w:val="center"/>
              <w:rPr>
                <w:color w:val="000000" w:themeColor="text1"/>
                <w14:textFill>
                  <w14:solidFill>
                    <w14:schemeClr w14:val="tx1"/>
                  </w14:solidFill>
                </w14:textFill>
              </w:rPr>
            </w:pPr>
          </w:p>
          <w:p>
            <w:pPr>
              <w:pStyle w:val="25"/>
              <w:ind w:left="0" w:leftChars="0" w:firstLine="0" w:firstLineChars="0"/>
              <w:rPr>
                <w:rFonts w:cs="宋体"/>
                <w:color w:val="000000" w:themeColor="text1"/>
                <w:kern w:val="0"/>
                <w:sz w:val="24"/>
                <w14:textFill>
                  <w14:solidFill>
                    <w14:schemeClr w14:val="tx1"/>
                  </w14:solidFill>
                </w14:textFill>
              </w:rPr>
            </w:pPr>
          </w:p>
        </w:tc>
        <w:tc>
          <w:tcPr>
            <w:tcW w:w="11685" w:type="dxa"/>
            <w:vAlign w:val="center"/>
          </w:tcPr>
          <w:p>
            <w:pPr>
              <w:pStyle w:val="53"/>
              <w:tabs>
                <w:tab w:val="left" w:pos="895"/>
                <w:tab w:val="clear" w:pos="1322"/>
              </w:tabs>
              <w:spacing w:line="360" w:lineRule="auto"/>
              <w:rPr>
                <w:rFonts w:hint="eastAsia" w:ascii="宋体" w:hAnsi="宋体" w:eastAsia="宋体" w:cs="宋体"/>
                <w:b/>
                <w:bCs w:val="0"/>
                <w:color w:val="000000" w:themeColor="text1"/>
                <w:sz w:val="21"/>
                <w:szCs w:val="21"/>
                <w:lang w:eastAsia="zh-CN"/>
                <w14:textFill>
                  <w14:solidFill>
                    <w14:schemeClr w14:val="tx1"/>
                  </w14:solidFill>
                </w14:textFill>
              </w:rPr>
            </w:pPr>
            <w:r>
              <w:rPr>
                <w:color w:val="000000" w:themeColor="text1"/>
                <w:sz w:val="2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2669540</wp:posOffset>
                      </wp:positionH>
                      <wp:positionV relativeFrom="paragraph">
                        <wp:posOffset>1048385</wp:posOffset>
                      </wp:positionV>
                      <wp:extent cx="756920" cy="269875"/>
                      <wp:effectExtent l="6350" t="6350" r="417830" b="314325"/>
                      <wp:wrapNone/>
                      <wp:docPr id="3" name="圆角矩形标注 3"/>
                      <wp:cNvGraphicFramePr/>
                      <a:graphic xmlns:a="http://schemas.openxmlformats.org/drawingml/2006/main">
                        <a:graphicData uri="http://schemas.microsoft.com/office/word/2010/wordprocessingShape">
                          <wps:wsp>
                            <wps:cNvSpPr/>
                            <wps:spPr>
                              <a:xfrm>
                                <a:off x="4955540" y="2692400"/>
                                <a:ext cx="756920" cy="269875"/>
                              </a:xfrm>
                              <a:prstGeom prst="wedgeRoundRectCallout">
                                <a:avLst>
                                  <a:gd name="adj1" fmla="val 104026"/>
                                  <a:gd name="adj2" fmla="val 162705"/>
                                  <a:gd name="adj3" fmla="val 16667"/>
                                </a:avLst>
                              </a:prstGeom>
                              <a:noFill/>
                              <a:ln w="12700" cmpd="sng">
                                <a:solidFill>
                                  <a:srgbClr val="FF0000"/>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宋体"/>
                                      <w:b/>
                                      <w:bCs/>
                                      <w:color w:val="FF0000"/>
                                      <w:lang w:val="en-US" w:eastAsia="zh-CN"/>
                                    </w:rPr>
                                  </w:pPr>
                                  <w:r>
                                    <w:rPr>
                                      <w:rFonts w:hint="eastAsia"/>
                                      <w:b/>
                                      <w:bCs/>
                                      <w:color w:val="FF0000"/>
                                      <w:lang w:val="en-US" w:eastAsia="zh-CN"/>
                                    </w:rPr>
                                    <w:t>本项目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2" type="#_x0000_t62" style="position:absolute;left:0pt;margin-left:210.2pt;margin-top:82.55pt;height:21.25pt;width:59.6pt;z-index:251660288;v-text-anchor:middle;mso-width-relative:page;mso-height-relative:page;" filled="f" stroked="t" coordsize="21600,21600" o:gfxdata="UEsDBAoAAAAAAIdO4kAAAAAAAAAAAAAAAAAEAAAAZHJzL1BLAwQUAAAACACHTuJAsFgb8tcAAAAL&#10;AQAADwAAAGRycy9kb3ducmV2LnhtbE2PwU7DMBBE70j8g7VI3KidtA1tiNMDiBtIpaCet7FJrMbr&#10;KHbb8PcsJ3pczdPM22oz+V6c7RhdIA3ZTIGw1ATjqNXw9fn6sAIRE5LBPpDV8GMjbOrbmwpLEy70&#10;Yc+71AouoViihi6loZQyNp31GGdhsMTZdxg9Jj7HVpoRL1zue5krVUiPjnihw8E+d7Y57k5eAx7n&#10;+316m7Yv6HzuTPu+xWC0vr/L1BOIZKf0D8OfPqtDzU6HcCITRa9hkasFoxwUywwEE8v5ugBx0JCr&#10;xwJkXcnrH+pfUEsDBBQAAAAIAIdO4kDswPyVvwIAAF4FAAAOAAAAZHJzL2Uyb0RvYy54bWytVM1u&#10;EzEQviPxDpbvdDdpsmmjbqooURBSRaMWxNnxerOL/IftzaY8ANw5I4G4AGfOPE4Lj8HY67Zp4dAD&#10;OWzGO7PfzPfNjI+Ot4KjDTO2VjLHvb0UIyapKmq5zvHLF4snBxhZR2RBuJIsxxfM4uPJ40dHrR6z&#10;vqoUL5hBACLtuNU5rpzT4ySxtGKC2D2lmQRnqYwgDo5mnRSGtIAueNJP0yxplSm0UZRZC2/nnRNH&#10;RPMQQFWWNWVzRRvBpOtQDePEASVb1driSai2LBl1p2VpmUM8x8DUhSckAXvln8nkiIzXhuiqprEE&#10;8pAS7nESpJaQ9AZqThxBjan/ghI1Ncqq0u1RJZKOSFAEWPTSe9qcV0SzwAWktvpGdPv/YOnzzdKg&#10;usjxPkaSCGj45cd3v79++PXp++XPL1ef31/9+Ib2vU6ttmMIP9dLE08WTE96Wxrh/4EO2uZ4cDgc&#10;Dgeg8EWO+9lhf5BGndnWIQoBoyG8BT/tAg5GQ4+f3AJpY91TpgTyRo5bVqzZmWpkcQYNnRHOVeOC&#10;3GRzYl3QvYjVk+J1D6NScGjjhnDUSwdpP4t93gnq3wnK+qM0FAEd3AkCTXaQsiwbxUJjXij5ulRf&#10;hFSLmvMwUlyiFrYLYD1PAntSwnyCKTRobeUaI8LXsIDUmcDEKl4X/nMPZM16NeMGAYEcLxYp/GLi&#10;O2E+95zYqosLrhjGJejpG9a1yFtuu9rGvq1UcQFdN6pbB6vpogaoE2LdkhgQDmqGG8KdwqPkCoio&#10;aGFUKfP2X+99PIwleDFqYZ+A5JuGGIYRfyZhYA97Az8SLhwGw5Hvv9n1rHY9shEzBdyhlVBdMH28&#10;49dmaZR4BRfJ1GcFF5EUcndyxsPMdXsOVxFl02kIg6XTxJ3Ic009eNe0aeNUWTs/gl6oTp14gLUL&#10;kxmvCL/Xu+cQdXstTv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sFgb8tcAAAALAQAADwAAAAAA&#10;AAABACAAAAAiAAAAZHJzL2Rvd25yZXYueG1sUEsBAhQAFAAAAAgAh07iQOzA/JW/AgAAXgUAAA4A&#10;AAAAAAAAAQAgAAAAJgEAAGRycy9lMm9Eb2MueG1sUEsFBgAAAAAGAAYAWQEAAFcGAAAAAA==&#10;" adj="33270,45944,14400">
                      <v:fill on="f" focussize="0,0"/>
                      <v:stroke weight="1pt" color="#FF0000 [3204]" joinstyle="round"/>
                      <v:imagedata o:title=""/>
                      <o:lock v:ext="edit" aspectratio="f"/>
                      <v:textbox>
                        <w:txbxContent>
                          <w:p>
                            <w:pPr>
                              <w:jc w:val="center"/>
                              <w:rPr>
                                <w:rFonts w:hint="eastAsia" w:eastAsia="宋体"/>
                                <w:b/>
                                <w:bCs/>
                                <w:color w:val="FF0000"/>
                                <w:lang w:val="en-US" w:eastAsia="zh-CN"/>
                              </w:rPr>
                            </w:pPr>
                            <w:r>
                              <w:rPr>
                                <w:rFonts w:hint="eastAsia"/>
                                <w:b/>
                                <w:bCs/>
                                <w:color w:val="FF0000"/>
                                <w:lang w:val="en-US" w:eastAsia="zh-CN"/>
                              </w:rPr>
                              <w:t>本项目</w:t>
                            </w:r>
                          </w:p>
                        </w:txbxContent>
                      </v:textbox>
                    </v:shape>
                  </w:pict>
                </mc:Fallback>
              </mc:AlternateContent>
            </w:r>
            <w:r>
              <w:rPr>
                <w:color w:val="000000" w:themeColor="text1"/>
                <w:sz w:val="21"/>
                <w14:textFill>
                  <w14:solidFill>
                    <w14:schemeClr w14:val="tx1"/>
                  </w14:solidFill>
                </w14:textFill>
              </w:rPr>
              <mc:AlternateContent>
                <mc:Choice Requires="wps">
                  <w:drawing>
                    <wp:anchor distT="0" distB="0" distL="114300" distR="114300" simplePos="0" relativeHeight="251659264" behindDoc="0" locked="0" layoutInCell="1" allowOverlap="1">
                      <wp:simplePos x="0" y="0"/>
                      <wp:positionH relativeFrom="column">
                        <wp:posOffset>3826510</wp:posOffset>
                      </wp:positionH>
                      <wp:positionV relativeFrom="paragraph">
                        <wp:posOffset>1601470</wp:posOffset>
                      </wp:positionV>
                      <wp:extent cx="36195" cy="36195"/>
                      <wp:effectExtent l="0" t="0" r="1905" b="1905"/>
                      <wp:wrapNone/>
                      <wp:docPr id="2" name="椭圆 2"/>
                      <wp:cNvGraphicFramePr/>
                      <a:graphic xmlns:a="http://schemas.openxmlformats.org/drawingml/2006/main">
                        <a:graphicData uri="http://schemas.microsoft.com/office/word/2010/wordprocessingShape">
                          <wps:wsp>
                            <wps:cNvSpPr/>
                            <wps:spPr>
                              <a:xfrm>
                                <a:off x="4709795" y="3338830"/>
                                <a:ext cx="36195" cy="3619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01.3pt;margin-top:126.1pt;height:2.85pt;width:2.85pt;z-index:251659264;v-text-anchor:middle;mso-width-relative:page;mso-height-relative:page;" fillcolor="#FF0000" filled="t" stroked="f" coordsize="21600,21600" o:gfxdata="UEsDBAoAAAAAAIdO4kAAAAAAAAAAAAAAAAAEAAAAZHJzL1BLAwQUAAAACACHTuJAUNOu6toAAAAL&#10;AQAADwAAAGRycy9kb3ducmV2LnhtbE2PTUsDMRCG74L/IYzgzSaNuNZ1swWFIlQWahX0mG7G7Opm&#10;sibp1783PelxZh7eed5qfnAD22GIvScF04kAhtR605NV8Pa6uJoBi0mT0YMnVHDECPP6/KzSpfF7&#10;esHdOlmWQyiWWkGX0lhyHtsOnY4TPyLl26cPTqc8BstN0Psc7gYuhSi40z3lD50e8bHD9nu9dQre&#10;H8zXR9MsnpfN8cfZJ+vDaumVuryYintgCQ/pD4aTflaHOjtt/JZMZIOCQsgiowrkjZTAMlGI2TWw&#10;zWlzewe8rvj/DvUvUEsDBBQAAAAIAIdO4kBHnO3uaAIAAMAEAAAOAAAAZHJzL2Uyb0RvYy54bWyt&#10;VEtuGzEM3RfoHQTtm/Evv0HGgRHDRYGgMZAWXdMayTOAJKqS7HF6gJ6iy257rPYcpTSTT9MusqgX&#10;MinS75FPpC8uD0azvfShRVvx8dGIM2kF1q3dVvzjh9WbM85CBFuDRisrficDv5y/fnXRuVJOsEFd&#10;S88IxIaycxVvYnRlUQTRSAPhCJ20FFToDURy/baoPXSEbnQxGY1Oig597TwKGQLdLvsgHxD9SwBR&#10;qVbIJYqdkTb2qF5qiNRSaFoX+DxXq5QU8UapICPTFadOYz6JhOxNOov5BZRbD65pxVACvKSEZz0Z&#10;aC2RPkAtIQLb+fYvKNMKjwFVPBJoir6RrAh1MR490+a2ASdzLyR1cA+ih/8HK97v1561dcUnnFkw&#10;9OC/vv/4+e0rmyRtOhdKSrl1az94gczU6EF5k76pBXao+Ox0dH56fszZXcWn0+nZ2XTQVh4iE5Qw&#10;PRmnsEjxbBJe8QjjfIhvJRqWjIpLrekZU+9Qwv46xD77PitdB9RtvWq1zo7fbq60Z3ugd16tRvRJ&#10;5RPBH2naso46PZ5RmAmg6VU0NWQaRwoEu+UM9JbWQkSfuS0mBkKCMnEvITQ9R4YdKLQlpqRUr02y&#10;Nljfka4e+4ELTqxa+v01hLgGTxNG/LSD8YYOpZGKwsHirEH/5V/3KZ8enqKcdTSxVPDnHXjJmX5n&#10;aSTOx7NZGvHszI5PJ+T4p5HN04jdmSsksca07U5kM+VHfW8qj+YTreoisVIIrCDuXprBuYr9JtGy&#10;C7lY5DQaawfx2t46kcCTchYXu4iqzY/4qM4gGg12fqhhCdPmPPVz1uMfz/w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UNOu6toAAAALAQAADwAAAAAAAAABACAAAAAiAAAAZHJzL2Rvd25yZXYueG1s&#10;UEsBAhQAFAAAAAgAh07iQEec7e5oAgAAwAQAAA4AAAAAAAAAAQAgAAAAKQEAAGRycy9lMm9Eb2Mu&#10;eG1sUEsFBgAAAAAGAAYAWQEAAAMGAAAAAA==&#10;">
                      <v:fill on="t" focussize="0,0"/>
                      <v:stroke on="f" weight="2pt"/>
                      <v:imagedata o:title=""/>
                      <o:lock v:ext="edit" aspectratio="f"/>
                    </v:shape>
                  </w:pict>
                </mc:Fallback>
              </mc:AlternateContent>
            </w:r>
            <w:r>
              <w:rPr>
                <w:color w:val="000000" w:themeColor="text1"/>
                <w:sz w:val="21"/>
                <w14:textFill>
                  <w14:solidFill>
                    <w14:schemeClr w14:val="tx1"/>
                  </w14:solidFill>
                </w14:textFill>
              </w:rPr>
              <w:drawing>
                <wp:inline distT="0" distB="0" distL="114300" distR="114300">
                  <wp:extent cx="7280910" cy="3501390"/>
                  <wp:effectExtent l="0" t="0" r="15240" b="3810"/>
                  <wp:docPr id="5" name="图片 5" descr="66ee59c93d54ecd593b09f61d5535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6ee59c93d54ecd593b09f61d55356a"/>
                          <pic:cNvPicPr>
                            <a:picLocks noChangeAspect="1"/>
                          </pic:cNvPicPr>
                        </pic:nvPicPr>
                        <pic:blipFill>
                          <a:blip r:embed="rId6"/>
                          <a:stretch>
                            <a:fillRect/>
                          </a:stretch>
                        </pic:blipFill>
                        <pic:spPr>
                          <a:xfrm>
                            <a:off x="0" y="0"/>
                            <a:ext cx="7280910" cy="3501390"/>
                          </a:xfrm>
                          <a:prstGeom prst="rect">
                            <a:avLst/>
                          </a:prstGeom>
                        </pic:spPr>
                      </pic:pic>
                    </a:graphicData>
                  </a:graphic>
                </wp:inline>
              </w:drawing>
            </w: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r>
              <w:rPr>
                <w:rFonts w:hint="eastAsia" w:ascii="宋体" w:hAnsi="宋体" w:eastAsia="宋体" w:cs="宋体"/>
                <w:b/>
                <w:bCs w:val="0"/>
                <w:color w:val="000000" w:themeColor="text1"/>
                <w:sz w:val="21"/>
                <w:szCs w:val="21"/>
                <w:lang w:val="en-US" w:eastAsia="zh-CN"/>
                <w14:textFill>
                  <w14:solidFill>
                    <w14:schemeClr w14:val="tx1"/>
                  </w14:solidFill>
                </w14:textFill>
              </w:rPr>
              <w:t>图1-1  河南省“三线一单”查询结果示意图（一般管控单元）</w:t>
            </w: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pStyle w:val="53"/>
              <w:tabs>
                <w:tab w:val="left" w:pos="895"/>
                <w:tab w:val="clear" w:pos="1322"/>
              </w:tabs>
              <w:spacing w:line="360" w:lineRule="auto"/>
              <w:rPr>
                <w:rFonts w:hint="eastAsia" w:ascii="宋体" w:hAnsi="宋体" w:eastAsia="宋体" w:cs="宋体"/>
                <w:b/>
                <w:bCs w:val="0"/>
                <w:color w:val="000000" w:themeColor="text1"/>
                <w:sz w:val="21"/>
                <w:szCs w:val="21"/>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22" w:firstLineChars="200"/>
              <w:jc w:val="center"/>
              <w:textAlignment w:val="auto"/>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14:textFill>
                  <w14:solidFill>
                    <w14:schemeClr w14:val="tx1"/>
                  </w14:solidFill>
                </w14:textFill>
              </w:rPr>
              <w:t>表</w:t>
            </w: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1-1</w:t>
            </w:r>
            <w:r>
              <w:rPr>
                <w:rFonts w:hint="eastAsia" w:ascii="Times New Roman" w:hAnsi="Times New Roman" w:eastAsia="宋体" w:cs="Times New Roman"/>
                <w:b/>
                <w:bCs/>
                <w:color w:val="000000" w:themeColor="text1"/>
                <w:sz w:val="21"/>
                <w:szCs w:val="21"/>
                <w14:textFill>
                  <w14:solidFill>
                    <w14:schemeClr w14:val="tx1"/>
                  </w14:solidFill>
                </w14:textFill>
              </w:rPr>
              <w:t xml:space="preserve">  </w:t>
            </w: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本项目与鲁山县环境管控单元生态环境准入清单相符性分析一览表</w:t>
            </w:r>
          </w:p>
          <w:tbl>
            <w:tblPr>
              <w:tblStyle w:val="27"/>
              <w:tblW w:w="114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75"/>
              <w:gridCol w:w="720"/>
              <w:gridCol w:w="585"/>
              <w:gridCol w:w="570"/>
              <w:gridCol w:w="710"/>
              <w:gridCol w:w="5445"/>
              <w:gridCol w:w="2235"/>
              <w:gridCol w:w="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59" w:hRule="atLeast"/>
              </w:trPr>
              <w:tc>
                <w:tcPr>
                  <w:tcW w:w="8805" w:type="dxa"/>
                  <w:gridSpan w:val="6"/>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环境管控单元生态环境准入清单要求</w:t>
                  </w:r>
                </w:p>
              </w:tc>
              <w:tc>
                <w:tcPr>
                  <w:tcW w:w="2656" w:type="dxa"/>
                  <w:gridSpan w:val="2"/>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本项目符合情况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775"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环境管控单元编码</w:t>
                  </w:r>
                </w:p>
              </w:tc>
              <w:tc>
                <w:tcPr>
                  <w:tcW w:w="72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环境管控单元名称</w:t>
                  </w:r>
                </w:p>
              </w:tc>
              <w:tc>
                <w:tcPr>
                  <w:tcW w:w="585"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行政区划</w:t>
                  </w:r>
                </w:p>
              </w:tc>
              <w:tc>
                <w:tcPr>
                  <w:tcW w:w="57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管控单元分类</w:t>
                  </w:r>
                </w:p>
              </w:tc>
              <w:tc>
                <w:tcPr>
                  <w:tcW w:w="6155" w:type="dxa"/>
                  <w:gridSpan w:val="2"/>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t>管控要求</w:t>
                  </w:r>
                </w:p>
              </w:tc>
              <w:tc>
                <w:tcPr>
                  <w:tcW w:w="2235"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vertAlign w:val="baseline"/>
                      <w:lang w:eastAsia="zh-CN"/>
                      <w14:textFill>
                        <w14:solidFill>
                          <w14:schemeClr w14:val="tx1"/>
                        </w14:solidFill>
                      </w14:textFill>
                    </w:rPr>
                    <w:t>本项目情况</w:t>
                  </w:r>
                </w:p>
              </w:tc>
              <w:tc>
                <w:tcPr>
                  <w:tcW w:w="421"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2"/>
                      <w:sz w:val="21"/>
                      <w:szCs w:val="21"/>
                      <w:vertAlign w:val="baseline"/>
                      <w:lang w:val="en-US" w:eastAsia="zh-CN" w:bidi="ar-SA"/>
                      <w14:textFill>
                        <w14:solidFill>
                          <w14:schemeClr w14:val="tx1"/>
                        </w14:solidFill>
                      </w14:textFill>
                    </w:rPr>
                    <w:t>相符性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775" w:type="dxa"/>
                  <w:vMerge w:val="restart"/>
                  <w:vAlign w:val="center"/>
                </w:tcPr>
                <w:p>
                  <w:pPr>
                    <w:pStyle w:val="13"/>
                    <w:keepNext w:val="0"/>
                    <w:keepLines w:val="0"/>
                    <w:pageBreakBefore w:val="0"/>
                    <w:widowControl w:val="0"/>
                    <w:kinsoku w:val="0"/>
                    <w:wordWrap/>
                    <w:overflowPunct w:val="0"/>
                    <w:topLinePunct w:val="0"/>
                    <w:autoSpaceDE/>
                    <w:autoSpaceDN/>
                    <w:bidi w:val="0"/>
                    <w:adjustRightInd w:val="0"/>
                    <w:snapToGrid w:val="0"/>
                    <w:spacing w:before="0" w:after="0" w:line="240" w:lineRule="auto"/>
                    <w:ind w:left="0"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ZH41042330001</w:t>
                  </w:r>
                </w:p>
              </w:tc>
              <w:tc>
                <w:tcPr>
                  <w:tcW w:w="720" w:type="dxa"/>
                  <w:vMerge w:val="restart"/>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鲁山县一般管控单元</w:t>
                  </w:r>
                </w:p>
              </w:tc>
              <w:tc>
                <w:tcPr>
                  <w:tcW w:w="585" w:type="dxa"/>
                  <w:vMerge w:val="restart"/>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w:t>
                  </w:r>
                </w:p>
              </w:tc>
              <w:tc>
                <w:tcPr>
                  <w:tcW w:w="570" w:type="dxa"/>
                  <w:vMerge w:val="restart"/>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t>一般重点管控单元</w:t>
                  </w:r>
                </w:p>
              </w:tc>
              <w:tc>
                <w:tcPr>
                  <w:tcW w:w="71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空间布局约束</w:t>
                  </w:r>
                </w:p>
              </w:tc>
              <w:tc>
                <w:tcPr>
                  <w:tcW w:w="5445" w:type="dxa"/>
                  <w:vAlign w:val="center"/>
                </w:tcPr>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t>1.原则禁止新增尾矿库。</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t>2.新建涉VOCs排放的工业企业应从原辅材料和污染治理方面从严要求，原辅材料采用国家规定标准的原料，VOCs治理采用两种以上治理设施串联使用，VOCs排放必须达标排放。</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t>3.新建或扩建城镇污水处理厂必须满足或优于一级A标准。</w:t>
                  </w:r>
                </w:p>
              </w:tc>
              <w:tc>
                <w:tcPr>
                  <w:tcW w:w="2235" w:type="dxa"/>
                  <w:vAlign w:val="center"/>
                </w:tcPr>
                <w:p>
                  <w:pPr>
                    <w:keepNext w:val="0"/>
                    <w:keepLines w:val="0"/>
                    <w:pageBreakBefore w:val="0"/>
                    <w:widowControl w:val="0"/>
                    <w:numPr>
                      <w:ilvl w:val="0"/>
                      <w:numId w:val="0"/>
                    </w:numPr>
                    <w:wordWrap/>
                    <w:topLinePunct w:val="0"/>
                    <w:autoSpaceDE/>
                    <w:autoSpaceDN/>
                    <w:bidi w:val="0"/>
                    <w:adjustRightInd w:val="0"/>
                    <w:snapToGrid w:val="0"/>
                    <w:ind w:leftChars="0" w:right="0" w:firstLine="0"/>
                    <w:jc w:val="both"/>
                    <w:textAlignment w:val="auto"/>
                    <w:rPr>
                      <w:rFonts w:hint="default" w:ascii="Times New Roman" w:hAnsi="Times New Roman" w:eastAsia="宋体" w:cs="Times New Roman"/>
                      <w:b/>
                      <w:bCs/>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vertAlign w:val="baseline"/>
                      <w:lang w:val="en-US" w:eastAsia="zh-CN"/>
                      <w14:textFill>
                        <w14:solidFill>
                          <w14:schemeClr w14:val="tx1"/>
                        </w14:solidFill>
                      </w14:textFill>
                    </w:rPr>
                    <w:t>本项目不涉及尾矿库，不涉及</w:t>
                  </w:r>
                  <w:r>
                    <w:rPr>
                      <w:rFonts w:hint="default" w:ascii="Times New Roman" w:hAnsi="Times New Roman" w:eastAsia="宋体" w:cs="Times New Roman"/>
                      <w:b/>
                      <w:bCs/>
                      <w:color w:val="000000" w:themeColor="text1"/>
                      <w:sz w:val="21"/>
                      <w:szCs w:val="21"/>
                      <w:u w:val="single"/>
                      <w:vertAlign w:val="baseline"/>
                      <w:lang w:eastAsia="zh-CN"/>
                      <w14:textFill>
                        <w14:solidFill>
                          <w14:schemeClr w14:val="tx1"/>
                        </w14:solidFill>
                      </w14:textFill>
                    </w:rPr>
                    <w:t>VOCs排放，</w:t>
                  </w:r>
                  <w:r>
                    <w:rPr>
                      <w:rFonts w:hint="default" w:ascii="Times New Roman" w:hAnsi="Times New Roman" w:eastAsia="宋体" w:cs="Times New Roman"/>
                      <w:b/>
                      <w:bCs/>
                      <w:color w:val="000000" w:themeColor="text1"/>
                      <w:sz w:val="21"/>
                      <w:szCs w:val="21"/>
                      <w:u w:val="single"/>
                      <w:vertAlign w:val="baseline"/>
                      <w:lang w:val="en-US" w:eastAsia="zh-CN"/>
                      <w14:textFill>
                        <w14:solidFill>
                          <w14:schemeClr w14:val="tx1"/>
                        </w14:solidFill>
                      </w14:textFill>
                    </w:rPr>
                    <w:t>不涉及新建或扩建城镇污水处理厂</w:t>
                  </w:r>
                </w:p>
              </w:tc>
              <w:tc>
                <w:tcPr>
                  <w:tcW w:w="421"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775" w:type="dxa"/>
                  <w:vMerge w:val="continue"/>
                  <w:vAlign w:val="center"/>
                </w:tcPr>
                <w:p>
                  <w:pPr>
                    <w:pStyle w:val="13"/>
                    <w:keepNext w:val="0"/>
                    <w:keepLines w:val="0"/>
                    <w:pageBreakBefore w:val="0"/>
                    <w:widowControl w:val="0"/>
                    <w:kinsoku w:val="0"/>
                    <w:wordWrap/>
                    <w:overflowPunct w:val="0"/>
                    <w:topLinePunct w:val="0"/>
                    <w:autoSpaceDE/>
                    <w:autoSpaceDN/>
                    <w:bidi w:val="0"/>
                    <w:adjustRightInd w:val="0"/>
                    <w:snapToGrid w:val="0"/>
                    <w:spacing w:before="0" w:after="0" w:line="240" w:lineRule="auto"/>
                    <w:ind w:left="0"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72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585"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57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71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污染物排放管控</w:t>
                  </w:r>
                </w:p>
              </w:tc>
              <w:tc>
                <w:tcPr>
                  <w:tcW w:w="5445" w:type="dxa"/>
                  <w:vAlign w:val="center"/>
                </w:tcPr>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1.禁止使用不符合国家标准和本省使用要求的机动车船、非道路移动机械用燃料。</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2.禁止含重金属废水进入城市生活污水处理厂。涉重金属废水零排放，可外排废水重金属污染因子不得检出。</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3.涉重行业企业综合废水排放口重金属污染物应达到国家污染物排放标准限值要求。</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4.禁止填埋场渗滤液直排或超标排放。</w:t>
                  </w:r>
                </w:p>
              </w:tc>
              <w:tc>
                <w:tcPr>
                  <w:tcW w:w="2235" w:type="dxa"/>
                  <w:vAlign w:val="center"/>
                </w:tcPr>
                <w:p>
                  <w:pPr>
                    <w:keepNext w:val="0"/>
                    <w:keepLines w:val="0"/>
                    <w:pageBreakBefore w:val="0"/>
                    <w:widowControl w:val="0"/>
                    <w:numPr>
                      <w:ilvl w:val="0"/>
                      <w:numId w:val="0"/>
                    </w:numPr>
                    <w:wordWrap/>
                    <w:topLinePunct w:val="0"/>
                    <w:autoSpaceDE/>
                    <w:autoSpaceDN/>
                    <w:bidi w:val="0"/>
                    <w:adjustRightInd w:val="0"/>
                    <w:snapToGrid w:val="0"/>
                    <w:ind w:leftChars="0" w:right="0" w:firstLine="0"/>
                    <w:jc w:val="both"/>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本项目燃气锅炉使用天然气，工业废水不外排，不涉及填埋场渗滤液直排或超标排放</w:t>
                  </w:r>
                </w:p>
              </w:tc>
              <w:tc>
                <w:tcPr>
                  <w:tcW w:w="421"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775" w:type="dxa"/>
                  <w:vMerge w:val="continue"/>
                  <w:vAlign w:val="center"/>
                </w:tcPr>
                <w:p>
                  <w:pPr>
                    <w:pStyle w:val="13"/>
                    <w:keepNext w:val="0"/>
                    <w:keepLines w:val="0"/>
                    <w:pageBreakBefore w:val="0"/>
                    <w:widowControl w:val="0"/>
                    <w:kinsoku w:val="0"/>
                    <w:wordWrap/>
                    <w:overflowPunct w:val="0"/>
                    <w:topLinePunct w:val="0"/>
                    <w:autoSpaceDE/>
                    <w:autoSpaceDN/>
                    <w:bidi w:val="0"/>
                    <w:adjustRightInd w:val="0"/>
                    <w:snapToGrid w:val="0"/>
                    <w:spacing w:before="0" w:after="0" w:line="240" w:lineRule="auto"/>
                    <w:ind w:left="0"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72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585"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57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71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环境风险防控</w:t>
                  </w:r>
                </w:p>
              </w:tc>
              <w:tc>
                <w:tcPr>
                  <w:tcW w:w="5445" w:type="dxa"/>
                  <w:vAlign w:val="center"/>
                </w:tcPr>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1.加强涉水污染源治理和监管，建立上下游水污染防治联动协作机制，严格防范水环境污染风险。</w:t>
                  </w:r>
                </w:p>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2.按照土壤环境调查相关技术规定，对垃圾填埋场周边土壤环境状况进行调查评估。对周边土壤环境超过可接受风险的，应采取限制填埋废物进入、降低人体暴露健康风险等管控措施。</w:t>
                  </w:r>
                </w:p>
              </w:tc>
              <w:tc>
                <w:tcPr>
                  <w:tcW w:w="2235" w:type="dxa"/>
                  <w:vAlign w:val="center"/>
                </w:tcPr>
                <w:p>
                  <w:pPr>
                    <w:keepNext w:val="0"/>
                    <w:keepLines w:val="0"/>
                    <w:pageBreakBefore w:val="0"/>
                    <w:widowControl w:val="0"/>
                    <w:numPr>
                      <w:ilvl w:val="0"/>
                      <w:numId w:val="0"/>
                    </w:numPr>
                    <w:wordWrap/>
                    <w:topLinePunct w:val="0"/>
                    <w:autoSpaceDE/>
                    <w:autoSpaceDN/>
                    <w:bidi w:val="0"/>
                    <w:adjustRightInd w:val="0"/>
                    <w:snapToGrid w:val="0"/>
                    <w:ind w:leftChars="0" w:right="0" w:firstLine="0"/>
                    <w:jc w:val="both"/>
                    <w:textAlignment w:val="auto"/>
                    <w:rPr>
                      <w:rFonts w:hint="default" w:ascii="Times New Roman" w:hAnsi="Times New Roman" w:eastAsia="宋体" w:cs="Times New Roman"/>
                      <w:b/>
                      <w:bCs/>
                      <w:color w:val="000000" w:themeColor="text1"/>
                      <w:spacing w:val="-11"/>
                      <w:kern w:val="0"/>
                      <w:sz w:val="21"/>
                      <w:szCs w:val="21"/>
                      <w:u w:val="single"/>
                      <w:vertAlign w:val="baseline"/>
                      <w:lang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eastAsia="zh-CN"/>
                      <w14:textFill>
                        <w14:solidFill>
                          <w14:schemeClr w14:val="tx1"/>
                        </w14:solidFill>
                      </w14:textFill>
                    </w:rPr>
                    <w:t>本项目生产运行时制定相应的环境应急预案，同时针对污水处理和生产区均采用相应的防身措施进行防渗处理，杜绝生产废水地面漫流和垂直下渗对土壤和地下水造成污染。</w:t>
                  </w:r>
                </w:p>
              </w:tc>
              <w:tc>
                <w:tcPr>
                  <w:tcW w:w="421"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trPr>
              <w:tc>
                <w:tcPr>
                  <w:tcW w:w="775" w:type="dxa"/>
                  <w:vMerge w:val="continue"/>
                  <w:vAlign w:val="center"/>
                </w:tcPr>
                <w:p>
                  <w:pPr>
                    <w:pStyle w:val="13"/>
                    <w:keepNext w:val="0"/>
                    <w:keepLines w:val="0"/>
                    <w:pageBreakBefore w:val="0"/>
                    <w:widowControl w:val="0"/>
                    <w:kinsoku w:val="0"/>
                    <w:wordWrap/>
                    <w:overflowPunct w:val="0"/>
                    <w:topLinePunct w:val="0"/>
                    <w:autoSpaceDE/>
                    <w:autoSpaceDN/>
                    <w:bidi w:val="0"/>
                    <w:adjustRightInd w:val="0"/>
                    <w:snapToGrid w:val="0"/>
                    <w:spacing w:before="0" w:after="0" w:line="240" w:lineRule="auto"/>
                    <w:ind w:left="0"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72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585"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p>
              </w:tc>
              <w:tc>
                <w:tcPr>
                  <w:tcW w:w="570" w:type="dxa"/>
                  <w:vMerge w:val="continue"/>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p>
              </w:tc>
              <w:tc>
                <w:tcPr>
                  <w:tcW w:w="710"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pPr>
                  <w:r>
                    <w:rPr>
                      <w:rFonts w:hint="default" w:ascii="Times New Roman" w:hAnsi="Times New Roman" w:eastAsia="宋体" w:cs="Times New Roman"/>
                      <w:color w:val="000000" w:themeColor="text1"/>
                      <w:sz w:val="21"/>
                      <w:szCs w:val="21"/>
                      <w:vertAlign w:val="baseline"/>
                      <w:lang w:eastAsia="zh-CN"/>
                      <w14:textFill>
                        <w14:solidFill>
                          <w14:schemeClr w14:val="tx1"/>
                        </w14:solidFill>
                      </w14:textFill>
                    </w:rPr>
                    <w:t>资源开发效要求</w:t>
                  </w:r>
                </w:p>
              </w:tc>
              <w:tc>
                <w:tcPr>
                  <w:tcW w:w="5445" w:type="dxa"/>
                  <w:vAlign w:val="center"/>
                </w:tcPr>
                <w:p>
                  <w:pPr>
                    <w:keepNext w:val="0"/>
                    <w:keepLines w:val="0"/>
                    <w:pageBreakBefore w:val="0"/>
                    <w:widowControl/>
                    <w:suppressLineNumbers w:val="0"/>
                    <w:wordWrap/>
                    <w:topLinePunct w:val="0"/>
                    <w:autoSpaceDE/>
                    <w:autoSpaceDN/>
                    <w:bidi w:val="0"/>
                    <w:adjustRightInd w:val="0"/>
                    <w:snapToGrid w:val="0"/>
                    <w:ind w:right="0" w:firstLine="0"/>
                    <w:jc w:val="left"/>
                    <w:textAlignment w:val="auto"/>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lang w:val="en-US" w:eastAsia="zh-CN" w:bidi="ar"/>
                      <w14:textFill>
                        <w14:solidFill>
                          <w14:schemeClr w14:val="tx1"/>
                        </w14:solidFill>
                      </w14:textFill>
                    </w:rPr>
                    <w:t>加强水资源开发利用效率，提高再生水利用率。</w:t>
                  </w:r>
                </w:p>
              </w:tc>
              <w:tc>
                <w:tcPr>
                  <w:tcW w:w="2235" w:type="dxa"/>
                  <w:vAlign w:val="center"/>
                </w:tcPr>
                <w:p>
                  <w:pPr>
                    <w:keepNext w:val="0"/>
                    <w:keepLines w:val="0"/>
                    <w:pageBreakBefore w:val="0"/>
                    <w:widowControl w:val="0"/>
                    <w:numPr>
                      <w:ilvl w:val="0"/>
                      <w:numId w:val="0"/>
                    </w:numPr>
                    <w:wordWrap/>
                    <w:topLinePunct w:val="0"/>
                    <w:autoSpaceDE/>
                    <w:autoSpaceDN/>
                    <w:bidi w:val="0"/>
                    <w:adjustRightInd w:val="0"/>
                    <w:snapToGrid w:val="0"/>
                    <w:ind w:leftChars="0" w:right="0" w:firstLine="0"/>
                    <w:jc w:val="both"/>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本项目废水经过厂区污水处理站处理达标后，用于周边梨树灌溉。</w:t>
                  </w:r>
                </w:p>
              </w:tc>
              <w:tc>
                <w:tcPr>
                  <w:tcW w:w="421" w:type="dxa"/>
                  <w:vAlign w:val="center"/>
                </w:tcPr>
                <w:p>
                  <w:pPr>
                    <w:keepNext w:val="0"/>
                    <w:keepLines w:val="0"/>
                    <w:pageBreakBefore w:val="0"/>
                    <w:widowControl w:val="0"/>
                    <w:wordWrap/>
                    <w:topLinePunct w:val="0"/>
                    <w:autoSpaceDE/>
                    <w:autoSpaceDN/>
                    <w:bidi w:val="0"/>
                    <w:adjustRightInd w:val="0"/>
                    <w:snapToGrid w:val="0"/>
                    <w:ind w:right="0" w:firstLine="0"/>
                    <w:jc w:val="center"/>
                    <w:textAlignment w:val="auto"/>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vertAlign w:val="baseline"/>
                      <w:lang w:val="en-US" w:eastAsia="zh-CN"/>
                      <w14:textFill>
                        <w14:solidFill>
                          <w14:schemeClr w14:val="tx1"/>
                        </w14:solidFill>
                      </w14:textFill>
                    </w:rPr>
                    <w:t>符合</w:t>
                  </w:r>
                </w:p>
              </w:tc>
            </w:tr>
          </w:tbl>
          <w:p>
            <w:pPr>
              <w:autoSpaceDE w:val="0"/>
              <w:autoSpaceDN w:val="0"/>
              <w:adjustRightInd w:val="0"/>
              <w:snapToGrid w:val="0"/>
              <w:spacing w:line="120" w:lineRule="exact"/>
              <w:rPr>
                <w:color w:val="000000" w:themeColor="text1"/>
                <w14:textFill>
                  <w14:solidFill>
                    <w14:schemeClr w14:val="tx1"/>
                  </w14:solidFill>
                </w14:textFill>
              </w:rPr>
            </w:pPr>
          </w:p>
          <w:p>
            <w:pPr>
              <w:pStyle w:val="4"/>
              <w:keepNext/>
              <w:keepLines w:val="0"/>
              <w:pageBreakBefore w:val="0"/>
              <w:widowControl w:val="0"/>
              <w:kinsoku/>
              <w:wordWrap/>
              <w:overflowPunct w:val="0"/>
              <w:topLinePunct w:val="0"/>
              <w:autoSpaceDE/>
              <w:autoSpaceDN/>
              <w:bidi w:val="0"/>
              <w:adjustRightInd/>
              <w:snapToGrid w:val="0"/>
              <w:spacing w:line="360" w:lineRule="auto"/>
              <w:ind w:left="0" w:firstLine="480" w:firstLineChars="200"/>
              <w:textAlignment w:val="auto"/>
              <w:rPr>
                <w:color w:val="000000" w:themeColor="text1"/>
                <w14:textFill>
                  <w14:solidFill>
                    <w14:schemeClr w14:val="tx1"/>
                  </w14:solidFill>
                </w14:textFill>
              </w:rPr>
            </w:pPr>
            <w:r>
              <w:rPr>
                <w:rFonts w:hint="default" w:ascii="Times New Roman" w:hAnsi="Times New Roman" w:eastAsia="宋体" w:cs="Times New Roman"/>
                <w:b w:val="0"/>
                <w:bCs w:val="0"/>
                <w:color w:val="000000" w:themeColor="text1"/>
                <w:sz w:val="24"/>
                <w:szCs w:val="24"/>
                <w14:textFill>
                  <w14:solidFill>
                    <w14:schemeClr w14:val="tx1"/>
                  </w14:solidFill>
                </w14:textFill>
              </w:rPr>
              <w:t>根据上表可知，本项目建设符合</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14:textFill>
                  <w14:solidFill>
                    <w14:schemeClr w14:val="tx1"/>
                  </w14:solidFill>
                </w14:textFill>
              </w:rPr>
              <w:t>三线一单</w:t>
            </w:r>
            <w:r>
              <w:rPr>
                <w:rFonts w:hint="eastAsia" w:ascii="Times New Roman" w:hAnsi="Times New Roman" w:eastAsia="宋体" w:cs="Times New Roman"/>
                <w:b w:val="0"/>
                <w:bCs w:val="0"/>
                <w:color w:val="000000" w:themeColor="text1"/>
                <w:sz w:val="24"/>
                <w:szCs w:val="24"/>
                <w:lang w:eastAsia="zh-CN"/>
                <w14:textFill>
                  <w14:solidFill>
                    <w14:schemeClr w14:val="tx1"/>
                  </w14:solidFill>
                </w14:textFill>
              </w:rPr>
              <w:t>”</w:t>
            </w:r>
            <w:r>
              <w:rPr>
                <w:rFonts w:hint="default" w:ascii="Times New Roman" w:hAnsi="Times New Roman" w:eastAsia="宋体" w:cs="Times New Roman"/>
                <w:b w:val="0"/>
                <w:bCs w:val="0"/>
                <w:color w:val="000000" w:themeColor="text1"/>
                <w:sz w:val="24"/>
                <w:szCs w:val="24"/>
                <w14:textFill>
                  <w14:solidFill>
                    <w14:schemeClr w14:val="tx1"/>
                  </w14:solidFill>
                </w14:textFill>
              </w:rPr>
              <w:t>分区管控相关要求。</w:t>
            </w:r>
          </w:p>
        </w:tc>
      </w:tr>
    </w:tbl>
    <w:p>
      <w:pPr>
        <w:pStyle w:val="16"/>
        <w:rPr>
          <w:color w:val="000000" w:themeColor="text1"/>
          <w14:textFill>
            <w14:solidFill>
              <w14:schemeClr w14:val="tx1"/>
            </w14:solidFill>
          </w14:textFill>
        </w:rPr>
        <w:sectPr>
          <w:pgSz w:w="16838" w:h="11906" w:orient="landscape"/>
          <w:pgMar w:top="1531" w:right="1701" w:bottom="1531" w:left="1701" w:header="851" w:footer="1077" w:gutter="0"/>
          <w:pgBorders>
            <w:top w:val="none" w:sz="0" w:space="0"/>
            <w:left w:val="none" w:sz="0" w:space="0"/>
            <w:bottom w:val="none" w:sz="0" w:space="0"/>
            <w:right w:val="none" w:sz="0" w:space="0"/>
          </w:pgBorders>
          <w:cols w:space="720" w:num="1"/>
          <w:docGrid w:linePitch="312" w:charSpace="0"/>
        </w:sectPr>
      </w:pPr>
    </w:p>
    <w:tbl>
      <w:tblPr>
        <w:tblStyle w:val="26"/>
        <w:tblW w:w="88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037"/>
        <w:gridCol w:w="683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223" w:type="dxa"/>
            <w:vAlign w:val="center"/>
          </w:tcPr>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rFonts w:hint="eastAsia"/>
                <w:color w:val="000000" w:themeColor="text1"/>
                <w:sz w:val="24"/>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25"/>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rFonts w:hint="eastAsia" w:eastAsia="宋体"/>
                <w:color w:val="000000" w:themeColor="text1"/>
                <w:lang w:val="en-US" w:eastAsia="zh-CN"/>
                <w14:textFill>
                  <w14:solidFill>
                    <w14:schemeClr w14:val="tx1"/>
                  </w14:solidFill>
                </w14:textFill>
              </w:rPr>
            </w:pPr>
          </w:p>
          <w:p>
            <w:pPr>
              <w:pStyle w:val="4"/>
              <w:rPr>
                <w:rFonts w:hint="eastAsia" w:eastAsia="宋体"/>
                <w:color w:val="000000" w:themeColor="text1"/>
                <w:lang w:val="en-US" w:eastAsia="zh-CN"/>
                <w14:textFill>
                  <w14:solidFill>
                    <w14:schemeClr w14:val="tx1"/>
                  </w14:solidFill>
                </w14:textFill>
              </w:rPr>
            </w:pPr>
          </w:p>
          <w:p>
            <w:pPr>
              <w:pStyle w:val="4"/>
              <w:ind w:left="0" w:leftChars="0" w:firstLine="0" w:firstLineChars="0"/>
              <w:rPr>
                <w:rFonts w:hint="eastAsia"/>
                <w:color w:val="000000" w:themeColor="text1"/>
                <w:lang w:val="en-US" w:eastAsia="zh-CN"/>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right="0" w:firstLine="0" w:firstLineChars="0"/>
              <w:jc w:val="center"/>
              <w:textAlignment w:val="auto"/>
              <w:rPr>
                <w:rFonts w:hint="eastAsia" w:eastAsia="黑体"/>
                <w:color w:val="000000" w:themeColor="text1"/>
                <w:lang w:val="en-US" w:eastAsia="zh-CN"/>
                <w14:textFill>
                  <w14:solidFill>
                    <w14:schemeClr w14:val="tx1"/>
                  </w14:solidFill>
                </w14:textFill>
              </w:rPr>
            </w:pPr>
          </w:p>
          <w:p>
            <w:pPr>
              <w:pStyle w:val="4"/>
              <w:keepLines w:val="0"/>
              <w:pageBreakBefore w:val="0"/>
              <w:widowControl w:val="0"/>
              <w:kinsoku/>
              <w:wordWrap/>
              <w:topLinePunct w:val="0"/>
              <w:autoSpaceDE/>
              <w:autoSpaceDN/>
              <w:bidi w:val="0"/>
              <w:adjustRightInd w:val="0"/>
              <w:snapToGrid w:val="0"/>
              <w:spacing w:before="0" w:after="0" w:line="240" w:lineRule="auto"/>
              <w:ind w:left="0" w:leftChars="0" w:firstLine="0" w:firstLineChars="0"/>
              <w:textAlignment w:val="auto"/>
              <w:rPr>
                <w:rFonts w:hint="eastAsia"/>
                <w:color w:val="000000" w:themeColor="text1"/>
                <w:lang w:val="en-US" w:eastAsia="zh-CN"/>
                <w14:textFill>
                  <w14:solidFill>
                    <w14:schemeClr w14:val="tx1"/>
                  </w14:solidFill>
                </w14:textFill>
              </w:rPr>
            </w:pPr>
          </w:p>
          <w:p>
            <w:pPr>
              <w:keepLines w:val="0"/>
              <w:pageBreakBefore w:val="0"/>
              <w:widowControl w:val="0"/>
              <w:kinsoku/>
              <w:wordWrap/>
              <w:topLinePunct w:val="0"/>
              <w:autoSpaceDE/>
              <w:autoSpaceDN/>
              <w:bidi w:val="0"/>
              <w:adjustRightInd w:val="0"/>
              <w:snapToGrid w:val="0"/>
              <w:spacing w:line="240" w:lineRule="auto"/>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autoSpaceDE/>
              <w:autoSpaceDN/>
              <w:bidi w:val="0"/>
              <w:adjustRightInd w:val="0"/>
              <w:snapToGrid w:val="0"/>
              <w:spacing w:before="0" w:after="0" w:line="240" w:lineRule="auto"/>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autoSpaceDE/>
              <w:autoSpaceDN/>
              <w:bidi w:val="0"/>
              <w:adjustRightInd w:val="0"/>
              <w:snapToGrid w:val="0"/>
              <w:spacing w:before="0" w:after="0" w:line="240" w:lineRule="auto"/>
              <w:ind w:left="0" w:leftChars="0" w:right="0" w:firstLine="0" w:firstLineChars="0"/>
              <w:jc w:val="both"/>
              <w:textAlignment w:val="auto"/>
              <w:rPr>
                <w:rFonts w:cs="宋体"/>
                <w:color w:val="000000" w:themeColor="text1"/>
                <w:kern w:val="0"/>
                <w:sz w:val="24"/>
                <w14:textFill>
                  <w14:solidFill>
                    <w14:schemeClr w14:val="tx1"/>
                  </w14:solidFill>
                </w14:textFill>
              </w:rPr>
            </w:pPr>
          </w:p>
          <w:p>
            <w:pPr>
              <w:pStyle w:val="25"/>
              <w:keepLines w:val="0"/>
              <w:pageBreakBefore w:val="0"/>
              <w:widowControl w:val="0"/>
              <w:kinsoku/>
              <w:wordWrap/>
              <w:topLinePunct w:val="0"/>
              <w:bidi w:val="0"/>
              <w:ind w:left="0" w:leftChars="0" w:right="0" w:firstLine="0" w:firstLineChars="0"/>
              <w:jc w:val="both"/>
              <w:textAlignment w:val="auto"/>
              <w:rPr>
                <w:rFonts w:cs="宋体"/>
                <w:color w:val="000000" w:themeColor="text1"/>
                <w:kern w:val="0"/>
                <w:sz w:val="24"/>
                <w14:textFill>
                  <w14:solidFill>
                    <w14:schemeClr w14:val="tx1"/>
                  </w14:solidFill>
                </w14:textFill>
              </w:rPr>
            </w:pPr>
          </w:p>
        </w:tc>
        <w:tc>
          <w:tcPr>
            <w:tcW w:w="6647" w:type="dxa"/>
            <w:vAlign w:val="center"/>
          </w:tcPr>
          <w:p>
            <w:pPr>
              <w:keepNext w:val="0"/>
              <w:keepLines w:val="0"/>
              <w:pageBreakBefore w:val="0"/>
              <w:widowControl w:val="0"/>
              <w:kinsoku/>
              <w:wordWrap/>
              <w:overflowPunct/>
              <w:topLinePunct w:val="0"/>
              <w:bidi w:val="0"/>
              <w:adjustRightInd w:val="0"/>
              <w:snapToGrid w:val="0"/>
              <w:spacing w:line="360" w:lineRule="auto"/>
              <w:jc w:val="both"/>
              <w:textAlignment w:val="auto"/>
              <w:rPr>
                <w:rFonts w:hint="eastAsia"/>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2、政策相符性分析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宋体" w:hAnsi="宋体" w:eastAsia="宋体" w:cs="宋体"/>
                <w:b/>
                <w:bCs/>
                <w:color w:val="000000" w:themeColor="text1"/>
                <w:sz w:val="24"/>
                <w:szCs w:val="24"/>
                <w:u w:val="single"/>
                <w:lang w:val="en-US"/>
                <w14:textFill>
                  <w14:solidFill>
                    <w14:schemeClr w14:val="tx1"/>
                  </w14:solidFill>
                </w14:textFill>
              </w:rPr>
            </w:pPr>
            <w:r>
              <w:rPr>
                <w:rFonts w:hint="eastAsia"/>
                <w:b/>
                <w:bCs/>
                <w:color w:val="000000" w:themeColor="text1"/>
                <w:kern w:val="0"/>
                <w:sz w:val="24"/>
                <w:u w:val="single"/>
                <w:lang w:val="en-US" w:eastAsia="zh-CN"/>
                <w14:textFill>
                  <w14:solidFill>
                    <w14:schemeClr w14:val="tx1"/>
                  </w14:solidFill>
                </w14:textFill>
              </w:rPr>
              <w:t>经查阅</w:t>
            </w:r>
            <w:r>
              <w:rPr>
                <w:rFonts w:hint="eastAsia"/>
                <w:b/>
                <w:bCs/>
                <w:color w:val="000000" w:themeColor="text1"/>
                <w:kern w:val="0"/>
                <w:sz w:val="24"/>
                <w:u w:val="single"/>
                <w:lang w:eastAsia="zh-CN"/>
                <w14:textFill>
                  <w14:solidFill>
                    <w14:schemeClr w14:val="tx1"/>
                  </w14:solidFill>
                </w14:textFill>
              </w:rPr>
              <w:t>《产业结构调整指导目录（2019年本）》（2021年修正），</w:t>
            </w:r>
            <w:r>
              <w:rPr>
                <w:rFonts w:hint="eastAsia"/>
                <w:b/>
                <w:bCs/>
                <w:color w:val="000000" w:themeColor="text1"/>
                <w:kern w:val="0"/>
                <w:sz w:val="24"/>
                <w:u w:val="single"/>
                <w:lang w:val="en-US" w:eastAsia="zh-CN"/>
                <w14:textFill>
                  <w14:solidFill>
                    <w14:schemeClr w14:val="tx1"/>
                  </w14:solidFill>
                </w14:textFill>
              </w:rPr>
              <w:t>本项目为植物、食用菌类提取精华部分为农产品深加工项目，属于鼓励类农林业第14条款：农业生物技术开发与应用。本项目已在</w:t>
            </w:r>
            <w:r>
              <w:rPr>
                <w:rFonts w:hint="eastAsia"/>
                <w:b/>
                <w:bCs/>
                <w:color w:val="000000" w:themeColor="text1"/>
                <w:sz w:val="24"/>
                <w:u w:val="single"/>
                <w14:textFill>
                  <w14:solidFill>
                    <w14:schemeClr w14:val="tx1"/>
                  </w14:solidFill>
                </w14:textFill>
              </w:rPr>
              <w:t>鲁山县发展和改革委员会</w:t>
            </w:r>
            <w:r>
              <w:rPr>
                <w:rFonts w:hint="eastAsia"/>
                <w:b/>
                <w:bCs/>
                <w:color w:val="000000" w:themeColor="text1"/>
                <w:sz w:val="24"/>
                <w:u w:val="single"/>
                <w:lang w:val="en-US" w:eastAsia="zh-CN"/>
                <w14:textFill>
                  <w14:solidFill>
                    <w14:schemeClr w14:val="tx1"/>
                  </w14:solidFill>
                </w14:textFill>
              </w:rPr>
              <w:t>备案</w:t>
            </w:r>
            <w:r>
              <w:rPr>
                <w:rFonts w:hint="eastAsia"/>
                <w:b/>
                <w:bCs/>
                <w:color w:val="000000" w:themeColor="text1"/>
                <w:kern w:val="0"/>
                <w:sz w:val="24"/>
                <w:u w:val="single"/>
                <w14:textFill>
                  <w14:solidFill>
                    <w14:schemeClr w14:val="tx1"/>
                  </w14:solidFill>
                </w14:textFill>
              </w:rPr>
              <w:t>，项目代码：</w:t>
            </w:r>
            <w:r>
              <w:rPr>
                <w:rFonts w:hint="eastAsia" w:cs="宋体"/>
                <w:b/>
                <w:bCs/>
                <w:color w:val="000000" w:themeColor="text1"/>
                <w:sz w:val="24"/>
                <w:u w:val="single"/>
                <w:lang w:val="en-US" w:eastAsia="zh-CN"/>
                <w14:textFill>
                  <w14:solidFill>
                    <w14:schemeClr w14:val="tx1"/>
                  </w14:solidFill>
                </w14:textFill>
              </w:rPr>
              <w:t>2209-410423-04-01-939090</w:t>
            </w:r>
            <w:r>
              <w:rPr>
                <w:rFonts w:hint="eastAsia"/>
                <w:b/>
                <w:bCs/>
                <w:color w:val="000000" w:themeColor="text1"/>
                <w:kern w:val="0"/>
                <w:sz w:val="24"/>
                <w:u w:val="single"/>
                <w14:textFill>
                  <w14:solidFill>
                    <w14:schemeClr w14:val="tx1"/>
                  </w14:solidFill>
                </w14:textFill>
              </w:rPr>
              <w:t>，备案</w:t>
            </w:r>
            <w:r>
              <w:rPr>
                <w:rFonts w:hint="eastAsia"/>
                <w:b/>
                <w:bCs/>
                <w:color w:val="000000" w:themeColor="text1"/>
                <w:kern w:val="0"/>
                <w:sz w:val="24"/>
                <w:u w:val="single"/>
                <w:lang w:val="en-US" w:eastAsia="zh-CN"/>
                <w14:textFill>
                  <w14:solidFill>
                    <w14:schemeClr w14:val="tx1"/>
                  </w14:solidFill>
                </w14:textFill>
              </w:rPr>
              <w:t>证明</w:t>
            </w:r>
            <w:r>
              <w:rPr>
                <w:rFonts w:hint="eastAsia"/>
                <w:b/>
                <w:bCs/>
                <w:color w:val="000000" w:themeColor="text1"/>
                <w:kern w:val="0"/>
                <w:sz w:val="24"/>
                <w:u w:val="single"/>
                <w14:textFill>
                  <w14:solidFill>
                    <w14:schemeClr w14:val="tx1"/>
                  </w14:solidFill>
                </w14:textFill>
              </w:rPr>
              <w:t>见附件</w:t>
            </w:r>
            <w:r>
              <w:rPr>
                <w:rFonts w:hint="eastAsia"/>
                <w:b/>
                <w:bCs/>
                <w:color w:val="000000" w:themeColor="text1"/>
                <w:kern w:val="0"/>
                <w:sz w:val="24"/>
                <w:u w:val="single"/>
                <w:lang w:val="en-US" w:eastAsia="zh-CN"/>
                <w14:textFill>
                  <w14:solidFill>
                    <w14:schemeClr w14:val="tx1"/>
                  </w14:solidFill>
                </w14:textFill>
              </w:rPr>
              <w:t>2</w:t>
            </w:r>
            <w:r>
              <w:rPr>
                <w:rFonts w:hint="eastAsia"/>
                <w:b/>
                <w:bCs/>
                <w:color w:val="000000" w:themeColor="text1"/>
                <w:kern w:val="0"/>
                <w:sz w:val="24"/>
                <w:u w:val="single"/>
                <w14:textFill>
                  <w14:solidFill>
                    <w14:schemeClr w14:val="tx1"/>
                  </w14:solidFill>
                </w14:textFill>
              </w:rPr>
              <w:t>。</w:t>
            </w:r>
            <w:r>
              <w:rPr>
                <w:rFonts w:hint="eastAsia"/>
                <w:b/>
                <w:bCs/>
                <w:color w:val="000000" w:themeColor="text1"/>
                <w:kern w:val="0"/>
                <w:sz w:val="24"/>
                <w:u w:val="single"/>
                <w:lang w:val="en-US" w:eastAsia="zh-CN"/>
                <w14:textFill>
                  <w14:solidFill>
                    <w14:schemeClr w14:val="tx1"/>
                  </w14:solidFill>
                </w14:textFill>
              </w:rPr>
              <w:t>因此，本项目的建设符合国家当前产业政策。项目建设情况与备案相符性详见下表。</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22" w:firstLineChars="200"/>
              <w:jc w:val="center"/>
              <w:textAlignment w:val="auto"/>
              <w:rPr>
                <w:rFonts w:hint="default" w:ascii="Times New Roman" w:hAnsi="Times New Roman" w:cs="Times New Roman"/>
                <w:b/>
                <w:bCs/>
                <w:color w:val="000000" w:themeColor="text1"/>
                <w:kern w:val="0"/>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表1-</w:t>
            </w:r>
            <w:r>
              <w:rPr>
                <w:rFonts w:hint="eastAsia" w:cs="Times New Roman"/>
                <w:b/>
                <w:bCs/>
                <w:color w:val="000000" w:themeColor="text1"/>
                <w:sz w:val="21"/>
                <w:szCs w:val="21"/>
                <w:u w:val="single"/>
                <w:lang w:val="en-US" w:eastAsia="zh-CN"/>
                <w14:textFill>
                  <w14:solidFill>
                    <w14:schemeClr w14:val="tx1"/>
                  </w14:solidFill>
                </w14:textFill>
              </w:rPr>
              <w:t>2</w:t>
            </w: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 xml:space="preserve">  </w:t>
            </w:r>
            <w:r>
              <w:rPr>
                <w:rFonts w:hint="default" w:ascii="Times New Roman" w:hAnsi="Times New Roman" w:eastAsia="宋体" w:cs="Times New Roman"/>
                <w:b/>
                <w:bCs/>
                <w:color w:val="000000" w:themeColor="text1"/>
                <w:sz w:val="21"/>
                <w:szCs w:val="21"/>
                <w:u w:val="single"/>
                <w14:textFill>
                  <w14:solidFill>
                    <w14:schemeClr w14:val="tx1"/>
                  </w14:solidFill>
                </w14:textFill>
              </w:rPr>
              <w:t>项目建设情况与备案相符性</w:t>
            </w:r>
          </w:p>
          <w:tbl>
            <w:tblPr>
              <w:tblStyle w:val="27"/>
              <w:tblW w:w="66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8"/>
              <w:gridCol w:w="2487"/>
              <w:gridCol w:w="2487"/>
              <w:gridCol w:w="9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类别</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备案内容</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项目建设内容</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项目名称</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植物、食用菌类深加工项目</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植物、食用菌类深加工项目</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建设单位</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河南素佳生物科技有限公司</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河南素佳生物科技有限公司</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厂址</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平顶山市鲁山县库区乡平岭街01号</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平顶山市鲁山县库区乡平岭街01号</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总投资</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3000万元</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3000万元</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 w:hRule="atLeast"/>
              </w:trPr>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建设规模</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14:textFill>
                        <w14:solidFill>
                          <w14:schemeClr w14:val="tx1"/>
                        </w14:solidFill>
                      </w14:textFill>
                    </w:rPr>
                    <w:t>年产植物、食用菌类提取加工产品300吨以上</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14:textFill>
                        <w14:solidFill>
                          <w14:schemeClr w14:val="tx1"/>
                        </w14:solidFill>
                      </w14:textFill>
                    </w:rPr>
                    <w:t>年产植物、食用菌类提取加工产品300吨</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建设内容</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14:textFill>
                        <w14:solidFill>
                          <w14:schemeClr w14:val="tx1"/>
                        </w14:solidFill>
                      </w14:textFill>
                    </w:rPr>
                    <w:t>植物、食用菌类深加工项目</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 w:val="21"/>
                      <w:szCs w:val="21"/>
                      <w:u w:val="single"/>
                      <w:vertAlign w:val="baseline"/>
                      <w14:textFill>
                        <w14:solidFill>
                          <w14:schemeClr w14:val="tx1"/>
                        </w14:solidFill>
                      </w14:textFill>
                    </w:rPr>
                    <w:t>租用河南吉尔木食品有限公司厂房，并在原厂房基础上</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 w:val="21"/>
                      <w:szCs w:val="21"/>
                      <w:u w:val="single"/>
                      <w:vertAlign w:val="baseline"/>
                      <w14:textFill>
                        <w14:solidFill>
                          <w14:schemeClr w14:val="tx1"/>
                        </w14:solidFill>
                      </w14:textFill>
                    </w:rPr>
                    <w:t>改建部分厂房、办公用房等</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 w:val="21"/>
                      <w:szCs w:val="21"/>
                      <w:u w:val="single"/>
                      <w:vertAlign w:val="baseline"/>
                      <w14:textFill>
                        <w14:solidFill>
                          <w14:schemeClr w14:val="tx1"/>
                        </w14:solidFill>
                      </w14:textFill>
                    </w:rPr>
                    <w:t>生产车间占地面积3000平方米</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14:textFill>
                        <w14:solidFill>
                          <w14:schemeClr w14:val="tx1"/>
                        </w14:solidFill>
                      </w14:textFill>
                    </w:rPr>
                    <w:t>植物、食用菌类深加工项目租用河南吉尔木食品有限公司厂房，并在原厂房基础上</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 w:val="21"/>
                      <w:szCs w:val="21"/>
                      <w:u w:val="single"/>
                      <w:vertAlign w:val="baseline"/>
                      <w14:textFill>
                        <w14:solidFill>
                          <w14:schemeClr w14:val="tx1"/>
                        </w14:solidFill>
                      </w14:textFill>
                    </w:rPr>
                    <w:t>改建部分厂房、办公用房等</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 w:val="21"/>
                      <w:szCs w:val="21"/>
                      <w:u w:val="single"/>
                      <w:vertAlign w:val="baseline"/>
                      <w14:textFill>
                        <w14:solidFill>
                          <w14:schemeClr w14:val="tx1"/>
                        </w14:solidFill>
                      </w14:textFill>
                    </w:rPr>
                    <w:t>生产车间占地面积3000平方米</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工艺</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水提取、滤液浓缩、超滤纳滤、喷雾干燥等</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水提取、滤液浓缩、超滤纳滤、喷雾干燥、水沉、酶沉、混合、包装等</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kern w:val="0"/>
                      <w:sz w:val="21"/>
                      <w:szCs w:val="21"/>
                      <w:u w:val="single"/>
                      <w:vertAlign w:val="baseline"/>
                      <w:lang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Cs w:val="21"/>
                      <w:u w:val="single"/>
                      <w:lang w:val="zh-CN"/>
                      <w14:textFill>
                        <w14:solidFill>
                          <w14:schemeClr w14:val="tx1"/>
                        </w14:solidFill>
                      </w14:textFill>
                    </w:rPr>
                    <w:t>较备案更细化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8"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主要设备</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eastAsia="宋体"/>
                      <w:b/>
                      <w:bCs/>
                      <w:color w:val="000000" w:themeColor="text1"/>
                      <w:kern w:val="0"/>
                      <w:sz w:val="21"/>
                      <w:szCs w:val="21"/>
                      <w:u w:val="single"/>
                      <w:vertAlign w:val="baseline"/>
                      <w:lang w:val="en-US" w:eastAsia="zh-CN"/>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多功能提取罐、提取液储罐、单效浓缩容器、喷雾干燥塔等</w:t>
                  </w:r>
                </w:p>
              </w:tc>
              <w:tc>
                <w:tcPr>
                  <w:tcW w:w="248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多功能提取罐、提取液储罐、单效浓缩容器、喷雾干燥塔、水沉罐、酶沉罐、混合机、包装机等</w:t>
                  </w:r>
                </w:p>
              </w:tc>
              <w:tc>
                <w:tcPr>
                  <w:tcW w:w="915"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0"/>
                      <w:sz w:val="21"/>
                      <w:szCs w:val="21"/>
                      <w:u w:val="single"/>
                      <w:vertAlign w:val="baseline"/>
                      <w14:textFill>
                        <w14:solidFill>
                          <w14:schemeClr w14:val="tx1"/>
                        </w14:solidFill>
                      </w14:textFill>
                    </w:rPr>
                  </w:pPr>
                  <w:r>
                    <w:rPr>
                      <w:rFonts w:hint="eastAsia"/>
                      <w:b/>
                      <w:bCs/>
                      <w:color w:val="000000" w:themeColor="text1"/>
                      <w:kern w:val="0"/>
                      <w:sz w:val="21"/>
                      <w:szCs w:val="21"/>
                      <w:u w:val="single"/>
                      <w:vertAlign w:val="baseline"/>
                      <w:lang w:val="en-US" w:eastAsia="zh-CN"/>
                      <w14:textFill>
                        <w14:solidFill>
                          <w14:schemeClr w14:val="tx1"/>
                        </w14:solidFill>
                      </w14:textFill>
                    </w:rPr>
                    <w:t>相符</w:t>
                  </w:r>
                  <w:r>
                    <w:rPr>
                      <w:rFonts w:hint="eastAsia"/>
                      <w:b/>
                      <w:bCs/>
                      <w:color w:val="000000" w:themeColor="text1"/>
                      <w:kern w:val="0"/>
                      <w:sz w:val="21"/>
                      <w:szCs w:val="21"/>
                      <w:u w:val="single"/>
                      <w:vertAlign w:val="baseline"/>
                      <w:lang w:eastAsia="zh-CN"/>
                      <w14:textFill>
                        <w14:solidFill>
                          <w14:schemeClr w14:val="tx1"/>
                        </w14:solidFill>
                      </w14:textFill>
                    </w:rPr>
                    <w:t>，</w:t>
                  </w:r>
                  <w:r>
                    <w:rPr>
                      <w:rFonts w:hint="eastAsia"/>
                      <w:b/>
                      <w:bCs/>
                      <w:color w:val="000000" w:themeColor="text1"/>
                      <w:kern w:val="0"/>
                      <w:szCs w:val="21"/>
                      <w:u w:val="single"/>
                      <w:lang w:val="zh-CN"/>
                      <w14:textFill>
                        <w14:solidFill>
                          <w14:schemeClr w14:val="tx1"/>
                        </w14:solidFill>
                      </w14:textFill>
                    </w:rPr>
                    <w:t>较备案更细化</w:t>
                  </w:r>
                </w:p>
              </w:tc>
            </w:tr>
          </w:tbl>
          <w:p>
            <w:pPr>
              <w:keepNext w:val="0"/>
              <w:keepLines w:val="0"/>
              <w:pageBreakBefore w:val="0"/>
              <w:widowControl w:val="0"/>
              <w:kinsoku/>
              <w:wordWrap/>
              <w:overflowPunct/>
              <w:topLinePunct w:val="0"/>
              <w:bidi w:val="0"/>
              <w:adjustRightInd w:val="0"/>
              <w:snapToGrid w:val="0"/>
              <w:spacing w:line="360" w:lineRule="auto"/>
              <w:jc w:val="both"/>
              <w:textAlignment w:val="auto"/>
              <w:rPr>
                <w:rFonts w:hint="eastAsia"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3与平顶山饮用水源环境保护规划相符性分析</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cs="Times New Roman"/>
                <w:b/>
                <w:bCs/>
                <w:color w:val="000000" w:themeColor="text1"/>
                <w:sz w:val="24"/>
                <w:szCs w:val="24"/>
                <w:lang w:val="en-US" w:eastAsia="zh-CN"/>
                <w14:textFill>
                  <w14:solidFill>
                    <w14:schemeClr w14:val="tx1"/>
                  </w14:solidFill>
                </w14:textFill>
              </w:rPr>
              <w:t>3.1与南水北调水源保护区相符性分析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根据《南水北调中线一期工程总干渠（河南段）两侧饮用水水源保护区划》（豫调办[2018]56号）中规定的南水北调中线一期工程总干渠（河南段）两侧饮用水水源保护区范围如下。</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一、保护区涉及行政区范围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南水北调中线一期工程总干渠（河南段）两侧饮用水水源保护区涉及南阳市、平顶山市、许昌市、郑州市、焦作市、新乡市、鹤壁市、安阳市8个省辖市和邓州市。</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二、总干渠两侧饮用水水源保护区划范围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南水北调中线一期工程总干渠在河南省境内的工程类型分为建筑物段和总干渠明渠段。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（一）建筑物段（渡槽、倒虹吸、暗涵、隧洞）一级保护区范围自总干渠管理范围边线（防护栏网）外延50米，不设二级保护区。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（二）总干渠明渠段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根据地下水水位与总干渠渠底高程的关系，分为以下几种类型：</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1、地下水水位低于总干渠渠底的渠段一级保护区范围自总干渠管理范围边线（防护栏网）外延50米；二级保护区范围自一级保护区边线外延150米。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2、地下水水位高于总干渠渠底的渠段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（1）微~弱透水性地层一级保护区范围自总干渠管理范围边线（防护栏网）外延50米；二级保护区范围自一级保护区边线外延500米。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（2）弱~中等透水性地层一级保护区范围自总干渠管理范围边线（防护栏网）外延100米；二级保护区范围自一级保护区边线外延1000米。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（3）强透水性地层一级保护区范围自总干渠管理范围边线（防护栏网）外延200米；二级保护区范围自一级保护区边线外延2000米、1500米。</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本项目选址位于平顶山市鲁山县库区乡平岭街01号，位于南水北调中线总干渠左岸，项目厂界距离南水北调总干渠管理范围边线（防护拦网）最近直线距离为</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1</w:t>
            </w:r>
            <w:r>
              <w:rPr>
                <w:rFonts w:hint="eastAsia" w:ascii="Times New Roman" w:hAnsi="Times New Roman" w:eastAsia="宋体" w:cs="Times New Roman"/>
                <w:color w:val="000000" w:themeColor="text1"/>
                <w:kern w:val="0"/>
                <w:sz w:val="24"/>
                <w:szCs w:val="24"/>
                <w:lang w:val="en-US" w:eastAsia="zh-CN" w:bidi="ar"/>
                <w14:textFill>
                  <w14:solidFill>
                    <w14:schemeClr w14:val="tx1"/>
                  </w14:solidFill>
                </w14:textFill>
              </w:rPr>
              <w:t>7</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w:t>
            </w:r>
            <w:r>
              <w:rPr>
                <w:rFonts w:hint="eastAsia" w:ascii="Times New Roman" w:hAnsi="Times New Roman" w:eastAsia="宋体" w:cs="Times New Roman"/>
                <w:color w:val="000000" w:themeColor="text1"/>
                <w:kern w:val="0"/>
                <w:sz w:val="24"/>
                <w:szCs w:val="24"/>
                <w:lang w:val="en-US" w:eastAsia="zh-CN" w:bidi="ar"/>
                <w14:textFill>
                  <w14:solidFill>
                    <w14:schemeClr w14:val="tx1"/>
                  </w14:solidFill>
                </w14:textFill>
              </w:rPr>
              <w:t>2</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km</w:t>
            </w:r>
            <w:r>
              <w:rPr>
                <w:rFonts w:hint="eastAsia" w:ascii="宋体" w:hAnsi="宋体" w:eastAsia="宋体" w:cs="宋体"/>
                <w:color w:val="000000" w:themeColor="text1"/>
                <w:kern w:val="0"/>
                <w:sz w:val="24"/>
                <w:szCs w:val="24"/>
                <w:lang w:val="en-US" w:eastAsia="zh-CN" w:bidi="ar"/>
                <w14:textFill>
                  <w14:solidFill>
                    <w14:schemeClr w14:val="tx1"/>
                  </w14:solidFill>
                </w14:textFill>
              </w:rPr>
              <w:t>，不在南水北调中线工程划定的保护区范围内，符合南水北调规划要求。</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eastAsia" w:cs="Times New Roman"/>
                <w:b/>
                <w:bCs/>
                <w:color w:val="000000" w:themeColor="text1"/>
                <w:sz w:val="24"/>
                <w:szCs w:val="24"/>
                <w:lang w:val="en-US" w:eastAsia="zh-CN"/>
                <w14:textFill>
                  <w14:solidFill>
                    <w14:schemeClr w14:val="tx1"/>
                  </w14:solidFill>
                </w14:textFill>
              </w:rPr>
              <w:t>3.2</w:t>
            </w: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城市集中式饮用水源保护区划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根据《河南省人民政府关于调整取消部分集中式饮用水水源保护区的通知》（豫政文</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[2021]</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72号）），省政府决定调整和取消我省部分集中式饮用水水源保护区。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）调整鲁山县昭平台水库饮用水水源保护区。具体范围如下：</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一级保护区：水库大坝至上游3800米，水库高程169米以内的区域及以外200米不超过环库路的区域。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二级保护区：一级保护区外，水库大坝上游3800米至5800米，水库高程169米以内的区域及以外至环库路的区域。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color w:val="000000" w:themeColor="text1"/>
                <w:sz w:val="24"/>
                <w:szCs w:val="24"/>
                <w:u w:val="none"/>
                <w:lang w:val="en-US" w:eastAsia="zh-CN"/>
                <w14:textFill>
                  <w14:solidFill>
                    <w14:schemeClr w14:val="tx1"/>
                  </w14:solidFill>
                </w14:textFill>
              </w:rPr>
            </w:pPr>
            <w:r>
              <w:rPr>
                <w:rFonts w:hint="default" w:ascii="Times New Roman" w:hAnsi="Times New Roman" w:cs="Times New Roman" w:eastAsiaTheme="minorEastAsia"/>
                <w:b w:val="0"/>
                <w:bCs w:val="0"/>
                <w:color w:val="000000" w:themeColor="text1"/>
                <w:sz w:val="24"/>
                <w:szCs w:val="24"/>
                <w:u w:val="none"/>
                <w:lang w:val="en-US" w:eastAsia="zh-CN"/>
                <w14:textFill>
                  <w14:solidFill>
                    <w14:schemeClr w14:val="tx1"/>
                  </w14:solidFill>
                </w14:textFill>
              </w:rPr>
              <w:t>准保护区：二级保护区外，水库高程169米以内的区域及以外至环库路的区域；沙河、荡泽河、柳林河、团城河、清水河河道管理范围外500米以内的区域。</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cs="Times New Roman" w:eastAsiaTheme="minorEastAsia"/>
                <w:b w:val="0"/>
                <w:bCs w:val="0"/>
                <w:color w:val="000000" w:themeColor="text1"/>
                <w:kern w:val="0"/>
                <w:sz w:val="24"/>
                <w:szCs w:val="24"/>
                <w:highlight w:val="yellow"/>
                <w:u w:val="none"/>
                <w:lang w:val="en-US" w:eastAsia="zh-CN"/>
                <w14:textFill>
                  <w14:solidFill>
                    <w14:schemeClr w14:val="tx1"/>
                  </w14:solidFill>
                </w14:textFill>
              </w:rPr>
            </w:pP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昭平台水库现状情况为：总库容6.85亿m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、防洪库容2.32亿m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、兴利库容1.96亿m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、正常蓄水位168.87m；根据昭平台水库扩容（替代下汤水库）工程可行性研究报告（目前尚未批复），昭平台水库扩容后为：总库容11.80亿m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、防洪库容4.2m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、兴利库容3.79亿m</w:t>
            </w:r>
            <w:r>
              <w:rPr>
                <w:rFonts w:hint="default" w:ascii="Times New Roman" w:hAnsi="Times New Roman" w:cs="Times New Roman" w:eastAsiaTheme="minorEastAsia"/>
                <w:b w:val="0"/>
                <w:bCs w:val="0"/>
                <w:color w:val="000000" w:themeColor="text1"/>
                <w:kern w:val="0"/>
                <w:sz w:val="24"/>
                <w:szCs w:val="24"/>
                <w:u w:val="none"/>
                <w:vertAlign w:val="superscript"/>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、正常蓄水位174.6m，扩容区域为昭平台水库西南侧水域，主要影响区域为下汤镇。</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pPr>
            <w:r>
              <w:rPr>
                <w:rFonts w:hint="default" w:ascii="Times New Roman" w:hAnsi="Times New Roman" w:cs="Times New Roman" w:eastAsiaTheme="minorEastAsia"/>
                <w:b w:val="0"/>
                <w:bCs w:val="0"/>
                <w:color w:val="000000" w:themeColor="text1"/>
                <w:kern w:val="0"/>
                <w:sz w:val="24"/>
                <w:szCs w:val="24"/>
                <w:u w:val="none"/>
                <w:lang w:eastAsia="zh-CN"/>
                <w14:textFill>
                  <w14:solidFill>
                    <w14:schemeClr w14:val="tx1"/>
                  </w14:solidFill>
                </w14:textFill>
              </w:rPr>
              <w:t>本项目位于平顶山市鲁山县库区乡环湖路平岭街01号</w:t>
            </w:r>
            <w:r>
              <w:rPr>
                <w:rFonts w:hint="eastAsia" w:cs="Times New Roman" w:eastAsiaTheme="minorEastAsia"/>
                <w:b w:val="0"/>
                <w:bCs w:val="0"/>
                <w:color w:val="000000" w:themeColor="text1"/>
                <w:kern w:val="0"/>
                <w:sz w:val="24"/>
                <w:szCs w:val="24"/>
                <w:u w:val="none"/>
                <w:lang w:eastAsia="zh-CN"/>
                <w14:textFill>
                  <w14:solidFill>
                    <w14:schemeClr w14:val="tx1"/>
                  </w14:solidFill>
                </w14:textFill>
              </w:rPr>
              <w:t>，</w:t>
            </w:r>
            <w:r>
              <w:rPr>
                <w:rFonts w:hint="default" w:ascii="Times New Roman" w:hAnsi="Times New Roman" w:cs="Times New Roman" w:eastAsiaTheme="minorEastAsia"/>
                <w:b w:val="0"/>
                <w:bCs w:val="0"/>
                <w:color w:val="000000" w:themeColor="text1"/>
                <w:kern w:val="0"/>
                <w:sz w:val="24"/>
                <w:szCs w:val="24"/>
                <w:u w:val="none"/>
                <w:lang w:eastAsia="zh-CN"/>
                <w14:textFill>
                  <w14:solidFill>
                    <w14:schemeClr w14:val="tx1"/>
                  </w14:solidFill>
                </w14:textFill>
              </w:rPr>
              <w:t>距离西侧荡泽河约239m，距离南侧昭平台水库约691m，</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距离环库路约</w:t>
            </w:r>
            <w:r>
              <w:rPr>
                <w:rFonts w:hint="eastAsia" w:cs="Times New Roman" w:eastAsiaTheme="minorEastAsia"/>
                <w:b w:val="0"/>
                <w:bCs w:val="0"/>
                <w:color w:val="000000" w:themeColor="text1"/>
                <w:kern w:val="0"/>
                <w:sz w:val="24"/>
                <w:szCs w:val="24"/>
                <w:u w:val="none"/>
                <w:lang w:val="en-US" w:eastAsia="zh-CN"/>
                <w14:textFill>
                  <w14:solidFill>
                    <w14:schemeClr w14:val="tx1"/>
                  </w14:solidFill>
                </w14:textFill>
              </w:rPr>
              <w:t>72</w:t>
            </w:r>
            <w:r>
              <w:rPr>
                <w:rFonts w:hint="default" w:ascii="Times New Roman" w:hAnsi="Times New Roman" w:cs="Times New Roman" w:eastAsiaTheme="minorEastAsia"/>
                <w:b w:val="0"/>
                <w:bCs w:val="0"/>
                <w:color w:val="000000" w:themeColor="text1"/>
                <w:kern w:val="0"/>
                <w:sz w:val="24"/>
                <w:szCs w:val="24"/>
                <w:u w:val="none"/>
                <w:lang w:val="en-US" w:eastAsia="zh-CN"/>
                <w14:textFill>
                  <w14:solidFill>
                    <w14:schemeClr w14:val="tx1"/>
                  </w14:solidFill>
                </w14:textFill>
              </w:rPr>
              <w:t>m，</w:t>
            </w:r>
            <w:r>
              <w:rPr>
                <w:rFonts w:hint="default" w:ascii="Times New Roman" w:hAnsi="Times New Roman" w:cs="Times New Roman" w:eastAsiaTheme="minorEastAsia"/>
                <w:b w:val="0"/>
                <w:bCs w:val="0"/>
                <w:color w:val="000000" w:themeColor="text1"/>
                <w:kern w:val="0"/>
                <w:sz w:val="24"/>
                <w:szCs w:val="24"/>
                <w:u w:val="none"/>
                <w:lang w:eastAsia="zh-CN"/>
                <w14:textFill>
                  <w14:solidFill>
                    <w14:schemeClr w14:val="tx1"/>
                  </w14:solidFill>
                </w14:textFill>
              </w:rPr>
              <w:t>距离昭平台水库大坝约5.7km</w:t>
            </w:r>
            <w:r>
              <w:rPr>
                <w:rFonts w:hint="eastAsia" w:cs="Times New Roman" w:eastAsiaTheme="minorEastAsia"/>
                <w:b w:val="0"/>
                <w:bCs w:val="0"/>
                <w:color w:val="000000" w:themeColor="text1"/>
                <w:kern w:val="0"/>
                <w:sz w:val="24"/>
                <w:szCs w:val="24"/>
                <w:u w:val="none"/>
                <w:lang w:eastAsia="zh-CN"/>
                <w14:textFill>
                  <w14:solidFill>
                    <w14:schemeClr w14:val="tx1"/>
                  </w14:solidFill>
                </w14:textFill>
              </w:rPr>
              <w:t>。</w:t>
            </w:r>
            <w:r>
              <w:rPr>
                <w:rFonts w:hint="default" w:ascii="Times New Roman" w:hAnsi="Times New Roman" w:cs="Times New Roman" w:eastAsiaTheme="minorEastAsia"/>
                <w:b w:val="0"/>
                <w:bCs w:val="0"/>
                <w:color w:val="000000" w:themeColor="text1"/>
                <w:kern w:val="0"/>
                <w:sz w:val="24"/>
                <w:szCs w:val="24"/>
                <w:u w:val="none"/>
                <w:lang w:eastAsia="zh-CN"/>
                <w14:textFill>
                  <w14:solidFill>
                    <w14:schemeClr w14:val="tx1"/>
                  </w14:solidFill>
                </w14:textFill>
              </w:rPr>
              <w:t>本项目位于昭平台水库上游入库河流沿岸500米的陆域之内，属于</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昭平台水库饮用水水源保护区</w:t>
            </w:r>
            <w:r>
              <w:rPr>
                <w:rFonts w:hint="default" w:ascii="Times New Roman" w:hAnsi="Times New Roman" w:cs="Times New Roman" w:eastAsiaTheme="minorEastAsia"/>
                <w:b w:val="0"/>
                <w:bCs w:val="0"/>
                <w:color w:val="000000" w:themeColor="text1"/>
                <w:kern w:val="0"/>
                <w:sz w:val="24"/>
                <w:szCs w:val="24"/>
                <w:u w:val="none"/>
                <w:lang w:eastAsia="zh-CN"/>
                <w14:textFill>
                  <w14:solidFill>
                    <w14:schemeClr w14:val="tx1"/>
                  </w14:solidFill>
                </w14:textFill>
              </w:rPr>
              <w:t>准保护区</w:t>
            </w:r>
            <w:r>
              <w:rPr>
                <w:rFonts w:hint="eastAsia" w:cs="Times New Roman" w:eastAsiaTheme="minorEastAsia"/>
                <w:b w:val="0"/>
                <w:bCs w:val="0"/>
                <w:color w:val="000000" w:themeColor="text1"/>
                <w:kern w:val="0"/>
                <w:sz w:val="24"/>
                <w:szCs w:val="24"/>
                <w:u w:val="none"/>
                <w:lang w:val="en-US" w:eastAsia="zh-CN"/>
                <w14:textFill>
                  <w14:solidFill>
                    <w14:schemeClr w14:val="tx1"/>
                  </w14:solidFill>
                </w14:textFill>
              </w:rPr>
              <w:t>范围内</w:t>
            </w:r>
            <w:r>
              <w:rPr>
                <w:rFonts w:hint="eastAsia" w:cs="Times New Roman" w:eastAsiaTheme="minorEastAsia"/>
                <w:b w:val="0"/>
                <w:bCs w:val="0"/>
                <w:color w:val="000000" w:themeColor="text1"/>
                <w:kern w:val="0"/>
                <w:sz w:val="24"/>
                <w:szCs w:val="24"/>
                <w:u w:val="none"/>
                <w:lang w:eastAsia="zh-CN"/>
                <w14:textFill>
                  <w14:solidFill>
                    <w14:schemeClr w14:val="tx1"/>
                  </w14:solidFill>
                </w14:textFill>
              </w:rPr>
              <w:t>，</w:t>
            </w:r>
            <w:r>
              <w:rPr>
                <w:rFonts w:hint="eastAsia" w:cs="Times New Roman" w:eastAsiaTheme="minorEastAsia"/>
                <w:b w:val="0"/>
                <w:bCs w:val="0"/>
                <w:color w:val="000000" w:themeColor="text1"/>
                <w:kern w:val="0"/>
                <w:sz w:val="24"/>
                <w:szCs w:val="24"/>
                <w:u w:val="none"/>
                <w:lang w:val="en-US" w:eastAsia="zh-CN"/>
                <w14:textFill>
                  <w14:solidFill>
                    <w14:schemeClr w14:val="tx1"/>
                  </w14:solidFill>
                </w14:textFill>
              </w:rPr>
              <w:t>详见附图5本项目与昭平台水库饮用水水源一、二级保护区位置关系图。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snapToGrid w:val="0"/>
                <w:color w:val="000000" w:themeColor="text1"/>
                <w:spacing w:val="2"/>
                <w:kern w:val="0"/>
                <w:sz w:val="24"/>
                <w:szCs w:val="24"/>
                <w:highlight w:val="none"/>
                <w14:textFill>
                  <w14:solidFill>
                    <w14:schemeClr w14:val="tx1"/>
                  </w14:solidFill>
                </w14:textFill>
              </w:rPr>
            </w:pPr>
            <w:r>
              <w:rPr>
                <w:rFonts w:hint="eastAsia" w:ascii="宋体" w:hAnsi="宋体" w:eastAsia="宋体" w:cs="宋体"/>
                <w:snapToGrid w:val="0"/>
                <w:color w:val="000000" w:themeColor="text1"/>
                <w:kern w:val="0"/>
                <w:sz w:val="24"/>
                <w:szCs w:val="24"/>
                <w:highlight w:val="none"/>
                <w14:textFill>
                  <w14:solidFill>
                    <w14:schemeClr w14:val="tx1"/>
                  </w14:solidFill>
                </w14:textFill>
              </w:rPr>
              <w:t>根据《中华人民共和国水污染防治法》第六十三条规定：“国家建立饮用水水源保护区制度。饮用水水源保护区分为一级保护区和二级保护区；必要时，可以在饮用水水源保护</w:t>
            </w:r>
            <w:r>
              <w:rPr>
                <w:rFonts w:hint="eastAsia" w:ascii="宋体" w:hAnsi="宋体" w:eastAsia="宋体" w:cs="宋体"/>
                <w:snapToGrid w:val="0"/>
                <w:color w:val="000000" w:themeColor="text1"/>
                <w:spacing w:val="2"/>
                <w:kern w:val="0"/>
                <w:sz w:val="24"/>
                <w:szCs w:val="24"/>
                <w:highlight w:val="none"/>
                <w14:textFill>
                  <w14:solidFill>
                    <w14:schemeClr w14:val="tx1"/>
                  </w14:solidFill>
                </w14:textFill>
              </w:rPr>
              <w:t>区外围划定一定的区域作为准保护区”。因此，饮用水水源准保护区不属于饮用水水源保护区范畴</w:t>
            </w:r>
            <w:r>
              <w:rPr>
                <w:rFonts w:hint="eastAsia" w:ascii="宋体" w:hAnsi="宋体" w:cs="宋体"/>
                <w:snapToGrid w:val="0"/>
                <w:color w:val="000000" w:themeColor="text1"/>
                <w:spacing w:val="2"/>
                <w:kern w:val="0"/>
                <w:sz w:val="24"/>
                <w:szCs w:val="24"/>
                <w:highlight w:val="none"/>
                <w:lang w:eastAsia="zh-CN"/>
                <w14:textFill>
                  <w14:solidFill>
                    <w14:schemeClr w14:val="tx1"/>
                  </w14:solidFill>
                </w14:textFill>
              </w:rPr>
              <w:t>（</w:t>
            </w:r>
            <w:r>
              <w:rPr>
                <w:rFonts w:hint="eastAsia" w:ascii="宋体" w:hAnsi="宋体" w:cs="宋体"/>
                <w:snapToGrid w:val="0"/>
                <w:color w:val="000000" w:themeColor="text1"/>
                <w:spacing w:val="2"/>
                <w:kern w:val="0"/>
                <w:sz w:val="24"/>
                <w:szCs w:val="24"/>
                <w:highlight w:val="none"/>
                <w:lang w:val="en-US" w:eastAsia="zh-CN"/>
                <w14:textFill>
                  <w14:solidFill>
                    <w14:schemeClr w14:val="tx1"/>
                  </w14:solidFill>
                </w14:textFill>
              </w:rPr>
              <w:t>来源：部长信箱：关于明确准保护区到底是不是保护区的回复，2019年6月11日</w:t>
            </w:r>
            <w:r>
              <w:rPr>
                <w:rFonts w:hint="eastAsia" w:ascii="宋体" w:hAnsi="宋体" w:cs="宋体"/>
                <w:snapToGrid w:val="0"/>
                <w:color w:val="000000" w:themeColor="text1"/>
                <w:spacing w:val="2"/>
                <w:kern w:val="0"/>
                <w:sz w:val="24"/>
                <w:szCs w:val="24"/>
                <w:highlight w:val="none"/>
                <w:lang w:eastAsia="zh-CN"/>
                <w14:textFill>
                  <w14:solidFill>
                    <w14:schemeClr w14:val="tx1"/>
                  </w14:solidFill>
                </w14:textFill>
              </w:rPr>
              <w:t>）</w:t>
            </w:r>
            <w:r>
              <w:rPr>
                <w:rFonts w:hint="eastAsia" w:ascii="宋体" w:hAnsi="宋体" w:eastAsia="宋体" w:cs="宋体"/>
                <w:snapToGrid w:val="0"/>
                <w:color w:val="000000" w:themeColor="text1"/>
                <w:spacing w:val="2"/>
                <w:kern w:val="0"/>
                <w:sz w:val="24"/>
                <w:szCs w:val="24"/>
                <w:highlight w:val="none"/>
                <w14:textFill>
                  <w14:solidFill>
                    <w14:schemeClr w14:val="tx1"/>
                  </w14:solidFill>
                </w14:textFill>
              </w:rPr>
              <w:t>。根据《中华人民共和国水污染防治法》第六十七条规定：“禁止在饮用水水源准保护区内新建、扩建对水体污染严重的建设项目；改建建设项目，不得增加排污量”。</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cs="Times New Roman"/>
                <w:color w:val="000000" w:themeColor="text1"/>
                <w:kern w:val="0"/>
                <w:sz w:val="24"/>
                <w:szCs w:val="24"/>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t>河南素佳生物科技有限公司植物、食用菌类深加工项目</w:t>
            </w:r>
            <w:r>
              <w:rPr>
                <w:rFonts w:hint="default" w:ascii="Times New Roman" w:hAnsi="Times New Roman" w:eastAsia="宋体" w:cs="Times New Roman"/>
                <w:b w:val="0"/>
                <w:bCs w:val="0"/>
                <w:color w:val="000000" w:themeColor="text1"/>
                <w:kern w:val="0"/>
                <w:sz w:val="24"/>
                <w:szCs w:val="24"/>
                <w:u w:val="none"/>
                <w:lang w:eastAsia="zh-CN"/>
                <w14:textFill>
                  <w14:solidFill>
                    <w14:schemeClr w14:val="tx1"/>
                  </w14:solidFill>
                </w14:textFill>
              </w:rPr>
              <w:t>位于昭平台水库上游入库河流沿岸500米的陆域之内，属于</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昭平台水库饮用水水源保护区</w:t>
            </w:r>
            <w:r>
              <w:rPr>
                <w:rFonts w:hint="default" w:ascii="Times New Roman" w:hAnsi="Times New Roman" w:eastAsia="宋体" w:cs="Times New Roman"/>
                <w:b w:val="0"/>
                <w:bCs w:val="0"/>
                <w:color w:val="000000" w:themeColor="text1"/>
                <w:kern w:val="0"/>
                <w:sz w:val="24"/>
                <w:szCs w:val="24"/>
                <w:u w:val="none"/>
                <w:lang w:eastAsia="zh-CN"/>
                <w14:textFill>
                  <w14:solidFill>
                    <w14:schemeClr w14:val="tx1"/>
                  </w14:solidFill>
                </w14:textFill>
              </w:rPr>
              <w:t>准保护区</w:t>
            </w:r>
            <w:r>
              <w:rPr>
                <w:rFonts w:hint="eastAsia" w:eastAsia="宋体" w:cs="Times New Roman"/>
                <w:b w:val="0"/>
                <w:bCs w:val="0"/>
                <w:color w:val="000000" w:themeColor="text1"/>
                <w:kern w:val="0"/>
                <w:sz w:val="24"/>
                <w:szCs w:val="24"/>
                <w:u w:val="none"/>
                <w:lang w:val="en-US" w:eastAsia="zh-CN"/>
                <w14:textFill>
                  <w14:solidFill>
                    <w14:schemeClr w14:val="tx1"/>
                  </w14:solidFill>
                </w14:textFill>
              </w:rPr>
              <w:t>范围内</w:t>
            </w:r>
            <w:r>
              <w:rPr>
                <w:rFonts w:hint="eastAsia" w:eastAsia="宋体" w:cs="Times New Roman"/>
                <w:b w:val="0"/>
                <w:bCs w:val="0"/>
                <w:color w:val="000000" w:themeColor="text1"/>
                <w:kern w:val="0"/>
                <w:sz w:val="24"/>
                <w:szCs w:val="24"/>
                <w:u w:val="none"/>
                <w:lang w:eastAsia="zh-CN"/>
                <w14:textFill>
                  <w14:solidFill>
                    <w14:schemeClr w14:val="tx1"/>
                  </w14:solidFill>
                </w14:textFill>
              </w:rPr>
              <w:t>。</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本项目生产废水进入厂区污水处理站处理达标后，用于周边梨园灌溉及厂区洒水抑尘或绿化，不外排区域地表水，</w:t>
            </w:r>
            <w:r>
              <w:rPr>
                <w:rFonts w:hint="eastAsia"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不属于</w:t>
            </w:r>
            <w:r>
              <w:rPr>
                <w:rFonts w:hint="eastAsia" w:ascii="宋体" w:hAnsi="宋体" w:eastAsia="宋体" w:cs="宋体"/>
                <w:snapToGrid w:val="0"/>
                <w:color w:val="000000" w:themeColor="text1"/>
                <w:spacing w:val="2"/>
                <w:kern w:val="0"/>
                <w:sz w:val="24"/>
                <w:szCs w:val="24"/>
                <w:highlight w:val="none"/>
                <w14:textFill>
                  <w14:solidFill>
                    <w14:schemeClr w14:val="tx1"/>
                  </w14:solidFill>
                </w14:textFill>
              </w:rPr>
              <w:t>水体污染严重的建设项目</w:t>
            </w:r>
            <w:r>
              <w:rPr>
                <w:rFonts w:hint="eastAsia"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，本项目建设符合</w:t>
            </w:r>
            <w:r>
              <w:rPr>
                <w:rFonts w:hint="eastAsia" w:ascii="宋体" w:hAnsi="宋体" w:eastAsia="宋体" w:cs="宋体"/>
                <w:snapToGrid w:val="0"/>
                <w:color w:val="000000" w:themeColor="text1"/>
                <w:spacing w:val="2"/>
                <w:kern w:val="0"/>
                <w:sz w:val="24"/>
                <w:szCs w:val="24"/>
                <w:highlight w:val="none"/>
                <w14:textFill>
                  <w14:solidFill>
                    <w14:schemeClr w14:val="tx1"/>
                  </w14:solidFill>
                </w14:textFill>
              </w:rPr>
              <w:t>《中华人民共和国水污染防治法》第六十七条规定</w:t>
            </w:r>
            <w:r>
              <w:rPr>
                <w:rFonts w:hint="eastAsia" w:ascii="宋体" w:hAnsi="宋体" w:eastAsia="宋体" w:cs="宋体"/>
                <w:snapToGrid w:val="0"/>
                <w:color w:val="000000" w:themeColor="text1"/>
                <w:spacing w:val="2"/>
                <w:kern w:val="0"/>
                <w:sz w:val="24"/>
                <w:szCs w:val="24"/>
                <w:highlight w:val="none"/>
                <w:lang w:eastAsia="zh-CN"/>
                <w14:textFill>
                  <w14:solidFill>
                    <w14:schemeClr w14:val="tx1"/>
                  </w14:solidFill>
                </w14:textFill>
              </w:rPr>
              <w:t>，</w:t>
            </w:r>
            <w:r>
              <w:rPr>
                <w:rFonts w:hint="eastAsia" w:ascii="宋体" w:hAnsi="宋体" w:eastAsia="宋体" w:cs="宋体"/>
                <w:snapToGrid w:val="0"/>
                <w:color w:val="000000" w:themeColor="text1"/>
                <w:spacing w:val="2"/>
                <w:kern w:val="0"/>
                <w:sz w:val="24"/>
                <w:szCs w:val="24"/>
                <w:highlight w:val="none"/>
                <w:lang w:val="en-US" w:eastAsia="zh-CN"/>
                <w14:textFill>
                  <w14:solidFill>
                    <w14:schemeClr w14:val="tx1"/>
                  </w14:solidFill>
                </w14:textFill>
              </w:rPr>
              <w:t>因此</w:t>
            </w:r>
            <w:r>
              <w:rPr>
                <w:rFonts w:hint="default" w:ascii="Times New Roman" w:hAnsi="Times New Roman" w:eastAsia="宋体" w:cs="Times New Roman"/>
                <w:b w:val="0"/>
                <w:bCs w:val="0"/>
                <w:color w:val="000000" w:themeColor="text1"/>
                <w:kern w:val="0"/>
                <w:sz w:val="24"/>
                <w:szCs w:val="24"/>
                <w:u w:val="none"/>
                <w:lang w:val="en-US" w:eastAsia="zh-CN"/>
                <w14:textFill>
                  <w14:solidFill>
                    <w14:schemeClr w14:val="tx1"/>
                  </w14:solidFill>
                </w14:textFill>
              </w:rPr>
              <w:t>对昭平台水库饮用水水源保护区影响较小。</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b/>
                <w:bCs/>
                <w:color w:val="000000" w:themeColor="text1"/>
                <w:sz w:val="24"/>
                <w:szCs w:val="24"/>
                <w:highlight w:val="none"/>
                <w:lang w:val="en-US" w:eastAsia="zh-CN"/>
                <w14:textFill>
                  <w14:solidFill>
                    <w14:schemeClr w14:val="tx1"/>
                  </w14:solidFill>
                </w14:textFill>
              </w:rPr>
            </w:pPr>
            <w:r>
              <w:rPr>
                <w:rFonts w:hint="eastAsia" w:cs="Times New Roman"/>
                <w:b/>
                <w:bCs/>
                <w:color w:val="000000" w:themeColor="text1"/>
                <w:sz w:val="24"/>
                <w:szCs w:val="24"/>
                <w:highlight w:val="none"/>
                <w:lang w:val="en-US" w:eastAsia="zh-CN"/>
                <w14:textFill>
                  <w14:solidFill>
                    <w14:schemeClr w14:val="tx1"/>
                  </w14:solidFill>
                </w14:textFill>
              </w:rPr>
              <w:t>3.3</w:t>
            </w:r>
            <w:r>
              <w:rPr>
                <w:rFonts w:hint="default" w:ascii="Times New Roman" w:hAnsi="Times New Roman" w:eastAsia="宋体" w:cs="Times New Roman"/>
                <w:b/>
                <w:bCs/>
                <w:color w:val="000000" w:themeColor="text1"/>
                <w:sz w:val="24"/>
                <w:szCs w:val="24"/>
                <w:highlight w:val="none"/>
                <w:lang w:val="en-US" w:eastAsia="zh-CN"/>
                <w14:textFill>
                  <w14:solidFill>
                    <w14:schemeClr w14:val="tx1"/>
                  </w14:solidFill>
                </w14:textFill>
              </w:rPr>
              <w:t>乡镇集中式饮用水源保护区划</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eastAsia="zh-CN"/>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根据《河南省人民政府办公厅关于印发河南省乡镇集中式饮用水水源保护区划的通知》</w:t>
            </w:r>
            <w:r>
              <w:rPr>
                <w:rFonts w:hint="default" w:ascii="Times New Roman" w:hAnsi="Times New Roman" w:eastAsia="宋体" w:cs="Times New Roman"/>
                <w:color w:val="000000" w:themeColor="text1"/>
                <w:sz w:val="24"/>
                <w:szCs w:val="24"/>
                <w14:textFill>
                  <w14:solidFill>
                    <w14:schemeClr w14:val="tx1"/>
                  </w14:solidFill>
                </w14:textFill>
              </w:rPr>
              <w:t>（豫政办</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[2016]</w:t>
            </w:r>
            <w:r>
              <w:rPr>
                <w:rFonts w:hint="default" w:ascii="Times New Roman" w:hAnsi="Times New Roman" w:eastAsia="宋体" w:cs="Times New Roman"/>
                <w:color w:val="000000" w:themeColor="text1"/>
                <w:sz w:val="24"/>
                <w:szCs w:val="24"/>
                <w14:textFill>
                  <w14:solidFill>
                    <w14:schemeClr w14:val="tx1"/>
                  </w14:solidFill>
                </w14:textFill>
              </w:rPr>
              <w:t>23号）文件，</w:t>
            </w:r>
            <w:r>
              <w:rPr>
                <w:rFonts w:hint="default" w:ascii="Times New Roman" w:hAnsi="Times New Roman" w:eastAsia="宋体" w:cs="Times New Roman"/>
                <w:color w:val="000000" w:themeColor="text1"/>
                <w:sz w:val="24"/>
                <w:szCs w:val="24"/>
                <w:lang w:eastAsia="zh-CN"/>
                <w14:textFill>
                  <w14:solidFill>
                    <w14:schemeClr w14:val="tx1"/>
                  </w14:solidFill>
                </w14:textFill>
              </w:rPr>
              <w:t>鲁山县各乡镇集中式饮用水水源保护区划情况如下。</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鲁山县四棵树乡清水河前庄一级保护区范围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清水河取水口上游1000米及下游100米河道内及两侧50米的区域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清水河上游2000米及下游200米河道内及两侧1000米的区域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准保护区范围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清水河上游至鲁山县界河道内及两侧50米的区域。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鲁山县尧山镇玉皇庙河西竹园一级保护区范围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玉皇庙河尧山第一漂上站水坝至上游1000米河道内及两侧50米的区域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玉皇庙河上游2000米河道内及两侧1000米的区域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准保护区范围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玉皇庙河上游2000米河道内及两侧50米的区域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北沟河上游2000米河道内及两侧50米的区域。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鲁山县土门办事处土门河侯家庄一级保护区范围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土门河取水口上游1000米至下游100米河道内及两侧50米的区域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土门河上游2000米至下游200米河道内及两侧1000米的区域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准保护区范围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为</w:t>
            </w:r>
            <w:r>
              <w:rPr>
                <w:rFonts w:hint="default" w:ascii="Times New Roman" w:hAnsi="Times New Roman" w:eastAsia="宋体" w:cs="Times New Roman"/>
                <w:color w:val="000000" w:themeColor="text1"/>
                <w:sz w:val="24"/>
                <w:szCs w:val="24"/>
                <w14:textFill>
                  <w14:solidFill>
                    <w14:schemeClr w14:val="tx1"/>
                  </w14:solidFill>
                </w14:textFill>
              </w:rPr>
              <w:t>二级保护区外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土门河上游2000米河道内及两侧50米的区域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西沟河上游2000米河道内及两侧50米的区域。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4</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鲁山县下汤镇沙河地下水井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共1眼井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沙河取水井上游二广高速桥</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770米</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至下游100米河道内及两侧50米的区域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二级保护区范围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一级保护区外</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沙河上游2000米至下游200米河道内及左岸1000米、右岸至分水岭的区域。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5</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鲁山县张官营镇地下水井群</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共2眼井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水厂厂区及外围47米的区域。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6</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鲁山县张良镇地下水井群</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共2眼井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水厂厂区及外围47米的区域。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鲁山县马楼乡地下水井群</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共2眼井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水厂厂区及外围34米的区域。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8</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鲁山县磙子营乡地下水井群</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共2眼井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水厂厂区及外围47米的区域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1号取水井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2号取水井外围47米的区域。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9</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鲁山县让河乡地下水井群</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共2眼井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一级保护区范围</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水厂厂区及外围30米的区域</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1号取水井</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2号取水井外围30米的区域。</w:t>
            </w:r>
          </w:p>
          <w:p>
            <w:pPr>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Times New Roman" w:hAnsi="Times New Roman" w:eastAsia="宋体"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highlight w:val="none"/>
                <w:lang w:val="en-US" w:eastAsia="zh-CN"/>
                <w14:textFill>
                  <w14:solidFill>
                    <w14:schemeClr w14:val="tx1"/>
                  </w14:solidFill>
                </w14:textFill>
              </w:rPr>
              <w:t>本项目位于</w:t>
            </w:r>
            <w:r>
              <w:rPr>
                <w:rFonts w:hint="eastAsia" w:cs="Times New Roman"/>
                <w:color w:val="000000" w:themeColor="text1"/>
                <w:kern w:val="0"/>
                <w:sz w:val="24"/>
                <w:szCs w:val="24"/>
                <w:highlight w:val="none"/>
                <w:lang w:val="en-US" w:eastAsia="zh-CN"/>
                <w14:textFill>
                  <w14:solidFill>
                    <w14:schemeClr w14:val="tx1"/>
                  </w14:solidFill>
                </w14:textFill>
              </w:rPr>
              <w:t>平顶山市鲁山县库区乡环湖路平岭街01号</w:t>
            </w:r>
            <w:r>
              <w:rPr>
                <w:rFonts w:hint="eastAsia" w:ascii="Times New Roman" w:hAnsi="Times New Roman" w:eastAsia="宋体" w:cs="Times New Roman"/>
                <w:color w:val="000000" w:themeColor="text1"/>
                <w:kern w:val="0"/>
                <w:sz w:val="24"/>
                <w:szCs w:val="24"/>
                <w:highlight w:val="none"/>
                <w:lang w:val="en-US" w:eastAsia="zh-CN"/>
                <w14:textFill>
                  <w14:solidFill>
                    <w14:schemeClr w14:val="tx1"/>
                  </w14:solidFill>
                </w14:textFill>
              </w:rPr>
              <w:t>，距离项目最近的乡镇集中式饮用水源保护区为</w:t>
            </w:r>
            <w:r>
              <w:rPr>
                <w:rFonts w:hint="default" w:ascii="Times New Roman" w:hAnsi="Times New Roman" w:eastAsia="宋体" w:cs="Times New Roman"/>
                <w:color w:val="000000" w:themeColor="text1"/>
                <w:sz w:val="24"/>
                <w:szCs w:val="24"/>
                <w14:textFill>
                  <w14:solidFill>
                    <w14:schemeClr w14:val="tx1"/>
                  </w14:solidFill>
                </w14:textFill>
              </w:rPr>
              <w:t>鲁山县下汤镇沙河地下水井</w:t>
            </w:r>
            <w:r>
              <w:rPr>
                <w:rFonts w:hint="eastAsia" w:ascii="Times New Roman" w:hAnsi="Times New Roman" w:eastAsia="宋体" w:cs="Times New Roman"/>
                <w:color w:val="000000" w:themeColor="text1"/>
                <w:kern w:val="0"/>
                <w:sz w:val="24"/>
                <w:szCs w:val="24"/>
                <w:highlight w:val="none"/>
                <w:lang w:val="en-US" w:eastAsia="zh-CN"/>
                <w14:textFill>
                  <w14:solidFill>
                    <w14:schemeClr w14:val="tx1"/>
                  </w14:solidFill>
                </w14:textFill>
              </w:rPr>
              <w:t>饮用水源保护区约</w:t>
            </w:r>
            <w:r>
              <w:rPr>
                <w:rFonts w:hint="eastAsia" w:cs="Times New Roman"/>
                <w:color w:val="000000" w:themeColor="text1"/>
                <w:kern w:val="0"/>
                <w:sz w:val="24"/>
                <w:szCs w:val="24"/>
                <w:highlight w:val="none"/>
                <w:lang w:val="en-US" w:eastAsia="zh-CN"/>
                <w14:textFill>
                  <w14:solidFill>
                    <w14:schemeClr w14:val="tx1"/>
                  </w14:solidFill>
                </w14:textFill>
              </w:rPr>
              <w:t>10.3</w:t>
            </w:r>
            <w:r>
              <w:rPr>
                <w:rFonts w:hint="eastAsia" w:ascii="Times New Roman" w:hAnsi="Times New Roman" w:eastAsia="宋体" w:cs="Times New Roman"/>
                <w:color w:val="000000" w:themeColor="text1"/>
                <w:kern w:val="0"/>
                <w:sz w:val="24"/>
                <w:szCs w:val="24"/>
                <w:highlight w:val="none"/>
                <w:lang w:val="en-US" w:eastAsia="zh-CN"/>
                <w14:textFill>
                  <w14:solidFill>
                    <w14:schemeClr w14:val="tx1"/>
                  </w14:solidFill>
                </w14:textFill>
              </w:rPr>
              <w:t>km</w:t>
            </w:r>
            <w:r>
              <w:rPr>
                <w:rFonts w:hint="eastAsia" w:cs="Times New Roman"/>
                <w:color w:val="000000" w:themeColor="text1"/>
                <w:kern w:val="0"/>
                <w:sz w:val="24"/>
                <w:szCs w:val="24"/>
                <w:highlight w:val="none"/>
                <w:lang w:val="en-US" w:eastAsia="zh-CN"/>
                <w14:textFill>
                  <w14:solidFill>
                    <w14:schemeClr w14:val="tx1"/>
                  </w14:solidFill>
                </w14:textFill>
              </w:rPr>
              <w:t>，</w:t>
            </w:r>
            <w:r>
              <w:rPr>
                <w:rFonts w:hint="eastAsia" w:ascii="Times New Roman" w:hAnsi="Times New Roman" w:eastAsia="宋体" w:cs="Times New Roman"/>
                <w:color w:val="000000" w:themeColor="text1"/>
                <w:kern w:val="0"/>
                <w:sz w:val="24"/>
                <w:szCs w:val="24"/>
                <w:highlight w:val="none"/>
                <w:lang w:val="en-US" w:eastAsia="zh-CN" w:bidi="ar"/>
                <w14:textFill>
                  <w14:solidFill>
                    <w14:schemeClr w14:val="tx1"/>
                  </w14:solidFill>
                </w14:textFill>
              </w:rPr>
              <w:t>不在其保护范围内。</w:t>
            </w:r>
          </w:p>
          <w:p>
            <w:pPr>
              <w:pStyle w:val="71"/>
              <w:keepNext w:val="0"/>
              <w:keepLines w:val="0"/>
              <w:pageBreakBefore w:val="0"/>
              <w:widowControl w:val="0"/>
              <w:numPr>
                <w:ilvl w:val="0"/>
                <w:numId w:val="0"/>
              </w:numPr>
              <w:kinsoku/>
              <w:wordWrap/>
              <w:overflowPunct/>
              <w:topLinePunct w:val="0"/>
              <w:bidi w:val="0"/>
              <w:adjustRightInd w:val="0"/>
              <w:spacing w:line="360" w:lineRule="auto"/>
              <w:jc w:val="left"/>
              <w:textAlignment w:val="auto"/>
              <w:rPr>
                <w:rFonts w:hint="eastAsia" w:ascii="Times New Roman" w:hAnsi="Times New Roman" w:eastAsia="宋体" w:cs="Times New Roman"/>
                <w:b/>
                <w:bCs/>
                <w:color w:val="000000" w:themeColor="text1"/>
                <w:sz w:val="24"/>
                <w:lang w:val="en-US" w:eastAsia="zh-CN" w:bidi="ar-SA"/>
                <w14:textFill>
                  <w14:solidFill>
                    <w14:schemeClr w14:val="tx1"/>
                  </w14:solidFill>
                </w14:textFill>
              </w:rPr>
            </w:pPr>
            <w:r>
              <w:rPr>
                <w:rFonts w:hint="eastAsia" w:cs="Times New Roman"/>
                <w:b/>
                <w:bCs/>
                <w:color w:val="000000" w:themeColor="text1"/>
                <w:sz w:val="24"/>
                <w:lang w:val="en-US" w:eastAsia="zh-CN" w:bidi="ar-SA"/>
                <w14:textFill>
                  <w14:solidFill>
                    <w14:schemeClr w14:val="tx1"/>
                  </w14:solidFill>
                </w14:textFill>
              </w:rPr>
              <w:t>4、</w:t>
            </w:r>
            <w:r>
              <w:rPr>
                <w:rFonts w:hint="eastAsia" w:ascii="Times New Roman" w:hAnsi="Times New Roman" w:eastAsia="宋体" w:cs="Times New Roman"/>
                <w:b/>
                <w:bCs/>
                <w:color w:val="000000" w:themeColor="text1"/>
                <w:sz w:val="24"/>
                <w:lang w:val="en-US" w:eastAsia="zh-CN" w:bidi="ar-SA"/>
                <w14:textFill>
                  <w14:solidFill>
                    <w14:schemeClr w14:val="tx1"/>
                  </w14:solidFill>
                </w14:textFill>
              </w:rPr>
              <w:t>与《平顶山市2023年蓝天保卫战实施方案》</w:t>
            </w:r>
            <w:r>
              <w:rPr>
                <w:rFonts w:hint="eastAsia" w:cs="Times New Roman"/>
                <w:b/>
                <w:bCs/>
                <w:color w:val="000000" w:themeColor="text1"/>
                <w:sz w:val="24"/>
                <w:lang w:val="en-US" w:eastAsia="zh-CN" w:bidi="ar-SA"/>
                <w14:textFill>
                  <w14:solidFill>
                    <w14:schemeClr w14:val="tx1"/>
                  </w14:solidFill>
                </w14:textFill>
              </w:rPr>
              <w:t>（平环委办[2023]13号）、《平顶山市2023年净土保卫战实施方案》（平环委办[2023]14号）、《平顶山市2023年碧水保卫战实施方案》（平环委办[2023]15号）</w:t>
            </w:r>
            <w:r>
              <w:rPr>
                <w:rFonts w:hint="eastAsia" w:ascii="Times New Roman" w:hAnsi="Times New Roman" w:eastAsia="宋体" w:cs="Times New Roman"/>
                <w:b/>
                <w:bCs/>
                <w:color w:val="000000" w:themeColor="text1"/>
                <w:sz w:val="24"/>
                <w:lang w:val="en-US" w:eastAsia="zh-CN" w:bidi="ar-SA"/>
                <w14:textFill>
                  <w14:solidFill>
                    <w14:schemeClr w14:val="tx1"/>
                  </w14:solidFill>
                </w14:textFill>
              </w:rPr>
              <w:t>相符性分析</w:t>
            </w:r>
          </w:p>
          <w:p>
            <w:pPr>
              <w:pStyle w:val="53"/>
              <w:keepNext w:val="0"/>
              <w:keepLines w:val="0"/>
              <w:pageBreakBefore w:val="0"/>
              <w:widowControl w:val="0"/>
              <w:tabs>
                <w:tab w:val="left" w:pos="895"/>
                <w:tab w:val="clear" w:pos="1322"/>
              </w:tabs>
              <w:kinsoku/>
              <w:wordWrap/>
              <w:overflowPunct/>
              <w:topLinePunct w:val="0"/>
              <w:bidi w:val="0"/>
              <w:adjustRightInd w:val="0"/>
              <w:spacing w:line="360" w:lineRule="auto"/>
              <w:textAlignment w:val="auto"/>
              <w:rPr>
                <w:rFonts w:hint="eastAsia" w:ascii="宋体" w:hAnsi="宋体" w:eastAsia="宋体" w:cs="宋体"/>
                <w:b/>
                <w:bCs w:val="0"/>
                <w:color w:val="000000" w:themeColor="text1"/>
                <w:sz w:val="21"/>
                <w:szCs w:val="21"/>
                <w:lang w:val="en-US" w:eastAsia="zh-CN"/>
                <w14:textFill>
                  <w14:solidFill>
                    <w14:schemeClr w14:val="tx1"/>
                  </w14:solidFill>
                </w14:textFill>
              </w:rPr>
            </w:pPr>
            <w:r>
              <w:rPr>
                <w:rFonts w:hint="eastAsia" w:ascii="宋体" w:hAnsi="宋体" w:eastAsia="宋体" w:cs="宋体"/>
                <w:b/>
                <w:bCs w:val="0"/>
                <w:color w:val="000000" w:themeColor="text1"/>
                <w:sz w:val="21"/>
                <w:szCs w:val="21"/>
                <w:lang w:val="en-US" w:eastAsia="zh-CN"/>
                <w14:textFill>
                  <w14:solidFill>
                    <w14:schemeClr w14:val="tx1"/>
                  </w14:solidFill>
                </w14:textFill>
              </w:rPr>
              <w:t>表1-3  与平环委办[2023]13号、平环委办[2023]14号、平环委办[2023]15号相符性分析一览表</w:t>
            </w:r>
          </w:p>
          <w:tbl>
            <w:tblPr>
              <w:tblStyle w:val="26"/>
              <w:tblW w:w="6431" w:type="dxa"/>
              <w:jc w:val="center"/>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3222"/>
              <w:gridCol w:w="2338"/>
              <w:gridCol w:w="871"/>
            </w:tblGrid>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PrEx>
              <w:trPr>
                <w:jc w:val="center"/>
              </w:trPr>
              <w:tc>
                <w:tcPr>
                  <w:tcW w:w="3222" w:type="dxa"/>
                  <w:tcBorders>
                    <w:top w:val="single" w:color="auto" w:sz="4" w:space="0"/>
                    <w:left w:val="single" w:color="auto" w:sz="0" w:space="0"/>
                    <w:bottom w:val="single" w:color="auto" w:sz="4" w:space="0"/>
                    <w:right w:val="single" w:color="auto" w:sz="4" w:space="0"/>
                  </w:tcBorders>
                  <w:noWrap w:val="0"/>
                  <w:vAlign w:val="center"/>
                </w:tcPr>
                <w:p>
                  <w:pPr>
                    <w:widowControl/>
                    <w:jc w:val="center"/>
                    <w:rPr>
                      <w:rFonts w:hint="default" w:ascii="Times New Roman" w:hAnsi="Times New Roman" w:cs="Times New Roman"/>
                      <w:b/>
                      <w:bCs w:val="0"/>
                      <w:color w:val="000000" w:themeColor="text1"/>
                      <w:szCs w:val="21"/>
                      <w14:textFill>
                        <w14:solidFill>
                          <w14:schemeClr w14:val="tx1"/>
                        </w14:solidFill>
                      </w14:textFill>
                    </w:rPr>
                  </w:pPr>
                  <w:r>
                    <w:rPr>
                      <w:rFonts w:hint="default" w:ascii="Times New Roman" w:hAnsi="Times New Roman" w:cs="Times New Roman"/>
                      <w:b/>
                      <w:bCs w:val="0"/>
                      <w:color w:val="000000" w:themeColor="text1"/>
                      <w:szCs w:val="21"/>
                      <w14:textFill>
                        <w14:solidFill>
                          <w14:schemeClr w14:val="tx1"/>
                        </w14:solidFill>
                      </w14:textFill>
                    </w:rPr>
                    <w:t>与本项目相关条文</w:t>
                  </w:r>
                </w:p>
              </w:tc>
              <w:tc>
                <w:tcPr>
                  <w:tcW w:w="233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b/>
                      <w:bCs w:val="0"/>
                      <w:color w:val="000000" w:themeColor="text1"/>
                      <w:szCs w:val="21"/>
                      <w14:textFill>
                        <w14:solidFill>
                          <w14:schemeClr w14:val="tx1"/>
                        </w14:solidFill>
                      </w14:textFill>
                    </w:rPr>
                  </w:pPr>
                  <w:r>
                    <w:rPr>
                      <w:rFonts w:hint="default" w:ascii="Times New Roman" w:hAnsi="Times New Roman" w:cs="Times New Roman"/>
                      <w:b/>
                      <w:bCs w:val="0"/>
                      <w:color w:val="000000" w:themeColor="text1"/>
                      <w:szCs w:val="21"/>
                      <w14:textFill>
                        <w14:solidFill>
                          <w14:schemeClr w14:val="tx1"/>
                        </w14:solidFill>
                      </w14:textFill>
                    </w:rPr>
                    <w:t>本项目情况</w:t>
                  </w:r>
                </w:p>
              </w:tc>
              <w:tc>
                <w:tcPr>
                  <w:tcW w:w="871"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b/>
                      <w:bCs w:val="0"/>
                      <w:color w:val="000000" w:themeColor="text1"/>
                      <w:szCs w:val="21"/>
                      <w14:textFill>
                        <w14:solidFill>
                          <w14:schemeClr w14:val="tx1"/>
                        </w14:solidFill>
                      </w14:textFill>
                    </w:rPr>
                  </w:pPr>
                  <w:r>
                    <w:rPr>
                      <w:rFonts w:hint="default" w:ascii="Times New Roman" w:hAnsi="Times New Roman" w:cs="Times New Roman"/>
                      <w:b/>
                      <w:bCs w:val="0"/>
                      <w:color w:val="000000" w:themeColor="text1"/>
                      <w:szCs w:val="21"/>
                      <w14:textFill>
                        <w14:solidFill>
                          <w14:schemeClr w14:val="tx1"/>
                        </w14:solidFill>
                      </w14:textFill>
                    </w:rPr>
                    <w:t>符合性分析</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6431" w:type="dxa"/>
                  <w:gridSpan w:val="3"/>
                  <w:tcBorders>
                    <w:top w:val="single" w:color="auto" w:sz="4" w:space="0"/>
                    <w:left w:val="single" w:color="auto" w:sz="0"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14:textFill>
                        <w14:solidFill>
                          <w14:schemeClr w14:val="tx1"/>
                        </w14:solidFill>
                      </w14:textFill>
                    </w:rPr>
                  </w:pPr>
                  <w:r>
                    <w:rPr>
                      <w:rFonts w:hint="eastAsia" w:ascii="Times New Roman" w:hAnsi="Times New Roman" w:cs="Times New Roman"/>
                      <w:bCs/>
                      <w:color w:val="000000" w:themeColor="text1"/>
                      <w:szCs w:val="21"/>
                      <w:lang w:val="en-US" w:eastAsia="zh-CN"/>
                      <w14:textFill>
                        <w14:solidFill>
                          <w14:schemeClr w14:val="tx1"/>
                        </w14:solidFill>
                      </w14:textFill>
                    </w:rPr>
                    <w:t>与</w:t>
                  </w:r>
                  <w:r>
                    <w:rPr>
                      <w:rFonts w:hint="default" w:ascii="Times New Roman" w:hAnsi="Times New Roman" w:cs="Times New Roman"/>
                      <w:bCs/>
                      <w:color w:val="000000" w:themeColor="text1"/>
                      <w:szCs w:val="21"/>
                      <w14:textFill>
                        <w14:solidFill>
                          <w14:schemeClr w14:val="tx1"/>
                        </w14:solidFill>
                      </w14:textFill>
                    </w:rPr>
                    <w:t>《平顶山市2023年蓝天保卫战实施方案》</w:t>
                  </w:r>
                </w:p>
                <w:p>
                  <w:pPr>
                    <w:widowControl/>
                    <w:jc w:val="center"/>
                    <w:rPr>
                      <w:rFonts w:hint="eastAsia" w:ascii="Times New Roman" w:hAnsi="Times New Roman" w:eastAsia="宋体" w:cs="Times New Roman"/>
                      <w:bCs/>
                      <w:color w:val="000000" w:themeColor="text1"/>
                      <w:szCs w:val="21"/>
                      <w:lang w:val="en-US" w:eastAsia="zh-CN"/>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（平环委办[2023]13号）</w:t>
                  </w:r>
                  <w:r>
                    <w:rPr>
                      <w:rFonts w:hint="eastAsia" w:ascii="Times New Roman" w:hAnsi="Times New Roman" w:cs="Times New Roman"/>
                      <w:bCs/>
                      <w:color w:val="000000" w:themeColor="text1"/>
                      <w:szCs w:val="21"/>
                      <w:lang w:val="en-US" w:eastAsia="zh-CN"/>
                      <w14:textFill>
                        <w14:solidFill>
                          <w14:schemeClr w14:val="tx1"/>
                        </w14:solidFill>
                      </w14:textFill>
                    </w:rPr>
                    <w:t>相符性</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3222" w:type="dxa"/>
                  <w:tcBorders>
                    <w:top w:val="single" w:color="auto" w:sz="4" w:space="0"/>
                    <w:left w:val="single" w:color="auto" w:sz="0" w:space="0"/>
                    <w:bottom w:val="single" w:color="auto" w:sz="4" w:space="0"/>
                    <w:right w:val="single" w:color="auto" w:sz="4" w:space="0"/>
                  </w:tcBorders>
                  <w:noWrap w:val="0"/>
                  <w:vAlign w:val="center"/>
                </w:tcPr>
                <w:p>
                  <w:pPr>
                    <w:widowControl/>
                    <w:jc w:val="left"/>
                    <w:rPr>
                      <w:rFonts w:hint="default" w:ascii="Times New Roman" w:hAnsi="Times New Roman" w:cs="Times New Roman"/>
                      <w:bCs/>
                      <w:color w:val="000000" w:themeColor="text1"/>
                      <w:szCs w:val="21"/>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28.优化重点行业绩效分级管理。强化重污染天气应急分类分级管控</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持续推进重点行业企业绩效分级，加强应急减排清单标准化管理</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鼓励企业加快实施升级改造,建立完善</w:t>
                  </w:r>
                  <w:r>
                    <w:rPr>
                      <w:rFonts w:hint="eastAsia" w:ascii="宋体" w:hAnsi="宋体" w:eastAsia="宋体" w:cs="宋体"/>
                      <w:bCs/>
                      <w:color w:val="000000" w:themeColor="text1"/>
                      <w:szCs w:val="21"/>
                      <w14:textFill>
                        <w14:solidFill>
                          <w14:schemeClr w14:val="tx1"/>
                        </w14:solidFill>
                      </w14:textFill>
                    </w:rPr>
                    <w:t>“有进有出”动态调整机制,着力培育一批绩效水平高、行业带动强的省级绿色标杆企业,对存在环境违法违规行为、环境绩效水平达不到相应指标要求的企业实施降级处理。</w:t>
                  </w:r>
                </w:p>
              </w:tc>
              <w:tc>
                <w:tcPr>
                  <w:tcW w:w="233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highlight w:val="yellow"/>
                      <w14:textFill>
                        <w14:solidFill>
                          <w14:schemeClr w14:val="tx1"/>
                        </w14:solidFill>
                      </w14:textFill>
                    </w:rPr>
                  </w:pPr>
                  <w:r>
                    <w:rPr>
                      <w:rFonts w:hint="default" w:ascii="Times New Roman" w:hAnsi="Times New Roman" w:cs="Times New Roman"/>
                      <w:color w:val="000000" w:themeColor="text1"/>
                      <w:kern w:val="21"/>
                      <w:szCs w:val="21"/>
                      <w14:textFill>
                        <w14:solidFill>
                          <w14:schemeClr w14:val="tx1"/>
                        </w14:solidFill>
                      </w14:textFill>
                    </w:rPr>
                    <w:t>本</w:t>
                  </w:r>
                  <w:r>
                    <w:rPr>
                      <w:rFonts w:hint="default" w:ascii="Times New Roman" w:hAnsi="Times New Roman" w:cs="Times New Roman"/>
                      <w:bCs/>
                      <w:color w:val="000000" w:themeColor="text1"/>
                      <w:szCs w:val="21"/>
                      <w14:textFill>
                        <w14:solidFill>
                          <w14:schemeClr w14:val="tx1"/>
                        </w14:solidFill>
                      </w14:textFill>
                    </w:rPr>
                    <w:t>项目</w:t>
                  </w:r>
                  <w:r>
                    <w:rPr>
                      <w:rFonts w:hint="eastAsia" w:cs="Times New Roman"/>
                      <w:bCs/>
                      <w:color w:val="000000" w:themeColor="text1"/>
                      <w:szCs w:val="21"/>
                      <w:lang w:val="en-US" w:eastAsia="zh-CN"/>
                      <w14:textFill>
                        <w14:solidFill>
                          <w14:schemeClr w14:val="tx1"/>
                        </w14:solidFill>
                      </w14:textFill>
                    </w:rPr>
                    <w:t>建设1台2t/h燃气锅炉，</w:t>
                  </w:r>
                  <w:r>
                    <w:rPr>
                      <w:rFonts w:hint="default" w:ascii="Times New Roman" w:hAnsi="Times New Roman" w:cs="Times New Roman"/>
                      <w:bCs/>
                      <w:color w:val="000000" w:themeColor="text1"/>
                      <w:szCs w:val="21"/>
                      <w14:textFill>
                        <w14:solidFill>
                          <w14:schemeClr w14:val="tx1"/>
                        </w14:solidFill>
                      </w14:textFill>
                    </w:rPr>
                    <w:t>建设符合</w:t>
                  </w:r>
                  <w:r>
                    <w:rPr>
                      <w:rFonts w:hint="eastAsia"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河南省重污染天气通用行业应急减排措施制定技术指南</w:t>
                  </w:r>
                  <w:r>
                    <w:rPr>
                      <w:rFonts w:hint="eastAsia"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（2021 年修订版）</w:t>
                  </w:r>
                  <w:r>
                    <w:rPr>
                      <w:rFonts w:hint="eastAsia" w:cs="Times New Roman"/>
                      <w:bCs/>
                      <w:color w:val="000000" w:themeColor="text1"/>
                      <w:szCs w:val="21"/>
                      <w:lang w:val="en-US" w:eastAsia="zh-CN"/>
                      <w14:textFill>
                        <w14:solidFill>
                          <w14:schemeClr w14:val="tx1"/>
                        </w14:solidFill>
                      </w14:textFill>
                    </w:rPr>
                    <w:t>通用</w:t>
                  </w:r>
                  <w:r>
                    <w:rPr>
                      <w:rFonts w:hint="default" w:ascii="Times New Roman" w:hAnsi="Times New Roman" w:cs="Times New Roman"/>
                      <w:bCs/>
                      <w:color w:val="000000" w:themeColor="text1"/>
                      <w:szCs w:val="21"/>
                      <w14:textFill>
                        <w14:solidFill>
                          <w14:schemeClr w14:val="tx1"/>
                        </w14:solidFill>
                      </w14:textFill>
                    </w:rPr>
                    <w:t>行业</w:t>
                  </w:r>
                  <w:r>
                    <w:rPr>
                      <w:rFonts w:hint="eastAsia" w:ascii="Times New Roman" w:hAnsi="Times New Roman" w:cs="Times New Roman"/>
                      <w:bCs/>
                      <w:color w:val="000000" w:themeColor="text1"/>
                      <w:szCs w:val="21"/>
                      <w:lang w:val="en-US" w:eastAsia="zh-CN"/>
                      <w14:textFill>
                        <w14:solidFill>
                          <w14:schemeClr w14:val="tx1"/>
                        </w14:solidFill>
                      </w14:textFill>
                    </w:rPr>
                    <w:t>A</w:t>
                  </w:r>
                  <w:r>
                    <w:rPr>
                      <w:rFonts w:hint="default" w:ascii="Times New Roman" w:hAnsi="Times New Roman" w:cs="Times New Roman"/>
                      <w:bCs/>
                      <w:color w:val="000000" w:themeColor="text1"/>
                      <w:szCs w:val="21"/>
                      <w14:textFill>
                        <w14:solidFill>
                          <w14:schemeClr w14:val="tx1"/>
                        </w14:solidFill>
                      </w14:textFill>
                    </w:rPr>
                    <w:t>级要求。</w:t>
                  </w:r>
                </w:p>
              </w:tc>
              <w:tc>
                <w:tcPr>
                  <w:tcW w:w="871"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6431" w:type="dxa"/>
                  <w:gridSpan w:val="3"/>
                  <w:tcBorders>
                    <w:top w:val="single" w:color="auto" w:sz="4" w:space="0"/>
                    <w:left w:val="single" w:color="auto" w:sz="0"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14:textFill>
                        <w14:solidFill>
                          <w14:schemeClr w14:val="tx1"/>
                        </w14:solidFill>
                      </w14:textFill>
                    </w:rPr>
                  </w:pPr>
                  <w:r>
                    <w:rPr>
                      <w:rFonts w:hint="eastAsia" w:ascii="Times New Roman" w:hAnsi="Times New Roman" w:cs="Times New Roman"/>
                      <w:bCs/>
                      <w:color w:val="000000" w:themeColor="text1"/>
                      <w:szCs w:val="21"/>
                      <w:lang w:val="en-US" w:eastAsia="zh-CN"/>
                      <w14:textFill>
                        <w14:solidFill>
                          <w14:schemeClr w14:val="tx1"/>
                        </w14:solidFill>
                      </w14:textFill>
                    </w:rPr>
                    <w:t>与</w:t>
                  </w:r>
                  <w:r>
                    <w:rPr>
                      <w:rFonts w:hint="default" w:ascii="Times New Roman" w:hAnsi="Times New Roman" w:cs="Times New Roman"/>
                      <w:bCs/>
                      <w:color w:val="000000" w:themeColor="text1"/>
                      <w:szCs w:val="21"/>
                      <w14:textFill>
                        <w14:solidFill>
                          <w14:schemeClr w14:val="tx1"/>
                        </w14:solidFill>
                      </w14:textFill>
                    </w:rPr>
                    <w:t>《平顶山市2023年净土保卫战实施方案》</w:t>
                  </w:r>
                </w:p>
                <w:p>
                  <w:pPr>
                    <w:widowControl/>
                    <w:jc w:val="center"/>
                    <w:rPr>
                      <w:rFonts w:hint="eastAsia" w:ascii="Times New Roman" w:hAnsi="Times New Roman" w:eastAsia="宋体" w:cs="Times New Roman"/>
                      <w:bCs/>
                      <w:color w:val="000000" w:themeColor="text1"/>
                      <w:szCs w:val="21"/>
                      <w:lang w:val="en-US" w:eastAsia="zh-CN"/>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（平环委办[2023]14号）</w:t>
                  </w:r>
                  <w:r>
                    <w:rPr>
                      <w:rFonts w:hint="eastAsia" w:ascii="Times New Roman" w:hAnsi="Times New Roman" w:cs="Times New Roman"/>
                      <w:bCs/>
                      <w:color w:val="000000" w:themeColor="text1"/>
                      <w:szCs w:val="21"/>
                      <w:lang w:val="en-US" w:eastAsia="zh-CN"/>
                      <w14:textFill>
                        <w14:solidFill>
                          <w14:schemeClr w14:val="tx1"/>
                        </w14:solidFill>
                      </w14:textFill>
                    </w:rPr>
                    <w:t>相符性</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3222" w:type="dxa"/>
                  <w:tcBorders>
                    <w:top w:val="single" w:color="auto" w:sz="4" w:space="0"/>
                    <w:left w:val="single" w:color="auto" w:sz="0" w:space="0"/>
                    <w:bottom w:val="single" w:color="auto" w:sz="4" w:space="0"/>
                    <w:right w:val="single" w:color="auto" w:sz="4" w:space="0"/>
                  </w:tcBorders>
                  <w:noWrap w:val="0"/>
                  <w:vAlign w:val="center"/>
                </w:tcPr>
                <w:p>
                  <w:pPr>
                    <w:widowControl/>
                    <w:jc w:val="left"/>
                    <w:rPr>
                      <w:rFonts w:hint="default" w:ascii="Times New Roman" w:hAnsi="Times New Roman" w:cs="Times New Roman"/>
                      <w:bCs/>
                      <w:color w:val="000000" w:themeColor="text1"/>
                      <w:szCs w:val="21"/>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3.全面加强固体废物监管。持续开展危险废物排查整治，全面提升危险废物环境监管、利用处置和环境风险防范</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三个能力</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，推动危险废物监管和利用处置能力改革工作。动态更新涉危险废物企业</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四个清单</w:t>
                  </w:r>
                  <w:r>
                    <w:rPr>
                      <w:rFonts w:hint="eastAsia" w:ascii="Times New Roman" w:hAnsi="Times New Roman" w:cs="Times New Roman"/>
                      <w:bCs/>
                      <w:color w:val="000000" w:themeColor="text1"/>
                      <w:szCs w:val="21"/>
                      <w:lang w:eastAsia="zh-CN"/>
                      <w14:textFill>
                        <w14:solidFill>
                          <w14:schemeClr w14:val="tx1"/>
                        </w14:solidFill>
                      </w14:textFill>
                    </w:rPr>
                    <w:t>”</w:t>
                  </w:r>
                  <w:r>
                    <w:rPr>
                      <w:rFonts w:hint="default" w:ascii="Times New Roman" w:hAnsi="Times New Roman" w:cs="Times New Roman"/>
                      <w:bCs/>
                      <w:color w:val="000000" w:themeColor="text1"/>
                      <w:szCs w:val="21"/>
                      <w14:textFill>
                        <w14:solidFill>
                          <w14:schemeClr w14:val="tx1"/>
                        </w14:solidFill>
                      </w14:textFill>
                    </w:rPr>
                    <w:t>，有序推进固废监管信息化建设，强化危险废物源头管控和收集转运等过程监管。持续开展小微企业危险废物收集和废铅酸蓄电池收集转运试点工作。</w:t>
                  </w:r>
                </w:p>
              </w:tc>
              <w:tc>
                <w:tcPr>
                  <w:tcW w:w="233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000000" w:themeColor="text1"/>
                      <w:kern w:val="21"/>
                      <w:szCs w:val="21"/>
                      <w:lang w:val="en-US"/>
                      <w14:textFill>
                        <w14:solidFill>
                          <w14:schemeClr w14:val="tx1"/>
                        </w14:solidFill>
                      </w14:textFill>
                    </w:rPr>
                  </w:pPr>
                  <w:r>
                    <w:rPr>
                      <w:rFonts w:hint="default" w:ascii="Times New Roman" w:hAnsi="Times New Roman" w:cs="Times New Roman"/>
                      <w:color w:val="000000" w:themeColor="text1"/>
                      <w:kern w:val="21"/>
                      <w:szCs w:val="21"/>
                      <w14:textFill>
                        <w14:solidFill>
                          <w14:schemeClr w14:val="tx1"/>
                        </w14:solidFill>
                      </w14:textFill>
                    </w:rPr>
                    <w:t>本项目</w:t>
                  </w:r>
                  <w:r>
                    <w:rPr>
                      <w:rFonts w:hint="eastAsia" w:ascii="Times New Roman" w:hAnsi="Times New Roman" w:cs="Times New Roman"/>
                      <w:color w:val="000000" w:themeColor="text1"/>
                      <w:kern w:val="21"/>
                      <w:szCs w:val="21"/>
                      <w:lang w:val="en-US" w:eastAsia="zh-CN"/>
                      <w14:textFill>
                        <w14:solidFill>
                          <w14:schemeClr w14:val="tx1"/>
                        </w14:solidFill>
                      </w14:textFill>
                    </w:rPr>
                    <w:t>属于</w:t>
                  </w:r>
                  <w:r>
                    <w:rPr>
                      <w:rFonts w:hint="eastAsia" w:cs="Times New Roman"/>
                      <w:color w:val="000000" w:themeColor="text1"/>
                      <w:kern w:val="21"/>
                      <w:szCs w:val="21"/>
                      <w:lang w:val="en-US" w:eastAsia="zh-CN"/>
                      <w14:textFill>
                        <w14:solidFill>
                          <w14:schemeClr w14:val="tx1"/>
                        </w14:solidFill>
                      </w14:textFill>
                    </w:rPr>
                    <w:t>食品制造行业</w:t>
                  </w:r>
                  <w:r>
                    <w:rPr>
                      <w:rFonts w:hint="eastAsia" w:ascii="Times New Roman" w:hAnsi="Times New Roman" w:cs="Times New Roman"/>
                      <w:color w:val="000000" w:themeColor="text1"/>
                      <w:kern w:val="21"/>
                      <w:szCs w:val="21"/>
                      <w:lang w:val="en-US" w:eastAsia="zh-CN"/>
                      <w14:textFill>
                        <w14:solidFill>
                          <w14:schemeClr w14:val="tx1"/>
                        </w14:solidFill>
                      </w14:textFill>
                    </w:rPr>
                    <w:t>项目，</w:t>
                  </w:r>
                  <w:r>
                    <w:rPr>
                      <w:rFonts w:hint="eastAsia"/>
                      <w:color w:val="000000" w:themeColor="text1"/>
                      <w14:textFill>
                        <w14:solidFill>
                          <w14:schemeClr w14:val="tx1"/>
                        </w14:solidFill>
                      </w14:textFill>
                    </w:rPr>
                    <w:t>提取、过滤过程产生的香菇、木耳及猴头菇等其他菌类残渣经密闭桶装收集后暂存于一般固废暂存间，日产日清，直接外售。废离子交换树脂由厂家更换直接带走。污泥经密闭桶收集后由周围村民拉走，作为肥料处置。废包装材料经收集后暂存于一般固废暂存间，定期外售。职工生活垃圾经垃圾桶收集后定期交由环卫部门统一清运处置。</w:t>
                  </w:r>
                  <w:r>
                    <w:rPr>
                      <w:rFonts w:hint="eastAsia"/>
                      <w:b w:val="0"/>
                      <w:bCs w:val="0"/>
                      <w:color w:val="000000" w:themeColor="text1"/>
                      <w:spacing w:val="7"/>
                      <w:u w:val="none" w:color="auto"/>
                      <w:lang w:val="en-US" w:eastAsia="zh-CN"/>
                      <w14:textFill>
                        <w14:solidFill>
                          <w14:schemeClr w14:val="tx1"/>
                        </w14:solidFill>
                      </w14:textFill>
                    </w:rPr>
                    <w:t>废导热油</w:t>
                  </w:r>
                  <w:r>
                    <w:rPr>
                      <w:b w:val="0"/>
                      <w:bCs w:val="0"/>
                      <w:color w:val="000000" w:themeColor="text1"/>
                      <w:spacing w:val="7"/>
                      <w:u w:val="none" w:color="auto"/>
                      <w14:textFill>
                        <w14:solidFill>
                          <w14:schemeClr w14:val="tx1"/>
                        </w14:solidFill>
                      </w14:textFill>
                    </w:rPr>
                    <w:t>危险废物</w:t>
                  </w:r>
                  <w:r>
                    <w:rPr>
                      <w:b w:val="0"/>
                      <w:bCs w:val="0"/>
                      <w:color w:val="000000" w:themeColor="text1"/>
                      <w:spacing w:val="6"/>
                      <w:u w:val="none" w:color="auto"/>
                      <w14:textFill>
                        <w14:solidFill>
                          <w14:schemeClr w14:val="tx1"/>
                        </w14:solidFill>
                      </w14:textFill>
                    </w:rPr>
                    <w:t>采用专用容器收集，暂存厂区现有一座</w:t>
                  </w:r>
                  <w:r>
                    <w:rPr>
                      <w:rFonts w:hint="eastAsia"/>
                      <w:b w:val="0"/>
                      <w:bCs w:val="0"/>
                      <w:color w:val="000000" w:themeColor="text1"/>
                      <w:spacing w:val="-34"/>
                      <w:u w:val="none" w:color="auto"/>
                      <w:lang w:val="en-US" w:eastAsia="zh-CN"/>
                      <w14:textFill>
                        <w14:solidFill>
                          <w14:schemeClr w14:val="tx1"/>
                        </w14:solidFill>
                      </w14:textFill>
                    </w:rPr>
                    <w:t>7</w:t>
                  </w:r>
                  <w:r>
                    <w:rPr>
                      <w:rFonts w:ascii="Times New Roman" w:hAnsi="Times New Roman" w:eastAsia="Times New Roman" w:cs="Times New Roman"/>
                      <w:b w:val="0"/>
                      <w:bCs w:val="0"/>
                      <w:color w:val="000000" w:themeColor="text1"/>
                      <w:spacing w:val="6"/>
                      <w:u w:val="none" w:color="auto"/>
                      <w14:textFill>
                        <w14:solidFill>
                          <w14:schemeClr w14:val="tx1"/>
                        </w14:solidFill>
                      </w14:textFill>
                    </w:rPr>
                    <w:t>m</w:t>
                  </w:r>
                  <w:r>
                    <w:rPr>
                      <w:rFonts w:ascii="Times New Roman" w:hAnsi="Times New Roman" w:eastAsia="Times New Roman" w:cs="Times New Roman"/>
                      <w:b w:val="0"/>
                      <w:bCs w:val="0"/>
                      <w:color w:val="000000" w:themeColor="text1"/>
                      <w:spacing w:val="6"/>
                      <w:position w:val="6"/>
                      <w:sz w:val="13"/>
                      <w:szCs w:val="13"/>
                      <w:u w:val="none" w:color="auto"/>
                      <w14:textFill>
                        <w14:solidFill>
                          <w14:schemeClr w14:val="tx1"/>
                        </w14:solidFill>
                      </w14:textFill>
                    </w:rPr>
                    <w:t>2</w:t>
                  </w:r>
                  <w:r>
                    <w:rPr>
                      <w:b w:val="0"/>
                      <w:bCs w:val="0"/>
                      <w:color w:val="000000" w:themeColor="text1"/>
                      <w:spacing w:val="6"/>
                      <w:u w:val="none" w:color="auto"/>
                      <w14:textFill>
                        <w14:solidFill>
                          <w14:schemeClr w14:val="tx1"/>
                        </w14:solidFill>
                      </w14:textFill>
                    </w:rPr>
                    <w:t>危</w:t>
                  </w:r>
                  <w:r>
                    <w:rPr>
                      <w:b w:val="0"/>
                      <w:bCs w:val="0"/>
                      <w:color w:val="000000" w:themeColor="text1"/>
                      <w:spacing w:val="9"/>
                      <w:u w:val="none" w:color="auto"/>
                      <w14:textFill>
                        <w14:solidFill>
                          <w14:schemeClr w14:val="tx1"/>
                        </w14:solidFill>
                      </w14:textFill>
                    </w:rPr>
                    <w:t>险废物暂存间内，定期交有资质单位处置。</w:t>
                  </w:r>
                </w:p>
              </w:tc>
              <w:tc>
                <w:tcPr>
                  <w:tcW w:w="871"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宋体" w:cs="Times New Roman"/>
                      <w:bCs/>
                      <w:color w:val="000000" w:themeColor="text1"/>
                      <w:szCs w:val="21"/>
                      <w:lang w:val="en-US" w:eastAsia="zh-CN"/>
                      <w14:textFill>
                        <w14:solidFill>
                          <w14:schemeClr w14:val="tx1"/>
                        </w14:solidFill>
                      </w14:textFill>
                    </w:rPr>
                  </w:pPr>
                  <w:r>
                    <w:rPr>
                      <w:rFonts w:hint="eastAsia" w:ascii="Times New Roman" w:hAnsi="Times New Roman" w:cs="Times New Roman"/>
                      <w:bCs/>
                      <w:color w:val="000000" w:themeColor="text1"/>
                      <w:szCs w:val="21"/>
                      <w:lang w:val="en-US" w:eastAsia="zh-CN"/>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6431" w:type="dxa"/>
                  <w:gridSpan w:val="3"/>
                  <w:tcBorders>
                    <w:top w:val="single" w:color="auto" w:sz="4" w:space="0"/>
                    <w:left w:val="single" w:color="auto" w:sz="0"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14:textFill>
                        <w14:solidFill>
                          <w14:schemeClr w14:val="tx1"/>
                        </w14:solidFill>
                      </w14:textFill>
                    </w:rPr>
                  </w:pPr>
                  <w:r>
                    <w:rPr>
                      <w:rFonts w:hint="eastAsia" w:cs="Times New Roman"/>
                      <w:bCs/>
                      <w:color w:val="000000" w:themeColor="text1"/>
                      <w:szCs w:val="21"/>
                      <w:lang w:val="en-US" w:eastAsia="zh-CN"/>
                      <w14:textFill>
                        <w14:solidFill>
                          <w14:schemeClr w14:val="tx1"/>
                        </w14:solidFill>
                      </w14:textFill>
                    </w:rPr>
                    <w:t>与</w:t>
                  </w:r>
                  <w:r>
                    <w:rPr>
                      <w:rFonts w:hint="default" w:ascii="Times New Roman" w:hAnsi="Times New Roman" w:cs="Times New Roman"/>
                      <w:bCs/>
                      <w:color w:val="000000" w:themeColor="text1"/>
                      <w:szCs w:val="21"/>
                      <w14:textFill>
                        <w14:solidFill>
                          <w14:schemeClr w14:val="tx1"/>
                        </w14:solidFill>
                      </w14:textFill>
                    </w:rPr>
                    <w:t>《平顶山市2023年碧水保卫战实施方案》</w:t>
                  </w:r>
                </w:p>
                <w:p>
                  <w:pPr>
                    <w:widowControl/>
                    <w:jc w:val="center"/>
                    <w:rPr>
                      <w:rFonts w:hint="eastAsia" w:ascii="Times New Roman" w:hAnsi="Times New Roman" w:eastAsia="宋体" w:cs="Times New Roman"/>
                      <w:bCs/>
                      <w:color w:val="000000" w:themeColor="text1"/>
                      <w:szCs w:val="21"/>
                      <w:lang w:val="en-US" w:eastAsia="zh-CN"/>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（平环委办[2023]15号）</w:t>
                  </w:r>
                  <w:r>
                    <w:rPr>
                      <w:rFonts w:hint="eastAsia" w:cs="Times New Roman"/>
                      <w:bCs/>
                      <w:color w:val="000000" w:themeColor="text1"/>
                      <w:szCs w:val="21"/>
                      <w:lang w:val="en-US" w:eastAsia="zh-CN"/>
                      <w14:textFill>
                        <w14:solidFill>
                          <w14:schemeClr w14:val="tx1"/>
                        </w14:solidFill>
                      </w14:textFill>
                    </w:rPr>
                    <w:t>相符性</w:t>
                  </w:r>
                </w:p>
              </w:tc>
            </w:tr>
            <w:tr>
              <w:tblPrEx>
                <w:tblBorders>
                  <w:top w:val="single" w:color="auto" w:sz="12" w:space="0"/>
                  <w:left w:val="none" w:color="auto" w:sz="0" w:space="0"/>
                  <w:bottom w:val="single" w:color="auto"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jc w:val="center"/>
              </w:trPr>
              <w:tc>
                <w:tcPr>
                  <w:tcW w:w="3222" w:type="dxa"/>
                  <w:tcBorders>
                    <w:top w:val="single" w:color="auto" w:sz="4" w:space="0"/>
                    <w:left w:val="single" w:color="auto" w:sz="0" w:space="0"/>
                    <w:bottom w:val="single" w:color="auto" w:sz="4" w:space="0"/>
                    <w:right w:val="single" w:color="auto" w:sz="4" w:space="0"/>
                  </w:tcBorders>
                  <w:noWrap w:val="0"/>
                  <w:vAlign w:val="center"/>
                </w:tcPr>
                <w:p>
                  <w:pPr>
                    <w:widowControl/>
                    <w:numPr>
                      <w:ilvl w:val="0"/>
                      <w:numId w:val="0"/>
                    </w:numPr>
                    <w:rPr>
                      <w:rFonts w:hint="default"/>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20.</w:t>
                  </w:r>
                  <w:r>
                    <w:rPr>
                      <w:rFonts w:hint="default"/>
                      <w:color w:val="000000" w:themeColor="text1"/>
                      <w14:textFill>
                        <w14:solidFill>
                          <w14:schemeClr w14:val="tx1"/>
                        </w14:solidFill>
                      </w14:textFill>
                    </w:rPr>
                    <w:t>推动企业绿色转型发展。严格落实环境准入，落实</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三线一单</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生态环境分区管控体系，构建以</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三线一单</w:t>
                  </w:r>
                  <w:r>
                    <w:rPr>
                      <w:rFonts w:hint="eastAsia"/>
                      <w:color w:val="000000" w:themeColor="text1"/>
                      <w:lang w:eastAsia="zh-CN"/>
                      <w14:textFill>
                        <w14:solidFill>
                          <w14:schemeClr w14:val="tx1"/>
                        </w14:solidFill>
                      </w14:textFill>
                    </w:rPr>
                    <w:t>”</w:t>
                  </w:r>
                  <w:r>
                    <w:rPr>
                      <w:rFonts w:hint="default" w:ascii="Times New Roman" w:hAnsi="Times New Roman" w:eastAsia="宋体" w:cs="Times New Roman"/>
                      <w:color w:val="000000" w:themeColor="text1"/>
                      <w14:textFill>
                        <w14:solidFill>
                          <w14:schemeClr w14:val="tx1"/>
                        </w14:solidFill>
                      </w14:textFill>
                    </w:rPr>
                    <w:t>为空间管控基础、环境影响评价为环境准入把关、排污许可为企业运行守法依据的生态环境管理框架。在造纸、焦化、氮肥、农副食品加工、皮革、印染、有色、原料药制造、电镀等重点水污染物排放行业，深入推进清洁生产审核，推动清洁生产改造，减少单位产品耗水量和单位产品排污量，促进企业废水厂内回用。</w:t>
                  </w:r>
                </w:p>
              </w:tc>
              <w:tc>
                <w:tcPr>
                  <w:tcW w:w="2338"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color w:val="000000" w:themeColor="text1"/>
                      <w:kern w:val="21"/>
                      <w:szCs w:val="21"/>
                      <w14:textFill>
                        <w14:solidFill>
                          <w14:schemeClr w14:val="tx1"/>
                        </w14:solidFill>
                      </w14:textFill>
                    </w:rPr>
                  </w:pPr>
                  <w:r>
                    <w:rPr>
                      <w:rFonts w:hint="default" w:ascii="Times New Roman" w:hAnsi="Times New Roman" w:cs="Times New Roman"/>
                      <w:color w:val="000000" w:themeColor="text1"/>
                      <w:kern w:val="21"/>
                      <w:szCs w:val="21"/>
                      <w14:textFill>
                        <w14:solidFill>
                          <w14:schemeClr w14:val="tx1"/>
                        </w14:solidFill>
                      </w14:textFill>
                    </w:rPr>
                    <w:t>本项目符合</w:t>
                  </w:r>
                  <w:r>
                    <w:rPr>
                      <w:rFonts w:hint="eastAsia" w:cs="Times New Roman"/>
                      <w:color w:val="000000" w:themeColor="text1"/>
                      <w:kern w:val="21"/>
                      <w:szCs w:val="21"/>
                      <w:lang w:val="en-US" w:eastAsia="zh-CN"/>
                      <w14:textFill>
                        <w14:solidFill>
                          <w14:schemeClr w14:val="tx1"/>
                        </w14:solidFill>
                      </w14:textFill>
                    </w:rPr>
                    <w:t>平顶山市</w:t>
                  </w:r>
                  <w:r>
                    <w:rPr>
                      <w:rFonts w:hint="eastAsia" w:ascii="Times New Roman" w:hAnsi="Times New Roman" w:cs="Times New Roman"/>
                      <w:color w:val="000000" w:themeColor="text1"/>
                      <w:kern w:val="21"/>
                      <w:szCs w:val="21"/>
                      <w:lang w:eastAsia="zh-CN"/>
                      <w14:textFill>
                        <w14:solidFill>
                          <w14:schemeClr w14:val="tx1"/>
                        </w14:solidFill>
                      </w14:textFill>
                    </w:rPr>
                    <w:t>“</w:t>
                  </w:r>
                  <w:r>
                    <w:rPr>
                      <w:rFonts w:hint="default" w:ascii="Times New Roman" w:hAnsi="Times New Roman" w:cs="Times New Roman"/>
                      <w:color w:val="000000" w:themeColor="text1"/>
                      <w:kern w:val="21"/>
                      <w:szCs w:val="21"/>
                      <w14:textFill>
                        <w14:solidFill>
                          <w14:schemeClr w14:val="tx1"/>
                        </w14:solidFill>
                      </w14:textFill>
                    </w:rPr>
                    <w:t>三线一单</w:t>
                  </w:r>
                  <w:r>
                    <w:rPr>
                      <w:rFonts w:hint="eastAsia" w:ascii="Times New Roman" w:hAnsi="Times New Roman" w:cs="Times New Roman"/>
                      <w:color w:val="000000" w:themeColor="text1"/>
                      <w:kern w:val="21"/>
                      <w:szCs w:val="21"/>
                      <w:lang w:eastAsia="zh-CN"/>
                      <w14:textFill>
                        <w14:solidFill>
                          <w14:schemeClr w14:val="tx1"/>
                        </w14:solidFill>
                      </w14:textFill>
                    </w:rPr>
                    <w:t>”</w:t>
                  </w:r>
                  <w:r>
                    <w:rPr>
                      <w:rFonts w:hint="default" w:ascii="Times New Roman" w:hAnsi="Times New Roman" w:cs="Times New Roman"/>
                      <w:color w:val="000000" w:themeColor="text1"/>
                      <w:kern w:val="21"/>
                      <w:szCs w:val="21"/>
                      <w14:textFill>
                        <w14:solidFill>
                          <w14:schemeClr w14:val="tx1"/>
                        </w14:solidFill>
                      </w14:textFill>
                    </w:rPr>
                    <w:t>生态环境分区管控的要求</w:t>
                  </w:r>
                  <w:r>
                    <w:rPr>
                      <w:rFonts w:hint="default" w:ascii="Times New Roman" w:hAnsi="Times New Roman" w:cs="Times New Roman"/>
                      <w:bCs/>
                      <w:color w:val="000000" w:themeColor="text1"/>
                      <w:szCs w:val="21"/>
                      <w14:textFill>
                        <w14:solidFill>
                          <w14:schemeClr w14:val="tx1"/>
                        </w14:solidFill>
                      </w14:textFill>
                    </w:rPr>
                    <w:t>，不属于造纸、焦化、氮肥、农副食品加工、皮革、印染、有色、原料药制造、电镀等重点水污染物排放行业。</w:t>
                  </w:r>
                </w:p>
              </w:tc>
              <w:tc>
                <w:tcPr>
                  <w:tcW w:w="871" w:type="dxa"/>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cs="Times New Roman"/>
                      <w:bCs/>
                      <w:color w:val="000000" w:themeColor="text1"/>
                      <w:szCs w:val="21"/>
                      <w14:textFill>
                        <w14:solidFill>
                          <w14:schemeClr w14:val="tx1"/>
                        </w14:solidFill>
                      </w14:textFill>
                    </w:rPr>
                  </w:pPr>
                  <w:r>
                    <w:rPr>
                      <w:rFonts w:hint="default" w:ascii="Times New Roman" w:hAnsi="Times New Roman" w:cs="Times New Roman"/>
                      <w:bCs/>
                      <w:color w:val="000000" w:themeColor="text1"/>
                      <w:szCs w:val="21"/>
                      <w14:textFill>
                        <w14:solidFill>
                          <w14:schemeClr w14:val="tx1"/>
                        </w14:solidFill>
                      </w14:textFill>
                    </w:rPr>
                    <w:t>符合</w:t>
                  </w:r>
                </w:p>
              </w:tc>
            </w:tr>
          </w:tbl>
          <w:p>
            <w:pPr>
              <w:autoSpaceDE w:val="0"/>
              <w:autoSpaceDN w:val="0"/>
              <w:adjustRightInd w:val="0"/>
              <w:snapToGrid w:val="0"/>
              <w:spacing w:line="360" w:lineRule="auto"/>
              <w:ind w:firstLine="480" w:firstLineChars="200"/>
              <w:jc w:val="left"/>
              <w:rPr>
                <w:rFonts w:hint="eastAsia"/>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综</w:t>
            </w:r>
            <w:r>
              <w:rPr>
                <w:rFonts w:hint="eastAsia"/>
                <w:color w:val="000000" w:themeColor="text1"/>
                <w:kern w:val="0"/>
                <w:sz w:val="24"/>
                <w14:textFill>
                  <w14:solidFill>
                    <w14:schemeClr w14:val="tx1"/>
                  </w14:solidFill>
                </w14:textFill>
              </w:rPr>
              <w:t>上，本项目符合</w:t>
            </w:r>
            <w:r>
              <w:rPr>
                <w:rFonts w:hint="eastAsia"/>
                <w:color w:val="000000" w:themeColor="text1"/>
                <w:kern w:val="0"/>
                <w:sz w:val="24"/>
                <w:lang w:val="en-US" w:eastAsia="zh-CN"/>
                <w14:textFill>
                  <w14:solidFill>
                    <w14:schemeClr w14:val="tx1"/>
                  </w14:solidFill>
                </w14:textFill>
              </w:rPr>
              <w:t>《平顶山市2023年蓝天保卫战实施方案》（平环委办[2023]13号）、《平顶山市2023年净土保卫战实施方案》（平环委办[2023]14号）、《平顶山市2023年碧水保卫战实施方案》（平环委办[2023]15号）</w:t>
            </w:r>
            <w:r>
              <w:rPr>
                <w:color w:val="000000" w:themeColor="text1"/>
                <w:kern w:val="0"/>
                <w:sz w:val="24"/>
                <w14:textFill>
                  <w14:solidFill>
                    <w14:schemeClr w14:val="tx1"/>
                  </w14:solidFill>
                </w14:textFill>
              </w:rPr>
              <w:t>要求</w:t>
            </w:r>
            <w:r>
              <w:rPr>
                <w:rFonts w:hint="eastAsia"/>
                <w:color w:val="000000" w:themeColor="text1"/>
                <w:kern w:val="0"/>
                <w:sz w:val="24"/>
                <w14:textFill>
                  <w14:solidFill>
                    <w14:schemeClr w14:val="tx1"/>
                  </w14:solidFill>
                </w14:textFill>
              </w:rPr>
              <w:t>。</w:t>
            </w:r>
          </w:p>
          <w:p>
            <w:pPr>
              <w:pStyle w:val="71"/>
              <w:keepNext w:val="0"/>
              <w:keepLines w:val="0"/>
              <w:pageBreakBefore w:val="0"/>
              <w:widowControl w:val="0"/>
              <w:numPr>
                <w:ilvl w:val="0"/>
                <w:numId w:val="2"/>
              </w:numPr>
              <w:kinsoku/>
              <w:wordWrap/>
              <w:overflowPunct/>
              <w:topLinePunct w:val="0"/>
              <w:bidi w:val="0"/>
              <w:adjustRightInd w:val="0"/>
              <w:snapToGrid w:val="0"/>
              <w:spacing w:line="360" w:lineRule="auto"/>
              <w:jc w:val="left"/>
              <w:textAlignment w:val="auto"/>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与</w:t>
            </w:r>
            <w:r>
              <w:rPr>
                <w:rFonts w:hint="eastAsia"/>
                <w:b/>
                <w:color w:val="000000" w:themeColor="text1"/>
                <w:kern w:val="0"/>
                <w:sz w:val="24"/>
                <w14:textFill>
                  <w14:solidFill>
                    <w14:schemeClr w14:val="tx1"/>
                  </w14:solidFill>
                </w14:textFill>
              </w:rPr>
              <w:t>《河南省重污染天气通用行业应急减排措施制定技术指南》（2021年修订版）</w:t>
            </w:r>
            <w:r>
              <w:rPr>
                <w:b/>
                <w:color w:val="000000" w:themeColor="text1"/>
                <w:kern w:val="0"/>
                <w:sz w:val="24"/>
                <w14:textFill>
                  <w14:solidFill>
                    <w14:schemeClr w14:val="tx1"/>
                  </w14:solidFill>
                </w14:textFill>
              </w:rPr>
              <w:t>符合性分析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根据河南省生态环境厅编制了《河南省重污染天气通用行业应急减排措施制定技术指南（2021年修订版）》（2021年7月），该指南中显示：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通用行业基本要求：通用行业基本要求是指未纳入国家和省级重点行业涉气企业应满足的基本要求，包括涉PM和涉VOCs（未涉锅炉/炉窑）排放企业，规定了企业各类物料装卸、储存、转移、输送、包装和工艺过程污染控制要求，以及其他控制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lang w:val="en-US" w:eastAsia="zh-CN"/>
                <w14:textFill>
                  <w14:solidFill>
                    <w14:schemeClr w14:val="tx1"/>
                  </w14:solidFill>
                </w14:textFill>
              </w:rPr>
              <w:t>涉锅炉/炉窑排放差异化管控要求</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锅炉和各类工业炉窑，主要污染物为PM、SO</w:t>
            </w:r>
            <w:r>
              <w:rPr>
                <w:rFonts w:hint="default" w:ascii="Times New Roman" w:hAnsi="Times New Roman" w:eastAsia="宋体" w:cs="Times New Roman"/>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、NOx有组织和无组织排放。在满足通用行业基本要求后，企业应按照表</w:t>
            </w:r>
            <w:r>
              <w:rPr>
                <w:rFonts w:hint="eastAsia" w:cs="Times New Roman"/>
                <w:color w:val="000000" w:themeColor="text1"/>
                <w:sz w:val="24"/>
                <w:szCs w:val="24"/>
                <w:lang w:val="en-US" w:eastAsia="zh-CN"/>
                <w14:textFill>
                  <w14:solidFill>
                    <w14:schemeClr w14:val="tx1"/>
                  </w14:solidFill>
                </w14:textFill>
              </w:rPr>
              <w:t>1-3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绩效分级指标要求进行分级，并按照评定结果采取相应的应急减排措施</w:t>
            </w:r>
            <w:r>
              <w:rPr>
                <w:rFonts w:hint="eastAsia" w:ascii="Times New Roman" w:hAnsi="Times New Roman" w:cs="Times New Roman"/>
                <w:color w:val="000000" w:themeColor="text1"/>
                <w:sz w:val="24"/>
                <w:szCs w:val="24"/>
                <w:lang w:val="en-US"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left"/>
              <w:textAlignment w:val="auto"/>
              <w:rPr>
                <w:rFonts w:hint="eastAsia" w:eastAsia="宋体"/>
                <w:color w:val="000000" w:themeColor="text1"/>
                <w:kern w:val="0"/>
                <w:sz w:val="24"/>
                <w:lang w:eastAsia="zh-CN"/>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本项目为植物、食用菌类提取精华部分为农产品深加工项目，涉及</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颗粒物的排放，</w:t>
            </w:r>
            <w:r>
              <w:rPr>
                <w:rFonts w:hint="eastAsia" w:ascii="Times New Roman" w:hAnsi="Times New Roman" w:cs="Times New Roman"/>
                <w:color w:val="000000" w:themeColor="text1"/>
                <w:sz w:val="24"/>
                <w:szCs w:val="24"/>
                <w:lang w:val="en-US" w:eastAsia="zh-CN"/>
                <w14:textFill>
                  <w14:solidFill>
                    <w14:schemeClr w14:val="tx1"/>
                  </w14:solidFill>
                </w14:textFill>
              </w:rPr>
              <w:t>并且</w:t>
            </w:r>
            <w:r>
              <w:rPr>
                <w:rFonts w:hint="eastAsia"/>
                <w:color w:val="000000" w:themeColor="text1"/>
                <w:kern w:val="0"/>
                <w:sz w:val="24"/>
                <w:lang w:val="en-US" w:eastAsia="zh-CN"/>
                <w14:textFill>
                  <w14:solidFill>
                    <w14:schemeClr w14:val="tx1"/>
                  </w14:solidFill>
                </w14:textFill>
              </w:rPr>
              <w:t>建设1台2t锅炉，本项目</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未纳入国家和省级重点行业，</w:t>
            </w:r>
            <w:r>
              <w:rPr>
                <w:rFonts w:hint="eastAsia"/>
                <w:color w:val="000000" w:themeColor="text1"/>
                <w:sz w:val="24"/>
                <w14:textFill>
                  <w14:solidFill>
                    <w14:schemeClr w14:val="tx1"/>
                  </w14:solidFill>
                </w14:textFill>
              </w:rPr>
              <w:t>对比《河南省重污染天气通用行业应急减排措施制定技术指南》（2021 年修订版）</w:t>
            </w:r>
            <w:r>
              <w:rPr>
                <w:rFonts w:hint="eastAsia"/>
                <w:color w:val="000000" w:themeColor="text1"/>
                <w:sz w:val="24"/>
                <w:lang w:val="en-US" w:eastAsia="zh-CN"/>
                <w14:textFill>
                  <w14:solidFill>
                    <w14:schemeClr w14:val="tx1"/>
                  </w14:solidFill>
                </w14:textFill>
              </w:rPr>
              <w:t>PM</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通用行业的要求</w:t>
            </w:r>
            <w:r>
              <w:rPr>
                <w:rFonts w:hint="eastAsia" w:ascii="Times New Roman" w:hAnsi="Times New Roman" w:cs="Times New Roman"/>
                <w:color w:val="000000" w:themeColor="text1"/>
                <w:sz w:val="24"/>
                <w:szCs w:val="24"/>
                <w:lang w:val="en-US" w:eastAsia="zh-CN"/>
                <w14:textFill>
                  <w14:solidFill>
                    <w14:schemeClr w14:val="tx1"/>
                  </w14:solidFill>
                </w14:textFill>
              </w:rPr>
              <w:t>及</w:t>
            </w:r>
            <w:r>
              <w:rPr>
                <w:rFonts w:hint="eastAsia"/>
                <w:color w:val="000000" w:themeColor="text1"/>
                <w:sz w:val="24"/>
                <w14:textFill>
                  <w14:solidFill>
                    <w14:schemeClr w14:val="tx1"/>
                  </w14:solidFill>
                </w14:textFill>
              </w:rPr>
              <w:t>涉锅炉企业绩效分级</w:t>
            </w:r>
            <w:r>
              <w:rPr>
                <w:rFonts w:hint="eastAsia"/>
                <w:color w:val="000000" w:themeColor="text1"/>
                <w:kern w:val="0"/>
                <w:sz w:val="24"/>
                <w:lang w:val="en-US" w:eastAsia="zh-CN"/>
                <w14:textFill>
                  <w14:solidFill>
                    <w14:schemeClr w14:val="tx1"/>
                  </w14:solidFill>
                </w14:textFill>
              </w:rPr>
              <w:t>A</w:t>
            </w:r>
            <w:r>
              <w:rPr>
                <w:rFonts w:hint="eastAsia"/>
                <w:color w:val="000000" w:themeColor="text1"/>
                <w:kern w:val="0"/>
                <w:sz w:val="24"/>
                <w14:textFill>
                  <w14:solidFill>
                    <w14:schemeClr w14:val="tx1"/>
                  </w14:solidFill>
                </w14:textFill>
              </w:rPr>
              <w:t>级指标</w:t>
            </w:r>
            <w:r>
              <w:rPr>
                <w:rFonts w:hint="eastAsia"/>
                <w:color w:val="000000" w:themeColor="text1"/>
                <w:kern w:val="0"/>
                <w:sz w:val="24"/>
                <w:lang w:val="en-US" w:eastAsia="zh-CN"/>
                <w14:textFill>
                  <w14:solidFill>
                    <w14:schemeClr w14:val="tx1"/>
                  </w14:solidFill>
                </w14:textFill>
              </w:rPr>
              <w:t>要求</w:t>
            </w:r>
            <w:r>
              <w:rPr>
                <w:rFonts w:hint="eastAsia"/>
                <w:color w:val="000000" w:themeColor="text1"/>
                <w:kern w:val="0"/>
                <w:sz w:val="24"/>
                <w:lang w:eastAsia="zh-CN"/>
                <w14:textFill>
                  <w14:solidFill>
                    <w14:schemeClr w14:val="tx1"/>
                  </w14:solidFill>
                </w14:textFill>
              </w:rPr>
              <w:t>。</w:t>
            </w:r>
          </w:p>
          <w:p>
            <w:pPr>
              <w:pStyle w:val="71"/>
              <w:keepNext w:val="0"/>
              <w:keepLines w:val="0"/>
              <w:pageBreakBefore w:val="0"/>
              <w:widowControl w:val="0"/>
              <w:numPr>
                <w:ilvl w:val="0"/>
                <w:numId w:val="0"/>
              </w:numPr>
              <w:kinsoku/>
              <w:wordWrap/>
              <w:overflowPunct/>
              <w:topLinePunct w:val="0"/>
              <w:bidi w:val="0"/>
              <w:adjustRightInd w:val="0"/>
              <w:snapToGrid w:val="0"/>
              <w:spacing w:line="360" w:lineRule="auto"/>
              <w:jc w:val="left"/>
              <w:textAlignment w:val="auto"/>
              <w:rPr>
                <w:rFonts w:hint="default" w:eastAsia="宋体"/>
                <w:b/>
                <w:bCs w:val="0"/>
                <w:color w:val="000000" w:themeColor="text1"/>
                <w:kern w:val="0"/>
                <w:sz w:val="24"/>
                <w:lang w:val="en-US" w:eastAsia="zh-CN"/>
                <w14:textFill>
                  <w14:solidFill>
                    <w14:schemeClr w14:val="tx1"/>
                  </w14:solidFill>
                </w14:textFill>
              </w:rPr>
            </w:pPr>
            <w:r>
              <w:rPr>
                <w:rFonts w:hint="eastAsia"/>
                <w:b/>
                <w:bCs w:val="0"/>
                <w:color w:val="000000" w:themeColor="text1"/>
                <w:kern w:val="0"/>
                <w:sz w:val="24"/>
                <w:lang w:val="en-US" w:eastAsia="zh-CN"/>
                <w14:textFill>
                  <w14:solidFill>
                    <w14:schemeClr w14:val="tx1"/>
                  </w14:solidFill>
                </w14:textFill>
              </w:rPr>
              <w:t>5.1、</w:t>
            </w:r>
            <w:r>
              <w:rPr>
                <w:rFonts w:hint="eastAsia"/>
                <w:b/>
                <w:bCs w:val="0"/>
                <w:color w:val="000000" w:themeColor="text1"/>
                <w:sz w:val="24"/>
                <w:lang w:val="en-US" w:eastAsia="zh-CN"/>
                <w14:textFill>
                  <w14:solidFill>
                    <w14:schemeClr w14:val="tx1"/>
                  </w14:solidFill>
                </w14:textFill>
              </w:rPr>
              <w:t>PM</w:t>
            </w:r>
            <w:r>
              <w:rPr>
                <w:rFonts w:hint="default" w:ascii="Times New Roman" w:hAnsi="Times New Roman" w:eastAsia="宋体" w:cs="Times New Roman"/>
                <w:b/>
                <w:bCs w:val="0"/>
                <w:color w:val="000000" w:themeColor="text1"/>
                <w:sz w:val="24"/>
                <w:szCs w:val="24"/>
                <w:lang w:val="en-US" w:eastAsia="zh-CN"/>
                <w14:textFill>
                  <w14:solidFill>
                    <w14:schemeClr w14:val="tx1"/>
                  </w14:solidFill>
                </w14:textFill>
              </w:rPr>
              <w:t>通用行业的要求</w:t>
            </w:r>
          </w:p>
          <w:p>
            <w:pPr>
              <w:keepNext w:val="0"/>
              <w:keepLines w:val="0"/>
              <w:pageBreakBefore w:val="0"/>
              <w:widowControl w:val="0"/>
              <w:kinsoku/>
              <w:wordWrap/>
              <w:overflowPunct/>
              <w:topLinePunct w:val="0"/>
              <w:bidi w:val="0"/>
              <w:adjustRightInd w:val="0"/>
              <w:snapToGrid w:val="0"/>
              <w:spacing w:line="360" w:lineRule="auto"/>
              <w:ind w:firstLine="0" w:firstLineChars="0"/>
              <w:jc w:val="center"/>
              <w:textAlignment w:val="auto"/>
              <w:rPr>
                <w:rFonts w:hint="eastAsia" w:ascii="宋体" w:hAnsi="宋体" w:eastAsia="宋体" w:cs="宋体"/>
                <w:b/>
                <w:bCs/>
                <w:color w:val="000000" w:themeColor="text1"/>
                <w14:textFill>
                  <w14:solidFill>
                    <w14:schemeClr w14:val="tx1"/>
                  </w14:solidFill>
                </w14:textFill>
              </w:rPr>
            </w:pPr>
            <w:r>
              <w:rPr>
                <w:rFonts w:hint="eastAsia" w:ascii="宋体" w:hAnsi="宋体" w:eastAsia="宋体" w:cs="宋体"/>
                <w:b/>
                <w:bCs/>
                <w:color w:val="000000" w:themeColor="text1"/>
                <w14:textFill>
                  <w14:solidFill>
                    <w14:schemeClr w14:val="tx1"/>
                  </w14:solidFill>
                </w14:textFill>
              </w:rPr>
              <w:t>表1-</w:t>
            </w:r>
            <w:r>
              <w:rPr>
                <w:rFonts w:hint="eastAsia" w:ascii="宋体" w:hAnsi="宋体" w:cs="宋体"/>
                <w:b/>
                <w:bCs/>
                <w:color w:val="000000" w:themeColor="text1"/>
                <w:lang w:val="en-US" w:eastAsia="zh-CN"/>
                <w14:textFill>
                  <w14:solidFill>
                    <w14:schemeClr w14:val="tx1"/>
                  </w14:solidFill>
                </w14:textFill>
              </w:rPr>
              <w:t>4</w:t>
            </w:r>
            <w:r>
              <w:rPr>
                <w:rFonts w:hint="eastAsia" w:ascii="宋体" w:hAnsi="宋体" w:eastAsia="宋体" w:cs="宋体"/>
                <w:b/>
                <w:bCs/>
                <w:color w:val="000000" w:themeColor="text1"/>
                <w14:textFill>
                  <w14:solidFill>
                    <w14:schemeClr w14:val="tx1"/>
                  </w14:solidFill>
                </w14:textFill>
              </w:rPr>
              <w:t xml:space="preserve">  项目与《河南省重污染天气通用行业应急减排措施制定技术指南》（2021年修订版）符合性对比一览表</w:t>
            </w:r>
          </w:p>
          <w:tbl>
            <w:tblPr>
              <w:tblStyle w:val="9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06"/>
              <w:gridCol w:w="3559"/>
              <w:gridCol w:w="1819"/>
              <w:gridCol w:w="7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077" w:type="pct"/>
                  <w:gridSpan w:val="2"/>
                  <w:tcBorders>
                    <w:tl2br w:val="nil"/>
                    <w:tr2bl w:val="nil"/>
                  </w:tcBorders>
                  <w:vAlign w:val="center"/>
                </w:tcPr>
                <w:p>
                  <w:pPr>
                    <w:spacing w:line="320" w:lineRule="exact"/>
                    <w:ind w:firstLine="0" w:firstLineChars="0"/>
                    <w:jc w:val="center"/>
                    <w:rPr>
                      <w:rFonts w:cs="Times New Roman"/>
                      <w:b/>
                      <w:bCs/>
                      <w:color w:val="000000" w:themeColor="text1"/>
                      <w:kern w:val="0"/>
                      <w:sz w:val="21"/>
                      <w14:textFill>
                        <w14:solidFill>
                          <w14:schemeClr w14:val="tx1"/>
                        </w14:solidFill>
                      </w14:textFill>
                    </w:rPr>
                  </w:pPr>
                  <w:r>
                    <w:rPr>
                      <w:rFonts w:hint="eastAsia" w:cs="Times New Roman"/>
                      <w:b/>
                      <w:bCs/>
                      <w:color w:val="000000" w:themeColor="text1"/>
                      <w:kern w:val="0"/>
                      <w:sz w:val="21"/>
                      <w14:textFill>
                        <w14:solidFill>
                          <w14:schemeClr w14:val="tx1"/>
                        </w14:solidFill>
                      </w14:textFill>
                    </w:rPr>
                    <w:t>通用行业基本要求</w:t>
                  </w:r>
                </w:p>
              </w:tc>
              <w:tc>
                <w:tcPr>
                  <w:tcW w:w="1377" w:type="pct"/>
                  <w:tcBorders>
                    <w:tl2br w:val="nil"/>
                    <w:tr2bl w:val="nil"/>
                  </w:tcBorders>
                  <w:vAlign w:val="center"/>
                </w:tcPr>
                <w:p>
                  <w:pPr>
                    <w:spacing w:line="320" w:lineRule="exact"/>
                    <w:ind w:firstLine="0" w:firstLineChars="0"/>
                    <w:jc w:val="center"/>
                    <w:rPr>
                      <w:rFonts w:cs="Times New Roman"/>
                      <w:b/>
                      <w:bCs/>
                      <w:color w:val="000000" w:themeColor="text1"/>
                      <w:kern w:val="0"/>
                      <w:sz w:val="21"/>
                      <w14:textFill>
                        <w14:solidFill>
                          <w14:schemeClr w14:val="tx1"/>
                        </w14:solidFill>
                      </w14:textFill>
                    </w:rPr>
                  </w:pPr>
                  <w:r>
                    <w:rPr>
                      <w:rFonts w:cs="Times New Roman"/>
                      <w:b/>
                      <w:bCs/>
                      <w:color w:val="000000" w:themeColor="text1"/>
                      <w:kern w:val="0"/>
                      <w:sz w:val="21"/>
                      <w14:textFill>
                        <w14:solidFill>
                          <w14:schemeClr w14:val="tx1"/>
                        </w14:solidFill>
                      </w14:textFill>
                    </w:rPr>
                    <w:t>本项目</w:t>
                  </w:r>
                </w:p>
              </w:tc>
              <w:tc>
                <w:tcPr>
                  <w:tcW w:w="544" w:type="pct"/>
                  <w:tcBorders>
                    <w:tl2br w:val="nil"/>
                    <w:tr2bl w:val="nil"/>
                  </w:tcBorders>
                  <w:vAlign w:val="center"/>
                </w:tcPr>
                <w:p>
                  <w:pPr>
                    <w:spacing w:line="320" w:lineRule="exact"/>
                    <w:ind w:firstLine="0" w:firstLineChars="0"/>
                    <w:jc w:val="center"/>
                    <w:rPr>
                      <w:rFonts w:cs="Times New Roman"/>
                      <w:b/>
                      <w:bCs/>
                      <w:color w:val="000000" w:themeColor="text1"/>
                      <w:kern w:val="0"/>
                      <w:sz w:val="21"/>
                      <w14:textFill>
                        <w14:solidFill>
                          <w14:schemeClr w14:val="tx1"/>
                        </w14:solidFill>
                      </w14:textFill>
                    </w:rPr>
                  </w:pPr>
                  <w:r>
                    <w:rPr>
                      <w:rFonts w:cs="Times New Roman"/>
                      <w:b/>
                      <w:bCs/>
                      <w:color w:val="000000" w:themeColor="text1"/>
                      <w:kern w:val="0"/>
                      <w:sz w:val="21"/>
                      <w14:textFill>
                        <w14:solidFill>
                          <w14:schemeClr w14:val="tx1"/>
                        </w14:solidFill>
                      </w14:textFill>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5000" w:type="pct"/>
                  <w:gridSpan w:val="4"/>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涉PM企业基本要求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077" w:type="pct"/>
                  <w:gridSpan w:val="2"/>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1、物料装卸；不易产尘的袋装物料宜在料棚中装卸，如需露天装卸应采取防止破袋及粉尘外逸措施。</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本项菌菇、香辛料均为袋装物料，物料装卸均在原料库，原料库间密闭。</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077" w:type="pct"/>
                  <w:gridSpan w:val="2"/>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2、物料储存；一般物料。粉状物料应储存于密闭/封闭料仓中；粒状、块状物料应储存于封闭料场中，并采取喷淋、清扫或其他有效抑尘措施；袋装物料应储存于封闭/半封闭料场中。封闭料场顶棚和四周围墙完整，料场内路面全部硬化，料场货物进出大门为硬质材料门或自动感应门，在确保安全的情况下，所有门窗保持常闭状态。不产尘物料（如钢材、管件）及产品如露天储存应在规定的存储区域码放整齐。危险废物。应有符合规范要求的危险废物储存间，危险废物储存间门口应张贴标准规范的危险废物标识和危废信息板，建立台账并挂于危废间内，危险废物的记录和货单保存3年以上。危废间内禁止存放除危险废物和应急工具外的其他物品。</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本项目菌菇均为袋装物料，暂存于密闭的原料库。</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077" w:type="pct"/>
                  <w:gridSpan w:val="2"/>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3、物料转移和输送；粉状、粒状等易产尘物料厂内转移、输送过程应采用气力输送、密闭输送，块状和粘湿粉状物料采用封闭输送；无法封闭的产尘点（物料转载、下料口等）应采取集气除尘措施，或有效抑尘措施。</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本项目原料为菌菇均为不易产尘物料。物料进厂为袋装，输送时不产生粉尘。</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077" w:type="pct"/>
                  <w:gridSpan w:val="2"/>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4、成品包装；卸料口应完全封闭，如不能封闭应采取局部集气除尘措施。卸料口地面应及时清扫，地面无明显积尘。</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本项目成品为菌菇罐头，成品不产生粉尘。</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077" w:type="pct"/>
                  <w:gridSpan w:val="2"/>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5、工艺过程</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各种物料破碎、筛分、配料、混料等过程应在封闭厂房内进行，并采取局部收尘/抑尘措施。破碎筛分设备在进、出料口和配料混料过程等产尘点应设置集气除尘设施。各生产工序的车间地面干净，无积料、积灰现象。生产车间不得有可见烟粉尘外逸。</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本项目菌菇经浸泡清洗后再切片，切片过程中不产生粉尘。</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85" w:hRule="atLeast"/>
                <w:jc w:val="center"/>
              </w:trPr>
              <w:tc>
                <w:tcPr>
                  <w:tcW w:w="5000" w:type="pct"/>
                  <w:gridSpan w:val="4"/>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其他基本要求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restar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1</w:t>
                  </w:r>
                  <w:r>
                    <w:rPr>
                      <w:rFonts w:cs="Times New Roman"/>
                      <w:color w:val="000000" w:themeColor="text1"/>
                      <w:kern w:val="0"/>
                      <w:sz w:val="21"/>
                      <w14:textFill>
                        <w14:solidFill>
                          <w14:schemeClr w14:val="tx1"/>
                        </w14:solidFill>
                      </w14:textFill>
                    </w:rPr>
                    <w:t>.</w:t>
                  </w:r>
                  <w:r>
                    <w:rPr>
                      <w:rFonts w:hint="eastAsia" w:cs="Times New Roman"/>
                      <w:color w:val="000000" w:themeColor="text1"/>
                      <w:kern w:val="0"/>
                      <w:sz w:val="21"/>
                      <w14:textFill>
                        <w14:solidFill>
                          <w14:schemeClr w14:val="tx1"/>
                        </w14:solidFill>
                      </w14:textFill>
                    </w:rPr>
                    <w:t>运输方式及运输监管</w:t>
                  </w: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（1）运输方式</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①公路运输。物料公路运输使用达到国五及以上排放标准重型载货车辆（重型燃气车辆达到国六排放标准）或新能源车辆比例（A级100%，B级不低于80%），其他车辆达到国四排放标准（重型燃气车辆达到国五及以上排放标准）；②厂内运输车辆。达到国五及以上排放标准（重型燃气车辆达到国六排放标准）或使用新能源车辆的比例（A级100%，B级不低于80%），其他车辆达到国四排放标准（重型燃气车辆达到国五及以上排放标准）﹔③危险品及危废运输。国五及以上或新能源车辆（A级/B级100%）；④厂内非道路移动机械。国三及以上排放标准或使用新能源机械（A级/B级100%）。</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物料公路运输和厂内运输车辆全部使用国五及以上车辆或其他清洁运输方式；厂内非道路移动机械使用国三及以上排放标准或使用新能源机械。</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w:t>
                  </w:r>
                  <w:r>
                    <w:rPr>
                      <w:rFonts w:cs="Times New Roman"/>
                      <w:color w:val="000000" w:themeColor="text1"/>
                      <w:kern w:val="0"/>
                      <w:sz w:val="21"/>
                      <w14:textFill>
                        <w14:solidFill>
                          <w14:schemeClr w14:val="tx1"/>
                        </w14:solidFill>
                      </w14:textFill>
                    </w:rPr>
                    <w:t>2</w:t>
                  </w:r>
                  <w:r>
                    <w:rPr>
                      <w:rFonts w:hint="eastAsia" w:cs="Times New Roman"/>
                      <w:color w:val="000000" w:themeColor="text1"/>
                      <w:kern w:val="0"/>
                      <w:sz w:val="21"/>
                      <w14:textFill>
                        <w14:solidFill>
                          <w14:schemeClr w14:val="tx1"/>
                        </w14:solidFill>
                      </w14:textFill>
                    </w:rPr>
                    <w:t>）运输监管厂区货运车辆进出大门口:日均进出货物150吨（或载货车辆日进出 10辆次）及以上（货物包括原料、辅料、燃料、产品和其他与生产相关物料）的企业，或纳入我省重点行业年产值1000万及以上的企业，拟申报A、B级企业时，应参照《重污染天气重点行业移动源应急管理技术指南》建立门禁视频监控系统和电子台账；其他企业建立电子台账。安装高清视频监控系统并能保留数据 6 个月以上。</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本项目日均进出货物小于1</w:t>
                  </w:r>
                  <w:r>
                    <w:rPr>
                      <w:rFonts w:cs="Times New Roman"/>
                      <w:color w:val="000000" w:themeColor="text1"/>
                      <w:kern w:val="0"/>
                      <w:sz w:val="21"/>
                      <w14:textFill>
                        <w14:solidFill>
                          <w14:schemeClr w14:val="tx1"/>
                        </w14:solidFill>
                      </w14:textFill>
                    </w:rPr>
                    <w:t>50</w:t>
                  </w:r>
                  <w:r>
                    <w:rPr>
                      <w:rFonts w:hint="eastAsia" w:cs="Times New Roman"/>
                      <w:color w:val="000000" w:themeColor="text1"/>
                      <w:kern w:val="0"/>
                      <w:sz w:val="21"/>
                      <w14:textFill>
                        <w14:solidFill>
                          <w14:schemeClr w14:val="tx1"/>
                        </w14:solidFill>
                      </w14:textFill>
                    </w:rPr>
                    <w:t>吨，载货车辆日进出小于1</w:t>
                  </w:r>
                  <w:r>
                    <w:rPr>
                      <w:rFonts w:cs="Times New Roman"/>
                      <w:color w:val="000000" w:themeColor="text1"/>
                      <w:kern w:val="0"/>
                      <w:sz w:val="21"/>
                      <w14:textFill>
                        <w14:solidFill>
                          <w14:schemeClr w14:val="tx1"/>
                        </w14:solidFill>
                      </w14:textFill>
                    </w:rPr>
                    <w:t>0</w:t>
                  </w:r>
                  <w:r>
                    <w:rPr>
                      <w:rFonts w:hint="eastAsia" w:cs="Times New Roman"/>
                      <w:color w:val="000000" w:themeColor="text1"/>
                      <w:kern w:val="0"/>
                      <w:sz w:val="21"/>
                      <w14:textFill>
                        <w14:solidFill>
                          <w14:schemeClr w14:val="tx1"/>
                        </w14:solidFill>
                      </w14:textFill>
                    </w:rPr>
                    <w:t>辆/次，厂区安装高清视频监控系统并能保留数据6个月以上，并建立电子台账。</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restar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2</w:t>
                  </w:r>
                  <w:r>
                    <w:rPr>
                      <w:rFonts w:cs="Times New Roman"/>
                      <w:color w:val="000000" w:themeColor="text1"/>
                      <w:kern w:val="0"/>
                      <w:sz w:val="21"/>
                      <w14:textFill>
                        <w14:solidFill>
                          <w14:schemeClr w14:val="tx1"/>
                        </w14:solidFill>
                      </w14:textFill>
                    </w:rPr>
                    <w:t>.</w:t>
                  </w:r>
                  <w:r>
                    <w:rPr>
                      <w:rFonts w:hint="eastAsia" w:cs="Times New Roman"/>
                      <w:color w:val="000000" w:themeColor="text1"/>
                      <w:kern w:val="0"/>
                      <w:sz w:val="21"/>
                      <w14:textFill>
                        <w14:solidFill>
                          <w14:schemeClr w14:val="tx1"/>
                        </w14:solidFill>
                      </w14:textFill>
                    </w:rPr>
                    <w:t>环境管理要求</w:t>
                  </w: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（1）环保档案资料齐全</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①环评批复文件和竣工验收文件/现状评估文件；②废气治理设施运行管理规程；③一年内废气监测报告；④国家版排污许可证，并按要求开展自行监测和信息披露，有规范的排气筒监测平台和排污口标识。</w:t>
                  </w:r>
                </w:p>
              </w:tc>
              <w:tc>
                <w:tcPr>
                  <w:tcW w:w="1377" w:type="pct"/>
                  <w:vMerge w:val="restar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正在办理环评手续，评价建议企业在完成环评手续后尽快完善环保措施，并申报排污许可证和办理验收手续，按照排污许可证要求进行例行监测；完善台账记录：①生产设施运行管理信息（生产时间、运行负荷、产品产量等）；②废气污染治理设施运行管理信息（除尘滤料更换量和时间）﹔③监测记录信息（主要污染排放口废气排放记录（手工监测和在线监测）等﹔④主要原辅材料、燃料消耗记录（A、B级企业必需）﹔⑤电消耗记录（已安装用电监管设备的A、B级企业必需）。制定管理制度：1、专兼职环保人员；2、废气治理设施运行管理规程。</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（2）台账记录信息完整</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①生产设施运行管理信息（生产时间、运行负荷、产品产量等）；②废气污染治理设施运行管理信息（除尘滤料、活性炭等更换量和时间）﹔③监测记录信息（主要污染排放口废气排放记录（手工监测和在线监测）等〉﹔④主要原辅材料、燃料消耗记录（A、B级企业必需）﹔⑤电消耗记录（已安装用电监管设备的A、B级企业必需）。</w:t>
                  </w:r>
                </w:p>
              </w:tc>
              <w:tc>
                <w:tcPr>
                  <w:tcW w:w="1377"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（3）人员配置合理</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配备专/兼职环保人员，并具备相应的环境管理能力（学历、培训、从业经验等）。</w:t>
                  </w:r>
                </w:p>
              </w:tc>
              <w:tc>
                <w:tcPr>
                  <w:tcW w:w="1377"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restar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3、其他控制要求</w:t>
                  </w: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（1）生产工艺和装备</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不属于《产业结构调整指导目录（2019年版）》淘汰类，不属于省级和市级政府部门明确列入已经限期淘汰类项目。</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本项目不属于省级和市级政府部门明确列入已经限期淘汰类项目。</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（2）污染治理副产物</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除尘器应设置密闭灰仓并及时卸灰，除尘灰应通过气力输送、罐车、袋子等封闭方式卸灰，不得直接卸落到地面。除尘灰如果转运应采用气力输送、封闭传送带方式，如果直接外运应采用罐车或袋装后运输，并在装车过程中采取抑尘措施，除尘灰在厂区内应密闭/封闭储存；脱硫石膏和脱硫废渣等固体废物在转运过程中应采取抑尘措施并应封闭储存。</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本项目废气为油烟和污水处理站废气，污染治理副产物不涉及粉尘。</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（3）用电量/视频监管</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按照《河南省涉气排污单位污染治理设施用电监管技术指南（试行）》要求安装用电监管设备（有自动在线监控系统的企业除外），用电监管数据直接上传至省、市生态环境部门的污染治理设施用电监管平台服务器；未安装自动在线监控和用电量监管拟申报A、B级企业，应在主要生产设备（投料口、卸料口等位置）安装视频监控设施，相关数据保存三个月以上。</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评价建议企业安装用电监管设备，在各产品生产车间安装视频监控设施，相关数据保存三个月以上。</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15" w:hRule="atLeast"/>
                <w:jc w:val="center"/>
              </w:trPr>
              <w:tc>
                <w:tcPr>
                  <w:tcW w:w="383" w:type="pct"/>
                  <w:vMerge w:val="continue"/>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p>
              </w:tc>
              <w:tc>
                <w:tcPr>
                  <w:tcW w:w="2693"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（4）厂容厂貌</w:t>
                  </w:r>
                </w:p>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厂区内道路、原辅材料和燃料堆场等路面应硬化。厂区内道路采取定期清扫、洒水等措施，保持清洁,路面无明显可见积尘。其他未利用地优先绿化，或进行硬化，无成片裸露土地。</w:t>
                  </w:r>
                </w:p>
              </w:tc>
              <w:tc>
                <w:tcPr>
                  <w:tcW w:w="1377" w:type="pct"/>
                  <w:tcBorders>
                    <w:tl2br w:val="nil"/>
                    <w:tr2bl w:val="nil"/>
                  </w:tcBorders>
                  <w:vAlign w:val="center"/>
                </w:tcPr>
                <w:p>
                  <w:pPr>
                    <w:spacing w:line="320" w:lineRule="exact"/>
                    <w:ind w:firstLine="0" w:firstLineChars="0"/>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本项目厂区内道路、原辅材料和燃料堆场等路面应硬化。厂区内道路采取定期清扫、洒水等措施，保持清洁,路面无明显可见积尘。其他未利用地优先绿化，或进行硬化，无成片裸露土地。</w:t>
                  </w:r>
                </w:p>
              </w:tc>
              <w:tc>
                <w:tcPr>
                  <w:tcW w:w="544" w:type="pct"/>
                  <w:tcBorders>
                    <w:tl2br w:val="nil"/>
                    <w:tr2bl w:val="nil"/>
                  </w:tcBorders>
                  <w:vAlign w:val="center"/>
                </w:tcPr>
                <w:p>
                  <w:pPr>
                    <w:spacing w:line="320" w:lineRule="exact"/>
                    <w:ind w:firstLine="0" w:firstLineChars="0"/>
                    <w:jc w:val="center"/>
                    <w:rPr>
                      <w:rFonts w:cs="Times New Roman"/>
                      <w:color w:val="000000" w:themeColor="text1"/>
                      <w:kern w:val="0"/>
                      <w:sz w:val="21"/>
                      <w14:textFill>
                        <w14:solidFill>
                          <w14:schemeClr w14:val="tx1"/>
                        </w14:solidFill>
                      </w14:textFill>
                    </w:rPr>
                  </w:pPr>
                  <w:r>
                    <w:rPr>
                      <w:rFonts w:hint="eastAsia" w:cs="Times New Roman"/>
                      <w:color w:val="000000" w:themeColor="text1"/>
                      <w:kern w:val="0"/>
                      <w:sz w:val="21"/>
                      <w14:textFill>
                        <w14:solidFill>
                          <w14:schemeClr w14:val="tx1"/>
                        </w14:solidFill>
                      </w14:textFill>
                    </w:rPr>
                    <w:t>符合</w:t>
                  </w:r>
                </w:p>
              </w:tc>
            </w:tr>
          </w:tbl>
          <w:p>
            <w:pPr>
              <w:autoSpaceDE w:val="0"/>
              <w:autoSpaceDN w:val="0"/>
              <w:adjustRightInd w:val="0"/>
              <w:snapToGrid w:val="0"/>
              <w:spacing w:line="360" w:lineRule="auto"/>
              <w:ind w:firstLine="480" w:firstLineChars="200"/>
              <w:jc w:val="left"/>
              <w:rPr>
                <w:rFonts w:hint="eastAsia"/>
                <w:color w:val="000000" w:themeColor="text1"/>
                <w:kern w:val="0"/>
                <w:sz w:val="24"/>
                <w:lang w:val="en-US" w:eastAsia="zh-CN"/>
                <w14:textFill>
                  <w14:solidFill>
                    <w14:schemeClr w14:val="tx1"/>
                  </w14:solidFill>
                </w14:textFill>
              </w:rPr>
            </w:pPr>
            <w:r>
              <w:rPr>
                <w:rFonts w:hint="eastAsia"/>
                <w:color w:val="000000" w:themeColor="text1"/>
                <w:kern w:val="0"/>
                <w:sz w:val="24"/>
                <w:lang w:val="en-US" w:eastAsia="zh-CN"/>
                <w14:textFill>
                  <w14:solidFill>
                    <w14:schemeClr w14:val="tx1"/>
                  </w14:solidFill>
                </w14:textFill>
              </w:rPr>
              <w:t>由上表可知，本项目符合《河南省重污染天气通用行业应急减排措施制定技术指南》（2021年修订版）中通用行业基本要求绩效分级指标相关规定。</w:t>
            </w:r>
          </w:p>
          <w:p>
            <w:pPr>
              <w:pStyle w:val="71"/>
              <w:numPr>
                <w:ilvl w:val="0"/>
                <w:numId w:val="0"/>
              </w:numPr>
              <w:spacing w:line="360" w:lineRule="auto"/>
              <w:jc w:val="left"/>
              <w:rPr>
                <w:rFonts w:hint="default" w:ascii="Times New Roman" w:hAnsi="Times New Roman" w:eastAsia="宋体" w:cs="Times New Roman"/>
                <w:b/>
                <w:bCs w:val="0"/>
                <w:color w:val="000000" w:themeColor="text1"/>
                <w:sz w:val="24"/>
                <w:szCs w:val="24"/>
                <w:lang w:val="en-US" w:eastAsia="zh-CN"/>
                <w14:textFill>
                  <w14:solidFill>
                    <w14:schemeClr w14:val="tx1"/>
                  </w14:solidFill>
                </w14:textFill>
              </w:rPr>
            </w:pPr>
            <w:r>
              <w:rPr>
                <w:rFonts w:hint="eastAsia"/>
                <w:b/>
                <w:bCs w:val="0"/>
                <w:color w:val="000000" w:themeColor="text1"/>
                <w:kern w:val="0"/>
                <w:sz w:val="24"/>
                <w:lang w:val="en-US" w:eastAsia="zh-CN"/>
                <w14:textFill>
                  <w14:solidFill>
                    <w14:schemeClr w14:val="tx1"/>
                  </w14:solidFill>
                </w14:textFill>
              </w:rPr>
              <w:t>5.2、</w:t>
            </w:r>
            <w:r>
              <w:rPr>
                <w:rFonts w:hint="eastAsia"/>
                <w:b/>
                <w:bCs w:val="0"/>
                <w:color w:val="000000" w:themeColor="text1"/>
                <w:sz w:val="24"/>
                <w14:textFill>
                  <w14:solidFill>
                    <w14:schemeClr w14:val="tx1"/>
                  </w14:solidFill>
                </w14:textFill>
              </w:rPr>
              <w:t>涉锅炉企业绩效分级</w:t>
            </w:r>
            <w:r>
              <w:rPr>
                <w:rFonts w:hint="eastAsia"/>
                <w:b/>
                <w:bCs w:val="0"/>
                <w:color w:val="000000" w:themeColor="text1"/>
                <w:kern w:val="0"/>
                <w:sz w:val="24"/>
                <w:lang w:val="en-US" w:eastAsia="zh-CN"/>
                <w14:textFill>
                  <w14:solidFill>
                    <w14:schemeClr w14:val="tx1"/>
                  </w14:solidFill>
                </w14:textFill>
              </w:rPr>
              <w:t>A</w:t>
            </w:r>
            <w:r>
              <w:rPr>
                <w:rFonts w:hint="eastAsia"/>
                <w:b/>
                <w:bCs w:val="0"/>
                <w:color w:val="000000" w:themeColor="text1"/>
                <w:kern w:val="0"/>
                <w:sz w:val="24"/>
                <w14:textFill>
                  <w14:solidFill>
                    <w14:schemeClr w14:val="tx1"/>
                  </w14:solidFill>
                </w14:textFill>
              </w:rPr>
              <w:t>级指标</w:t>
            </w:r>
            <w:r>
              <w:rPr>
                <w:rFonts w:hint="default" w:ascii="Times New Roman" w:hAnsi="Times New Roman" w:eastAsia="宋体" w:cs="Times New Roman"/>
                <w:b/>
                <w:bCs w:val="0"/>
                <w:color w:val="000000" w:themeColor="text1"/>
                <w:sz w:val="24"/>
                <w:szCs w:val="24"/>
                <w:lang w:val="en-US" w:eastAsia="zh-CN"/>
                <w14:textFill>
                  <w14:solidFill>
                    <w14:schemeClr w14:val="tx1"/>
                  </w14:solidFill>
                </w14:textFill>
              </w:rPr>
              <w:t>要求</w:t>
            </w: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71"/>
              <w:numPr>
                <w:ilvl w:val="0"/>
                <w:numId w:val="0"/>
              </w:numPr>
              <w:spacing w:line="360" w:lineRule="auto"/>
              <w:jc w:val="left"/>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pPr>
              <w:pStyle w:val="4"/>
              <w:ind w:left="0" w:leftChars="0" w:firstLine="0" w:firstLineChars="0"/>
              <w:rPr>
                <w:color w:val="000000" w:themeColor="text1"/>
                <w14:textFill>
                  <w14:solidFill>
                    <w14:schemeClr w14:val="tx1"/>
                  </w14:solidFill>
                </w14:textFill>
              </w:rPr>
            </w:pPr>
          </w:p>
        </w:tc>
      </w:tr>
    </w:tbl>
    <w:p>
      <w:pPr>
        <w:pStyle w:val="17"/>
        <w:rPr>
          <w:color w:val="000000" w:themeColor="text1"/>
          <w14:textFill>
            <w14:solidFill>
              <w14:schemeClr w14:val="tx1"/>
            </w14:solidFill>
          </w14:textFill>
        </w:rPr>
      </w:pPr>
    </w:p>
    <w:p>
      <w:pPr>
        <w:pStyle w:val="17"/>
        <w:rPr>
          <w:color w:val="000000" w:themeColor="text1"/>
          <w14:textFill>
            <w14:solidFill>
              <w14:schemeClr w14:val="tx1"/>
            </w14:solidFill>
          </w14:textFill>
        </w:rPr>
        <w:sectPr>
          <w:pgSz w:w="11906" w:h="16838"/>
          <w:pgMar w:top="1701" w:right="1531" w:bottom="1701" w:left="1531" w:header="851" w:footer="1077" w:gutter="0"/>
          <w:pgBorders>
            <w:top w:val="none" w:sz="0" w:space="0"/>
            <w:left w:val="none" w:sz="0" w:space="0"/>
            <w:bottom w:val="none" w:sz="0" w:space="0"/>
            <w:right w:val="none" w:sz="0" w:space="0"/>
          </w:pgBorders>
          <w:cols w:space="720" w:num="1"/>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4"/>
        <w:gridCol w:w="130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4" w:type="dxa"/>
          </w:tcPr>
          <w:p>
            <w:pPr>
              <w:pStyle w:val="4"/>
              <w:keepLines w:val="0"/>
              <w:pageBreakBefore w:val="0"/>
              <w:widowControl w:val="0"/>
              <w:kinsoku/>
              <w:wordWrap/>
              <w:topLinePunct w:val="0"/>
              <w:bidi w:val="0"/>
              <w:adjustRightInd w:val="0"/>
              <w:snapToGrid w:val="0"/>
              <w:spacing w:before="0" w:after="0" w:line="360" w:lineRule="auto"/>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bidi w:val="0"/>
              <w:adjustRightInd w:val="0"/>
              <w:snapToGrid w:val="0"/>
              <w:spacing w:before="0" w:after="0" w:line="360" w:lineRule="auto"/>
              <w:ind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adjustRightInd w:val="0"/>
              <w:snapToGrid w:val="0"/>
              <w:spacing w:before="0" w:after="0" w:line="36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adjustRightInd w:val="0"/>
              <w:snapToGrid w:val="0"/>
              <w:spacing w:line="36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spacing w:line="360" w:lineRule="auto"/>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adjustRightInd w:val="0"/>
              <w:snapToGrid w:val="0"/>
              <w:spacing w:before="0" w:after="0" w:line="36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adjustRightInd w:val="0"/>
              <w:snapToGrid w:val="0"/>
              <w:spacing w:line="360" w:lineRule="auto"/>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adjustRightInd w:val="0"/>
              <w:snapToGrid w:val="0"/>
              <w:spacing w:before="0" w:after="0" w:line="360" w:lineRule="auto"/>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adjustRightInd w:val="0"/>
              <w:snapToGrid w:val="0"/>
              <w:spacing w:line="360" w:lineRule="auto"/>
              <w:ind w:left="0" w:right="0" w:firstLine="0" w:firstLineChars="0"/>
              <w:jc w:val="center"/>
              <w:textAlignment w:val="auto"/>
              <w:rPr>
                <w:color w:val="000000" w:themeColor="text1"/>
                <w14:textFill>
                  <w14:solidFill>
                    <w14:schemeClr w14:val="tx1"/>
                  </w14:solidFill>
                </w14:textFill>
              </w:rPr>
            </w:pPr>
          </w:p>
          <w:p>
            <w:pPr>
              <w:pStyle w:val="17"/>
              <w:rPr>
                <w:color w:val="000000" w:themeColor="text1"/>
                <w:vertAlign w:val="baseline"/>
                <w14:textFill>
                  <w14:solidFill>
                    <w14:schemeClr w14:val="tx1"/>
                  </w14:solidFill>
                </w14:textFill>
              </w:rPr>
            </w:pPr>
          </w:p>
        </w:tc>
        <w:tc>
          <w:tcPr>
            <w:tcW w:w="13098" w:type="dxa"/>
          </w:tcPr>
          <w:p>
            <w:pPr>
              <w:pStyle w:val="53"/>
              <w:tabs>
                <w:tab w:val="left" w:pos="895"/>
                <w:tab w:val="clear" w:pos="1322"/>
              </w:tabs>
              <w:spacing w:line="360" w:lineRule="auto"/>
              <w:rPr>
                <w:rFonts w:hint="eastAsia" w:ascii="宋体" w:hAnsi="宋体" w:eastAsia="宋体" w:cs="宋体"/>
                <w:b/>
                <w:bCs w:val="0"/>
                <w:color w:val="000000" w:themeColor="text1"/>
                <w:sz w:val="21"/>
                <w:szCs w:val="21"/>
                <w:lang w:val="en-US" w:eastAsia="zh-CN"/>
                <w14:textFill>
                  <w14:solidFill>
                    <w14:schemeClr w14:val="tx1"/>
                  </w14:solidFill>
                </w14:textFill>
              </w:rPr>
            </w:pPr>
            <w:r>
              <w:rPr>
                <w:rFonts w:hint="eastAsia" w:ascii="宋体" w:hAnsi="宋体" w:eastAsia="宋体" w:cs="宋体"/>
                <w:b/>
                <w:bCs w:val="0"/>
                <w:color w:val="000000" w:themeColor="text1"/>
                <w:sz w:val="21"/>
                <w:szCs w:val="21"/>
                <w:lang w:val="en-US" w:eastAsia="zh-CN"/>
                <w14:textFill>
                  <w14:solidFill>
                    <w14:schemeClr w14:val="tx1"/>
                  </w14:solidFill>
                </w14:textFill>
              </w:rPr>
              <w:t>表1-5  项目建设与涉锅炉/炉窑企业绩效分级A级指标的相符性分析</w:t>
            </w:r>
          </w:p>
          <w:tbl>
            <w:tblPr>
              <w:tblStyle w:val="26"/>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9"/>
              <w:gridCol w:w="775"/>
              <w:gridCol w:w="777"/>
              <w:gridCol w:w="5717"/>
              <w:gridCol w:w="3717"/>
              <w:gridCol w:w="11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
                      <w:bCs w:val="0"/>
                      <w:color w:val="000000" w:themeColor="text1"/>
                      <w:kern w:val="0"/>
                      <w:sz w:val="21"/>
                      <w:szCs w:val="21"/>
                      <w14:textFill>
                        <w14:solidFill>
                          <w14:schemeClr w14:val="tx1"/>
                        </w14:solidFill>
                      </w14:textFill>
                    </w:rPr>
                  </w:pPr>
                  <w:r>
                    <w:rPr>
                      <w:rFonts w:hint="default" w:ascii="Times New Roman" w:hAnsi="Times New Roman" w:eastAsia="宋体" w:cs="Times New Roman"/>
                      <w:b/>
                      <w:bCs w:val="0"/>
                      <w:color w:val="000000" w:themeColor="text1"/>
                      <w:kern w:val="0"/>
                      <w:sz w:val="21"/>
                      <w:szCs w:val="21"/>
                      <w14:textFill>
                        <w14:solidFill>
                          <w14:schemeClr w14:val="tx1"/>
                        </w14:solidFill>
                      </w14:textFill>
                    </w:rPr>
                    <w:t>序号</w:t>
                  </w:r>
                </w:p>
              </w:tc>
              <w:tc>
                <w:tcPr>
                  <w:tcW w:w="603" w:type="pct"/>
                  <w:gridSpan w:val="2"/>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
                      <w:bCs w:val="0"/>
                      <w:color w:val="000000" w:themeColor="text1"/>
                      <w:kern w:val="0"/>
                      <w:sz w:val="21"/>
                      <w:szCs w:val="21"/>
                      <w14:textFill>
                        <w14:solidFill>
                          <w14:schemeClr w14:val="tx1"/>
                        </w14:solidFill>
                      </w14:textFill>
                    </w:rPr>
                  </w:pPr>
                  <w:r>
                    <w:rPr>
                      <w:rFonts w:hint="default" w:ascii="Times New Roman" w:hAnsi="Times New Roman" w:eastAsia="宋体" w:cs="Times New Roman"/>
                      <w:b/>
                      <w:bCs w:val="0"/>
                      <w:color w:val="000000" w:themeColor="text1"/>
                      <w:kern w:val="0"/>
                      <w:sz w:val="21"/>
                      <w:szCs w:val="21"/>
                      <w14:textFill>
                        <w14:solidFill>
                          <w14:schemeClr w14:val="tx1"/>
                        </w14:solidFill>
                      </w14:textFill>
                    </w:rPr>
                    <w:t>先进性指标</w:t>
                  </w:r>
                </w:p>
              </w:tc>
              <w:tc>
                <w:tcPr>
                  <w:tcW w:w="2221"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
                      <w:bCs w:val="0"/>
                      <w:color w:val="000000" w:themeColor="text1"/>
                      <w:kern w:val="0"/>
                      <w:sz w:val="21"/>
                      <w:szCs w:val="21"/>
                      <w14:textFill>
                        <w14:solidFill>
                          <w14:schemeClr w14:val="tx1"/>
                        </w14:solidFill>
                      </w14:textFill>
                    </w:rPr>
                  </w:pPr>
                  <w:r>
                    <w:rPr>
                      <w:rFonts w:hint="eastAsia" w:ascii="Times New Roman" w:hAnsi="Times New Roman" w:eastAsia="宋体" w:cs="Times New Roman"/>
                      <w:b/>
                      <w:bCs w:val="0"/>
                      <w:color w:val="000000" w:themeColor="text1"/>
                      <w:kern w:val="0"/>
                      <w:sz w:val="21"/>
                      <w:szCs w:val="21"/>
                      <w:lang w:val="en-US" w:eastAsia="zh-CN"/>
                      <w14:textFill>
                        <w14:solidFill>
                          <w14:schemeClr w14:val="tx1"/>
                        </w14:solidFill>
                      </w14:textFill>
                    </w:rPr>
                    <w:t>A</w:t>
                  </w:r>
                  <w:r>
                    <w:rPr>
                      <w:rFonts w:hint="default" w:ascii="Times New Roman" w:hAnsi="Times New Roman" w:eastAsia="宋体" w:cs="Times New Roman"/>
                      <w:b/>
                      <w:bCs w:val="0"/>
                      <w:color w:val="000000" w:themeColor="text1"/>
                      <w:kern w:val="0"/>
                      <w:sz w:val="21"/>
                      <w:szCs w:val="21"/>
                      <w14:textFill>
                        <w14:solidFill>
                          <w14:schemeClr w14:val="tx1"/>
                        </w14:solidFill>
                      </w14:textFill>
                    </w:rPr>
                    <w:t>级企业绩效分级指标</w:t>
                  </w:r>
                </w:p>
              </w:tc>
              <w:tc>
                <w:tcPr>
                  <w:tcW w:w="1444"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
                      <w:bCs w:val="0"/>
                      <w:color w:val="000000" w:themeColor="text1"/>
                      <w:kern w:val="0"/>
                      <w:sz w:val="21"/>
                      <w:szCs w:val="21"/>
                      <w14:textFill>
                        <w14:solidFill>
                          <w14:schemeClr w14:val="tx1"/>
                        </w14:solidFill>
                      </w14:textFill>
                    </w:rPr>
                  </w:pPr>
                  <w:r>
                    <w:rPr>
                      <w:rFonts w:hint="default" w:ascii="Times New Roman" w:hAnsi="Times New Roman" w:eastAsia="宋体" w:cs="Times New Roman"/>
                      <w:b/>
                      <w:bCs w:val="0"/>
                      <w:color w:val="000000" w:themeColor="text1"/>
                      <w:kern w:val="0"/>
                      <w:sz w:val="21"/>
                      <w:szCs w:val="21"/>
                      <w14:textFill>
                        <w14:solidFill>
                          <w14:schemeClr w14:val="tx1"/>
                        </w14:solidFill>
                      </w14:textFill>
                    </w:rPr>
                    <w:t>本项目建设情况</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
                      <w:bCs w:val="0"/>
                      <w:color w:val="000000" w:themeColor="text1"/>
                      <w:kern w:val="0"/>
                      <w:sz w:val="21"/>
                      <w:szCs w:val="21"/>
                      <w14:textFill>
                        <w14:solidFill>
                          <w14:schemeClr w14:val="tx1"/>
                        </w14:solidFill>
                      </w14:textFill>
                    </w:rPr>
                  </w:pPr>
                  <w:r>
                    <w:rPr>
                      <w:rFonts w:hint="default" w:ascii="Times New Roman" w:hAnsi="Times New Roman" w:eastAsia="宋体" w:cs="Times New Roman"/>
                      <w:b/>
                      <w:bCs w:val="0"/>
                      <w:color w:val="000000" w:themeColor="text1"/>
                      <w:kern w:val="0"/>
                      <w:sz w:val="21"/>
                      <w:szCs w:val="21"/>
                      <w14:textFill>
                        <w14:solidFill>
                          <w14:schemeClr w14:val="tx1"/>
                        </w14:solidFill>
                      </w14:textFill>
                    </w:rPr>
                    <w:t>相符性分析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1</w:t>
                  </w:r>
                </w:p>
              </w:tc>
              <w:tc>
                <w:tcPr>
                  <w:tcW w:w="603" w:type="pct"/>
                  <w:gridSpan w:val="2"/>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能源类型</w:t>
                  </w:r>
                </w:p>
              </w:tc>
              <w:tc>
                <w:tcPr>
                  <w:tcW w:w="2221" w:type="pct"/>
                  <w:noWrap w:val="0"/>
                  <w:vAlign w:val="center"/>
                </w:tcPr>
                <w:p>
                  <w:pPr>
                    <w:keepNext w:val="0"/>
                    <w:keepLines w:val="0"/>
                    <w:pageBreakBefore w:val="0"/>
                    <w:widowControl w:val="0"/>
                    <w:kinsoku/>
                    <w:wordWrap/>
                    <w:overflowPunct/>
                    <w:topLinePunct w:val="0"/>
                    <w:bidi w:val="0"/>
                    <w:adjustRightInd w:val="0"/>
                    <w:snapToGrid w:val="0"/>
                    <w:spacing w:line="240" w:lineRule="auto"/>
                    <w:jc w:val="left"/>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以电、天然气为能源</w:t>
                  </w:r>
                </w:p>
              </w:tc>
              <w:tc>
                <w:tcPr>
                  <w:tcW w:w="1444" w:type="pct"/>
                  <w:noWrap w:val="0"/>
                  <w:vAlign w:val="center"/>
                </w:tcPr>
                <w:p>
                  <w:pPr>
                    <w:keepNext w:val="0"/>
                    <w:keepLines w:val="0"/>
                    <w:pageBreakBefore w:val="0"/>
                    <w:widowControl w:val="0"/>
                    <w:kinsoku/>
                    <w:wordWrap/>
                    <w:overflowPunct/>
                    <w:topLinePunct w:val="0"/>
                    <w:bidi w:val="0"/>
                    <w:adjustRightInd w:val="0"/>
                    <w:snapToGrid w:val="0"/>
                    <w:spacing w:line="240" w:lineRule="auto"/>
                    <w:jc w:val="left"/>
                    <w:textAlignment w:val="baseline"/>
                    <w:rPr>
                      <w:rFonts w:hint="eastAsia" w:ascii="Times New Roman" w:hAnsi="Times New Roman" w:eastAsia="宋体" w:cs="Times New Roman"/>
                      <w:bCs/>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本项目能源为</w:t>
                  </w:r>
                  <w:r>
                    <w:rPr>
                      <w:rFonts w:hint="eastAsia" w:eastAsia="宋体" w:cs="Times New Roman"/>
                      <w:bCs/>
                      <w:color w:val="000000" w:themeColor="text1"/>
                      <w:kern w:val="0"/>
                      <w:sz w:val="21"/>
                      <w:szCs w:val="21"/>
                      <w:lang w:val="en-US" w:eastAsia="zh-CN"/>
                      <w14:textFill>
                        <w14:solidFill>
                          <w14:schemeClr w14:val="tx1"/>
                        </w14:solidFill>
                      </w14:textFill>
                    </w:rPr>
                    <w:t>天然气</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2</w:t>
                  </w:r>
                </w:p>
              </w:tc>
              <w:tc>
                <w:tcPr>
                  <w:tcW w:w="603" w:type="pct"/>
                  <w:gridSpan w:val="2"/>
                  <w:noWrap w:val="0"/>
                  <w:vAlign w:val="center"/>
                </w:tcPr>
                <w:p>
                  <w:pPr>
                    <w:pStyle w:val="71"/>
                    <w:keepNext w:val="0"/>
                    <w:keepLines w:val="0"/>
                    <w:pageBreakBefore w:val="0"/>
                    <w:widowControl w:val="0"/>
                    <w:kinsoku/>
                    <w:wordWrap/>
                    <w:overflowPunct/>
                    <w:topLinePunct w:val="0"/>
                    <w:bidi w:val="0"/>
                    <w:adjustRightInd w:val="0"/>
                    <w:snapToGrid w:val="0"/>
                    <w:spacing w:line="240" w:lineRule="auto"/>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t>生产工艺及装</w:t>
                  </w:r>
                  <w:r>
                    <w:rPr>
                      <w:rFonts w:hint="default" w:ascii="Times New Roman" w:hAnsi="Times New Roman" w:eastAsia="宋体" w:cs="Times New Roman"/>
                      <w:bCs/>
                      <w:color w:val="000000" w:themeColor="text1"/>
                      <w:kern w:val="0"/>
                      <w:sz w:val="21"/>
                      <w:szCs w:val="21"/>
                      <w14:textFill>
                        <w14:solidFill>
                          <w14:schemeClr w14:val="tx1"/>
                        </w14:solidFill>
                      </w14:textFill>
                    </w:rPr>
                    <w:t>备水平</w:t>
                  </w:r>
                </w:p>
              </w:tc>
              <w:tc>
                <w:tcPr>
                  <w:tcW w:w="2221" w:type="pct"/>
                  <w:noWrap w:val="0"/>
                  <w:vAlign w:val="center"/>
                </w:tcPr>
                <w:p>
                  <w:pPr>
                    <w:pStyle w:val="71"/>
                    <w:keepNext w:val="0"/>
                    <w:keepLines w:val="0"/>
                    <w:pageBreakBefore w:val="0"/>
                    <w:widowControl w:val="0"/>
                    <w:kinsoku/>
                    <w:wordWrap/>
                    <w:overflowPunct/>
                    <w:topLinePunct w:val="0"/>
                    <w:bidi w:val="0"/>
                    <w:adjustRightInd w:val="0"/>
                    <w:snapToGrid w:val="0"/>
                    <w:spacing w:line="240" w:lineRule="auto"/>
                    <w:jc w:val="left"/>
                    <w:textAlignment w:val="baseline"/>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pPr>
                  <w:r>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t>1.属于《产业结构调整指导目录（2019年版）》鼓励类和允许类；2.符合相关行业产业政策；3.符合河南省相关政策要求；4.符合市级规划。</w:t>
                  </w:r>
                </w:p>
              </w:tc>
              <w:tc>
                <w:tcPr>
                  <w:tcW w:w="144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经查阅</w:t>
                  </w: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《产业结构调整指导目录（2019年版）》</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，本项目属于</w:t>
                  </w: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鼓励</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类项目，符合相关行业产业政策，符合河南省相关政策要求，符合当地规划要求。</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3</w:t>
                  </w:r>
                </w:p>
              </w:tc>
              <w:tc>
                <w:tcPr>
                  <w:tcW w:w="603" w:type="pct"/>
                  <w:gridSpan w:val="2"/>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污染治理技术</w:t>
                  </w:r>
                </w:p>
              </w:tc>
              <w:tc>
                <w:tcPr>
                  <w:tcW w:w="2221" w:type="pct"/>
                  <w:noWrap w:val="0"/>
                  <w:vAlign w:val="center"/>
                </w:tcPr>
                <w:p>
                  <w:pPr>
                    <w:keepNext w:val="0"/>
                    <w:keepLines w:val="0"/>
                    <w:pageBreakBefore w:val="0"/>
                    <w:widowControl/>
                    <w:suppressLineNumbers w:val="0"/>
                    <w:kinsoku/>
                    <w:wordWrap/>
                    <w:overflowPunct/>
                    <w:topLinePunct w:val="0"/>
                    <w:bidi w:val="0"/>
                    <w:adjustRightInd w:val="0"/>
                    <w:snapToGrid w:val="0"/>
                    <w:spacing w:line="240" w:lineRule="auto"/>
                    <w:jc w:val="left"/>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pPr>
                  <w:r>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t>2.燃气锅炉/炉窑：</w:t>
                  </w:r>
                </w:p>
                <w:p>
                  <w:pPr>
                    <w:keepNext w:val="0"/>
                    <w:keepLines w:val="0"/>
                    <w:pageBreakBefore w:val="0"/>
                    <w:widowControl/>
                    <w:suppressLineNumbers w:val="0"/>
                    <w:kinsoku/>
                    <w:wordWrap/>
                    <w:overflowPunct/>
                    <w:topLinePunct w:val="0"/>
                    <w:bidi w:val="0"/>
                    <w:adjustRightInd w:val="0"/>
                    <w:snapToGrid w:val="0"/>
                    <w:spacing w:line="240" w:lineRule="auto"/>
                    <w:jc w:val="left"/>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pPr>
                  <w:r>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t>（1）PM采用袋式除尘、静电除尘、湿电除尘等高效除尘技术（燃气锅炉在PM稳定达到排放限值情况下可不采用除尘工艺）；</w:t>
                  </w:r>
                </w:p>
                <w:p>
                  <w:pPr>
                    <w:keepNext w:val="0"/>
                    <w:keepLines w:val="0"/>
                    <w:pageBreakBefore w:val="0"/>
                    <w:widowControl/>
                    <w:suppressLineNumbers w:val="0"/>
                    <w:kinsoku/>
                    <w:wordWrap/>
                    <w:overflowPunct/>
                    <w:topLinePunct w:val="0"/>
                    <w:bidi w:val="0"/>
                    <w:adjustRightInd w:val="0"/>
                    <w:snapToGrid w:val="0"/>
                    <w:spacing w:line="240" w:lineRule="auto"/>
                    <w:jc w:val="left"/>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pPr>
                  <w:r>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t>（2）NOx采用低氮燃烧或SNCR/SCR等技术。</w:t>
                  </w:r>
                </w:p>
              </w:tc>
              <w:tc>
                <w:tcPr>
                  <w:tcW w:w="1444" w:type="pct"/>
                  <w:noWrap w:val="0"/>
                  <w:vAlign w:val="center"/>
                </w:tcPr>
                <w:p>
                  <w:pPr>
                    <w:keepNext w:val="0"/>
                    <w:keepLines w:val="0"/>
                    <w:pageBreakBefore w:val="0"/>
                    <w:widowControl w:val="0"/>
                    <w:kinsoku/>
                    <w:wordWrap/>
                    <w:overflowPunct/>
                    <w:topLinePunct w:val="0"/>
                    <w:bidi w:val="0"/>
                    <w:adjustRightInd w:val="0"/>
                    <w:snapToGrid w:val="0"/>
                    <w:spacing w:line="240" w:lineRule="auto"/>
                    <w:jc w:val="left"/>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本项目锅炉采用天然气加热，废气主要为加热过程中产生的颗粒物、二氧化硫、氮氧化物，</w:t>
                  </w: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颗粒物可稳定达标排放，因此本项目</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采用低氮燃烧器进行处理。</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vMerge w:val="restar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4</w:t>
                  </w:r>
                </w:p>
              </w:tc>
              <w:tc>
                <w:tcPr>
                  <w:tcW w:w="301" w:type="pct"/>
                  <w:vMerge w:val="restar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lang w:val="en-US" w:eastAsia="zh-CN"/>
                      <w14:textFill>
                        <w14:solidFill>
                          <w14:schemeClr w14:val="tx1"/>
                        </w14:solidFill>
                      </w14:textFill>
                    </w:rPr>
                  </w:pPr>
                  <w:r>
                    <w:rPr>
                      <w:rFonts w:hint="eastAsia" w:eastAsia="宋体" w:cs="Times New Roman"/>
                      <w:bCs/>
                      <w:color w:val="000000" w:themeColor="text1"/>
                      <w:kern w:val="0"/>
                      <w:sz w:val="21"/>
                      <w:szCs w:val="21"/>
                      <w:lang w:val="en-US" w:eastAsia="zh-CN"/>
                      <w14:textFill>
                        <w14:solidFill>
                          <w14:schemeClr w14:val="tx1"/>
                        </w14:solidFill>
                      </w14:textFill>
                    </w:rPr>
                    <w:t>排放限制</w:t>
                  </w:r>
                </w:p>
              </w:tc>
              <w:tc>
                <w:tcPr>
                  <w:tcW w:w="302"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eastAsia" w:eastAsia="宋体" w:cs="Times New Roman"/>
                      <w:bCs/>
                      <w:color w:val="000000" w:themeColor="text1"/>
                      <w:kern w:val="0"/>
                      <w:sz w:val="21"/>
                      <w:szCs w:val="21"/>
                      <w:lang w:val="en-US" w:eastAsia="zh-CN"/>
                      <w14:textFill>
                        <w14:solidFill>
                          <w14:schemeClr w14:val="tx1"/>
                        </w14:solidFill>
                      </w14:textFill>
                    </w:rPr>
                  </w:pPr>
                  <w:r>
                    <w:rPr>
                      <w:rFonts w:hint="eastAsia" w:eastAsia="宋体" w:cs="Times New Roman"/>
                      <w:bCs/>
                      <w:color w:val="000000" w:themeColor="text1"/>
                      <w:kern w:val="0"/>
                      <w:sz w:val="21"/>
                      <w:szCs w:val="21"/>
                      <w:lang w:val="en-US" w:eastAsia="zh-CN"/>
                      <w14:textFill>
                        <w14:solidFill>
                          <w14:schemeClr w14:val="tx1"/>
                        </w14:solidFill>
                      </w14:textFill>
                    </w:rPr>
                    <w:t>锅炉</w:t>
                  </w:r>
                </w:p>
              </w:tc>
              <w:tc>
                <w:tcPr>
                  <w:tcW w:w="2221" w:type="pct"/>
                  <w:noWrap w:val="0"/>
                  <w:vAlign w:val="center"/>
                </w:tcPr>
                <w:p>
                  <w:pPr>
                    <w:keepNext w:val="0"/>
                    <w:keepLines w:val="0"/>
                    <w:pageBreakBefore w:val="0"/>
                    <w:widowControl/>
                    <w:suppressLineNumbers w:val="0"/>
                    <w:kinsoku/>
                    <w:wordWrap/>
                    <w:overflowPunct/>
                    <w:topLinePunct w:val="0"/>
                    <w:bidi w:val="0"/>
                    <w:adjustRightInd w:val="0"/>
                    <w:snapToGrid w:val="0"/>
                    <w:spacing w:line="240" w:lineRule="auto"/>
                    <w:jc w:val="left"/>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PM、SO</w:t>
                  </w:r>
                  <w:r>
                    <w:rPr>
                      <w:rFonts w:hint="default"/>
                      <w:color w:val="000000" w:themeColor="text1"/>
                      <w:vertAlign w:val="subscript"/>
                      <w14:textFill>
                        <w14:solidFill>
                          <w14:schemeClr w14:val="tx1"/>
                        </w14:solidFill>
                      </w14:textFill>
                    </w:rPr>
                    <w:t>2</w:t>
                  </w:r>
                  <w:r>
                    <w:rPr>
                      <w:rFonts w:hint="default"/>
                      <w:color w:val="000000" w:themeColor="text1"/>
                      <w14:textFill>
                        <w14:solidFill>
                          <w14:schemeClr w14:val="tx1"/>
                        </w14:solidFill>
                      </w14:textFill>
                    </w:rPr>
                    <w:t>、NOx 排放浓度分别不高于：燃气：5、10</w:t>
                  </w:r>
                  <w:r>
                    <w:rPr>
                      <w:rFonts w:hint="eastAsia"/>
                      <w:color w:val="000000" w:themeColor="text1"/>
                      <w:lang w:eastAsia="zh-CN"/>
                      <w14:textFill>
                        <w14:solidFill>
                          <w14:schemeClr w14:val="tx1"/>
                        </w14:solidFill>
                      </w14:textFill>
                    </w:rPr>
                    <w:t>、</w:t>
                  </w:r>
                  <w:r>
                    <w:rPr>
                      <w:rFonts w:hint="default"/>
                      <w:color w:val="000000" w:themeColor="text1"/>
                      <w14:textFill>
                        <w14:solidFill>
                          <w14:schemeClr w14:val="tx1"/>
                        </w14:solidFill>
                      </w14:textFill>
                    </w:rPr>
                    <w:t>30mg/m</w:t>
                  </w:r>
                  <w:r>
                    <w:rPr>
                      <w:rFonts w:hint="default"/>
                      <w:color w:val="000000" w:themeColor="text1"/>
                      <w:vertAlign w:val="superscript"/>
                      <w14:textFill>
                        <w14:solidFill>
                          <w14:schemeClr w14:val="tx1"/>
                        </w14:solidFill>
                      </w14:textFill>
                    </w:rPr>
                    <w:t>3</w:t>
                  </w:r>
                </w:p>
                <w:p>
                  <w:pPr>
                    <w:keepNext w:val="0"/>
                    <w:keepLines w:val="0"/>
                    <w:pageBreakBefore w:val="0"/>
                    <w:widowControl/>
                    <w:suppressLineNumbers w:val="0"/>
                    <w:kinsoku/>
                    <w:wordWrap/>
                    <w:overflowPunct/>
                    <w:topLinePunct w:val="0"/>
                    <w:bidi w:val="0"/>
                    <w:adjustRightInd w:val="0"/>
                    <w:snapToGrid w:val="0"/>
                    <w:spacing w:line="240" w:lineRule="auto"/>
                    <w:jc w:val="left"/>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（基准含氧量：3.5%）</w:t>
                  </w:r>
                </w:p>
              </w:tc>
              <w:tc>
                <w:tcPr>
                  <w:tcW w:w="1444" w:type="pct"/>
                  <w:noWrap w:val="0"/>
                  <w:vAlign w:val="center"/>
                </w:tcPr>
                <w:p>
                  <w:pPr>
                    <w:pStyle w:val="34"/>
                    <w:keepNext w:val="0"/>
                    <w:keepLines w:val="0"/>
                    <w:pageBreakBefore w:val="0"/>
                    <w:widowControl w:val="0"/>
                    <w:kinsoku/>
                    <w:wordWrap/>
                    <w:overflowPunct/>
                    <w:topLinePunct w:val="0"/>
                    <w:autoSpaceDE/>
                    <w:autoSpaceDN/>
                    <w:bidi w:val="0"/>
                    <w:adjustRightInd w:val="0"/>
                    <w:snapToGrid w:val="0"/>
                    <w:spacing w:line="240" w:lineRule="auto"/>
                    <w:jc w:val="both"/>
                    <w:textAlignment w:val="baseline"/>
                    <w:rPr>
                      <w:rFonts w:hint="default" w:ascii="Times New Roman" w:hAnsi="Times New Roman" w:eastAsia="宋体" w:cs="Times New Roman"/>
                      <w:bCs/>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本项目锅炉采用天然气加热，经</w:t>
                  </w:r>
                  <w:r>
                    <w:rPr>
                      <w:rFonts w:hint="eastAsia" w:eastAsia="宋体" w:cs="Times New Roman"/>
                      <w:color w:val="000000" w:themeColor="text1"/>
                      <w:spacing w:val="0"/>
                      <w:kern w:val="0"/>
                      <w:sz w:val="21"/>
                      <w:szCs w:val="21"/>
                      <w:vertAlign w:val="baseline"/>
                      <w:lang w:val="en-US" w:eastAsia="zh-CN" w:bidi="ar-SA"/>
                      <w14:textFill>
                        <w14:solidFill>
                          <w14:schemeClr w14:val="tx1"/>
                        </w14:solidFill>
                      </w14:textFill>
                    </w:rPr>
                    <w:t>低氮燃烧器</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处理后污染物执行河南省《锅炉大气污染物排放标准》（DB41/2089-2021）表1：颗粒物5mg/m</w:t>
                  </w:r>
                  <w:r>
                    <w:rPr>
                      <w:rFonts w:hint="eastAsia"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、二氧化硫10mg/m</w:t>
                  </w:r>
                  <w:r>
                    <w:rPr>
                      <w:rFonts w:hint="eastAsia"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、氮氧化物30mg/m</w:t>
                  </w:r>
                  <w:r>
                    <w:rPr>
                      <w:rFonts w:hint="eastAsia"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99" w:type="pct"/>
                  <w:vMerge w:val="continue"/>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p>
              </w:tc>
              <w:tc>
                <w:tcPr>
                  <w:tcW w:w="301" w:type="pct"/>
                  <w:vMerge w:val="continue"/>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eastAsia" w:eastAsia="宋体" w:cs="Times New Roman"/>
                      <w:bCs/>
                      <w:color w:val="000000" w:themeColor="text1"/>
                      <w:kern w:val="0"/>
                      <w:sz w:val="21"/>
                      <w:szCs w:val="21"/>
                      <w:lang w:val="en-US" w:eastAsia="zh-CN"/>
                      <w14:textFill>
                        <w14:solidFill>
                          <w14:schemeClr w14:val="tx1"/>
                        </w14:solidFill>
                      </w14:textFill>
                    </w:rPr>
                  </w:pPr>
                </w:p>
              </w:tc>
              <w:tc>
                <w:tcPr>
                  <w:tcW w:w="302"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eastAsia" w:eastAsia="宋体" w:cs="Times New Roman"/>
                      <w:bCs/>
                      <w:color w:val="000000" w:themeColor="text1"/>
                      <w:kern w:val="0"/>
                      <w:sz w:val="21"/>
                      <w:szCs w:val="21"/>
                      <w:lang w:val="en-US" w:eastAsia="zh-CN"/>
                      <w14:textFill>
                        <w14:solidFill>
                          <w14:schemeClr w14:val="tx1"/>
                        </w14:solidFill>
                      </w14:textFill>
                    </w:rPr>
                  </w:pPr>
                  <w:r>
                    <w:rPr>
                      <w:rFonts w:hint="eastAsia" w:eastAsia="宋体" w:cs="Times New Roman"/>
                      <w:bCs/>
                      <w:color w:val="000000" w:themeColor="text1"/>
                      <w:kern w:val="0"/>
                      <w:sz w:val="21"/>
                      <w:szCs w:val="21"/>
                      <w:lang w:val="en-US" w:eastAsia="zh-CN"/>
                      <w14:textFill>
                        <w14:solidFill>
                          <w14:schemeClr w14:val="tx1"/>
                        </w14:solidFill>
                      </w14:textFill>
                    </w:rPr>
                    <w:t>其他工序</w:t>
                  </w:r>
                </w:p>
              </w:tc>
              <w:tc>
                <w:tcPr>
                  <w:tcW w:w="2221" w:type="pct"/>
                  <w:noWrap w:val="0"/>
                  <w:vAlign w:val="center"/>
                </w:tcPr>
                <w:p>
                  <w:pPr>
                    <w:pStyle w:val="2"/>
                    <w:keepNext w:val="0"/>
                    <w:keepLines w:val="0"/>
                    <w:pageBreakBefore w:val="0"/>
                    <w:kinsoku/>
                    <w:wordWrap/>
                    <w:overflowPunct/>
                    <w:topLinePunct w:val="0"/>
                    <w:bidi w:val="0"/>
                    <w:adjustRightInd w:val="0"/>
                    <w:snapToGrid w:val="0"/>
                    <w:spacing w:line="240" w:lineRule="auto"/>
                    <w:ind w:left="0" w:leftChars="0" w:firstLine="0" w:firstLineChars="0"/>
                    <w:rPr>
                      <w:rFonts w:hint="default"/>
                      <w:color w:val="000000" w:themeColor="text1"/>
                      <w14:textFill>
                        <w14:solidFill>
                          <w14:schemeClr w14:val="tx1"/>
                        </w14:solidFill>
                      </w14:textFill>
                    </w:rPr>
                  </w:pPr>
                  <w:r>
                    <w:rPr>
                      <w:rFonts w:hint="default"/>
                      <w:color w:val="000000" w:themeColor="text1"/>
                      <w14:textFill>
                        <w14:solidFill>
                          <w14:schemeClr w14:val="tx1"/>
                        </w14:solidFill>
                      </w14:textFill>
                    </w:rPr>
                    <w:t>PM排放浓度不高于10mg/m</w:t>
                  </w:r>
                  <w:r>
                    <w:rPr>
                      <w:rFonts w:hint="default"/>
                      <w:color w:val="000000" w:themeColor="text1"/>
                      <w:vertAlign w:val="superscript"/>
                      <w14:textFill>
                        <w14:solidFill>
                          <w14:schemeClr w14:val="tx1"/>
                        </w14:solidFill>
                      </w14:textFill>
                    </w:rPr>
                    <w:t>3</w:t>
                  </w:r>
                </w:p>
              </w:tc>
              <w:tc>
                <w:tcPr>
                  <w:tcW w:w="1444" w:type="pct"/>
                  <w:noWrap w:val="0"/>
                  <w:vAlign w:val="center"/>
                </w:tcPr>
                <w:p>
                  <w:pPr>
                    <w:pStyle w:val="34"/>
                    <w:keepNext w:val="0"/>
                    <w:keepLines w:val="0"/>
                    <w:pageBreakBefore w:val="0"/>
                    <w:widowControl w:val="0"/>
                    <w:kinsoku/>
                    <w:wordWrap/>
                    <w:overflowPunct/>
                    <w:topLinePunct w:val="0"/>
                    <w:autoSpaceDE/>
                    <w:autoSpaceDN/>
                    <w:bidi w:val="0"/>
                    <w:adjustRightInd w:val="0"/>
                    <w:snapToGrid w:val="0"/>
                    <w:spacing w:line="240" w:lineRule="auto"/>
                    <w:textAlignment w:val="baseline"/>
                    <w:rPr>
                      <w:rFonts w:hint="default" w:ascii="Times New Roman" w:hAnsi="Times New Roman" w:eastAsia="宋体" w:cs="Times New Roman"/>
                      <w:bCs/>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本项目除锅炉废气外，产尘设备主要为喷雾干燥废气，经旋风+布袋除尘器+</w:t>
                  </w:r>
                  <w:r>
                    <w:rPr>
                      <w:rFonts w:hint="eastAsia" w:eastAsia="宋体" w:cs="Times New Roman"/>
                      <w:color w:val="000000" w:themeColor="text1"/>
                      <w:spacing w:val="0"/>
                      <w:kern w:val="0"/>
                      <w:sz w:val="21"/>
                      <w:szCs w:val="21"/>
                      <w:u w:val="none"/>
                      <w:vertAlign w:val="baseline"/>
                      <w:lang w:val="en-US" w:eastAsia="zh-CN" w:bidi="ar-SA"/>
                      <w14:textFill>
                        <w14:solidFill>
                          <w14:schemeClr w14:val="tx1"/>
                        </w14:solidFill>
                      </w14:textFill>
                    </w:rPr>
                    <w:t>20</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m高排气筒处理后，PM排放浓度不高于10mg/m</w:t>
                  </w:r>
                  <w:r>
                    <w:rPr>
                      <w:rFonts w:hint="eastAsia" w:ascii="Times New Roman" w:hAnsi="Times New Roman" w:eastAsia="宋体" w:cs="Times New Roman"/>
                      <w:color w:val="000000" w:themeColor="text1"/>
                      <w:spacing w:val="0"/>
                      <w:kern w:val="0"/>
                      <w:sz w:val="21"/>
                      <w:szCs w:val="21"/>
                      <w:u w:val="none"/>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eastAsia" w:ascii="Times New Roman" w:hAnsi="Times New Roman" w:eastAsia="宋体" w:cs="Times New Roman"/>
                      <w:bCs/>
                      <w:color w:val="000000" w:themeColor="text1"/>
                      <w:kern w:val="0"/>
                      <w:sz w:val="21"/>
                      <w:szCs w:val="21"/>
                      <w:lang w:val="en-US" w:eastAsia="zh-CN"/>
                      <w14:textFill>
                        <w14:solidFill>
                          <w14:schemeClr w14:val="tx1"/>
                        </w14:solidFill>
                      </w14:textFill>
                    </w:rPr>
                  </w:pPr>
                  <w:r>
                    <w:rPr>
                      <w:rFonts w:hint="eastAsia" w:cs="Times New Roman"/>
                      <w:bCs/>
                      <w:color w:val="000000" w:themeColor="text1"/>
                      <w:kern w:val="0"/>
                      <w:sz w:val="21"/>
                      <w:szCs w:val="21"/>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299"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eastAsia" w:ascii="Times New Roman" w:hAnsi="Times New Roman" w:eastAsia="宋体" w:cs="Times New Roman"/>
                      <w:bCs/>
                      <w:color w:val="000000" w:themeColor="text1"/>
                      <w:kern w:val="0"/>
                      <w:sz w:val="21"/>
                      <w:szCs w:val="21"/>
                      <w:lang w:eastAsia="zh-CN"/>
                      <w14:textFill>
                        <w14:solidFill>
                          <w14:schemeClr w14:val="tx1"/>
                        </w14:solidFill>
                      </w14:textFill>
                    </w:rPr>
                  </w:pPr>
                  <w:r>
                    <w:rPr>
                      <w:rFonts w:hint="eastAsia" w:eastAsia="宋体" w:cs="Times New Roman"/>
                      <w:bCs/>
                      <w:color w:val="000000" w:themeColor="text1"/>
                      <w:kern w:val="0"/>
                      <w:sz w:val="21"/>
                      <w:szCs w:val="21"/>
                      <w:lang w:val="en-US" w:eastAsia="zh-CN"/>
                      <w14:textFill>
                        <w14:solidFill>
                          <w14:schemeClr w14:val="tx1"/>
                        </w14:solidFill>
                      </w14:textFill>
                    </w:rPr>
                    <w:t>5</w:t>
                  </w:r>
                </w:p>
              </w:tc>
              <w:tc>
                <w:tcPr>
                  <w:tcW w:w="603" w:type="pct"/>
                  <w:gridSpan w:val="2"/>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default" w:ascii="Times New Roman" w:hAnsi="Times New Roman" w:eastAsia="宋体" w:cs="Times New Roman"/>
                      <w:bCs/>
                      <w:color w:val="000000" w:themeColor="text1"/>
                      <w:kern w:val="0"/>
                      <w:sz w:val="21"/>
                      <w:szCs w:val="21"/>
                      <w14:textFill>
                        <w14:solidFill>
                          <w14:schemeClr w14:val="tx1"/>
                        </w14:solidFill>
                      </w14:textFill>
                    </w:rPr>
                    <w:t>监测监控水平</w:t>
                  </w:r>
                </w:p>
              </w:tc>
              <w:tc>
                <w:tcPr>
                  <w:tcW w:w="2221" w:type="pct"/>
                  <w:noWrap w:val="0"/>
                  <w:vAlign w:val="center"/>
                </w:tcPr>
                <w:p>
                  <w:pPr>
                    <w:keepNext w:val="0"/>
                    <w:keepLines w:val="0"/>
                    <w:pageBreakBefore w:val="0"/>
                    <w:widowControl/>
                    <w:suppressLineNumbers w:val="0"/>
                    <w:kinsoku/>
                    <w:wordWrap/>
                    <w:overflowPunct/>
                    <w:topLinePunct w:val="0"/>
                    <w:bidi w:val="0"/>
                    <w:adjustRightInd w:val="0"/>
                    <w:snapToGrid w:val="0"/>
                    <w:spacing w:line="240" w:lineRule="auto"/>
                    <w:jc w:val="both"/>
                    <w:rPr>
                      <w:rFonts w:hint="default" w:ascii="Times New Roman" w:hAnsi="Times New Roman" w:eastAsia="宋体" w:cs="Times New Roman"/>
                      <w:bCs/>
                      <w:color w:val="000000" w:themeColor="text1"/>
                      <w:kern w:val="0"/>
                      <w:sz w:val="21"/>
                      <w:szCs w:val="21"/>
                      <w:lang w:val="en-US"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重点排污企业主要排放口安装CEMS，记录生产设施运行情况，数据保存一年以上。</w:t>
                  </w:r>
                </w:p>
              </w:tc>
              <w:tc>
                <w:tcPr>
                  <w:tcW w:w="1444" w:type="pct"/>
                  <w:noWrap w:val="0"/>
                  <w:vAlign w:val="center"/>
                </w:tcPr>
                <w:p>
                  <w:pPr>
                    <w:keepNext w:val="0"/>
                    <w:keepLines w:val="0"/>
                    <w:pageBreakBefore w:val="0"/>
                    <w:widowControl w:val="0"/>
                    <w:kinsoku/>
                    <w:wordWrap/>
                    <w:overflowPunct/>
                    <w:topLinePunct w:val="0"/>
                    <w:bidi w:val="0"/>
                    <w:adjustRightInd w:val="0"/>
                    <w:snapToGrid w:val="0"/>
                    <w:spacing w:line="240" w:lineRule="auto"/>
                    <w:jc w:val="left"/>
                    <w:textAlignment w:val="baseline"/>
                    <w:rPr>
                      <w:rFonts w:hint="default" w:ascii="Times New Roman" w:hAnsi="Times New Roman" w:eastAsia="宋体" w:cs="Times New Roman"/>
                      <w:bCs/>
                      <w:color w:val="000000" w:themeColor="text1"/>
                      <w:kern w:val="0"/>
                      <w:sz w:val="21"/>
                      <w:szCs w:val="21"/>
                      <w14:textFill>
                        <w14:solidFill>
                          <w14:schemeClr w14:val="tx1"/>
                        </w14:solidFill>
                      </w14:textFill>
                    </w:rPr>
                  </w:pP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根据</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《排污许可证申请与核发技术规范 锅炉》（HJ953</w:t>
                  </w: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2018</w:t>
                  </w: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）本项目建设1台2t/h燃气锅炉不属于主要排放口。</w:t>
                  </w:r>
                </w:p>
              </w:tc>
              <w:tc>
                <w:tcPr>
                  <w:tcW w:w="430" w:type="pct"/>
                  <w:noWrap w:val="0"/>
                  <w:vAlign w:val="center"/>
                </w:tcPr>
                <w:p>
                  <w:pPr>
                    <w:keepNext w:val="0"/>
                    <w:keepLines w:val="0"/>
                    <w:pageBreakBefore w:val="0"/>
                    <w:widowControl w:val="0"/>
                    <w:kinsoku/>
                    <w:wordWrap/>
                    <w:overflowPunct/>
                    <w:topLinePunct w:val="0"/>
                    <w:bidi w:val="0"/>
                    <w:adjustRightInd w:val="0"/>
                    <w:snapToGrid w:val="0"/>
                    <w:spacing w:line="240" w:lineRule="auto"/>
                    <w:jc w:val="center"/>
                    <w:textAlignment w:val="baseline"/>
                    <w:rPr>
                      <w:rFonts w:hint="default" w:ascii="Times New Roman" w:hAnsi="Times New Roman" w:eastAsia="宋体" w:cs="Times New Roman"/>
                      <w:bCs/>
                      <w:color w:val="000000" w:themeColor="text1"/>
                      <w:kern w:val="0"/>
                      <w:sz w:val="21"/>
                      <w:szCs w:val="21"/>
                      <w:lang w:val="en-US" w:eastAsia="zh-CN"/>
                      <w14:textFill>
                        <w14:solidFill>
                          <w14:schemeClr w14:val="tx1"/>
                        </w14:solidFill>
                      </w14:textFill>
                    </w:rPr>
                  </w:pPr>
                  <w:r>
                    <w:rPr>
                      <w:rFonts w:hint="eastAsia" w:cs="Times New Roman"/>
                      <w:bCs/>
                      <w:color w:val="000000" w:themeColor="text1"/>
                      <w:kern w:val="0"/>
                      <w:sz w:val="21"/>
                      <w:szCs w:val="21"/>
                      <w:lang w:val="en-US" w:eastAsia="zh-CN"/>
                      <w14:textFill>
                        <w14:solidFill>
                          <w14:schemeClr w14:val="tx1"/>
                        </w14:solidFill>
                      </w14:textFill>
                    </w:rPr>
                    <w:t>不涉及</w:t>
                  </w:r>
                </w:p>
              </w:tc>
            </w:tr>
          </w:tbl>
          <w:p>
            <w:pPr>
              <w:keepNext w:val="0"/>
              <w:keepLines w:val="0"/>
              <w:pageBreakBefore w:val="0"/>
              <w:widowControl w:val="0"/>
              <w:kinsoku/>
              <w:wordWrap/>
              <w:overflowPunct/>
              <w:topLinePunct w:val="0"/>
              <w:autoSpaceDE w:val="0"/>
              <w:autoSpaceDN w:val="0"/>
              <w:bidi w:val="0"/>
              <w:adjustRightInd w:val="0"/>
              <w:snapToGrid w:val="0"/>
              <w:spacing w:line="460" w:lineRule="exact"/>
              <w:ind w:firstLine="480" w:firstLineChars="200"/>
              <w:jc w:val="both"/>
              <w:textAlignment w:val="auto"/>
              <w:rPr>
                <w:color w:val="000000" w:themeColor="text1"/>
                <w:vertAlign w:val="baseline"/>
                <w14:textFill>
                  <w14:solidFill>
                    <w14:schemeClr w14:val="tx1"/>
                  </w14:solidFill>
                </w14:textFill>
              </w:rPr>
            </w:pPr>
            <w:r>
              <w:rPr>
                <w:rFonts w:hint="eastAsia" w:ascii="Times New Roman" w:hAnsi="Times New Roman" w:cs="Times New Roman"/>
                <w:color w:val="000000" w:themeColor="text1"/>
                <w:kern w:val="0"/>
                <w:sz w:val="24"/>
                <w:szCs w:val="24"/>
                <w:lang w:eastAsia="zh-CN"/>
                <w14:textFill>
                  <w14:solidFill>
                    <w14:schemeClr w14:val="tx1"/>
                  </w14:solidFill>
                </w14:textFill>
              </w:rPr>
              <w:t>由上表可知，本项目符合</w:t>
            </w:r>
            <w:r>
              <w:rPr>
                <w:rFonts w:hint="eastAsia"/>
                <w:color w:val="000000" w:themeColor="text1"/>
                <w:sz w:val="24"/>
                <w14:textFill>
                  <w14:solidFill>
                    <w14:schemeClr w14:val="tx1"/>
                  </w14:solidFill>
                </w14:textFill>
              </w:rPr>
              <w:t>《河南省重污染天气通用行业应急减排措施制定技术指南》（2021 年修订版）涉锅炉/炉窑企业绩效</w:t>
            </w:r>
            <w:r>
              <w:rPr>
                <w:rFonts w:hint="eastAsia" w:cs="Times New Roman"/>
                <w:color w:val="000000" w:themeColor="text1"/>
                <w:kern w:val="0"/>
                <w:sz w:val="24"/>
                <w:szCs w:val="24"/>
                <w:lang w:val="en-US" w:eastAsia="zh-CN"/>
                <w14:textFill>
                  <w14:solidFill>
                    <w14:schemeClr w14:val="tx1"/>
                  </w14:solidFill>
                </w14:textFill>
              </w:rPr>
              <w:t>A</w:t>
            </w:r>
            <w:r>
              <w:rPr>
                <w:rFonts w:hint="eastAsia" w:ascii="Times New Roman" w:hAnsi="Times New Roman" w:cs="Times New Roman"/>
                <w:color w:val="000000" w:themeColor="text1"/>
                <w:kern w:val="0"/>
                <w:sz w:val="24"/>
                <w:szCs w:val="24"/>
                <w:lang w:eastAsia="zh-CN"/>
                <w14:textFill>
                  <w14:solidFill>
                    <w14:schemeClr w14:val="tx1"/>
                  </w14:solidFill>
                </w14:textFill>
              </w:rPr>
              <w:t>分级指标中相关内容。</w:t>
            </w:r>
          </w:p>
        </w:tc>
      </w:tr>
    </w:tbl>
    <w:p>
      <w:pPr>
        <w:pStyle w:val="17"/>
        <w:rPr>
          <w:color w:val="000000" w:themeColor="text1"/>
          <w14:textFill>
            <w14:solidFill>
              <w14:schemeClr w14:val="tx1"/>
            </w14:solidFill>
          </w14:textFill>
        </w:rPr>
      </w:pPr>
    </w:p>
    <w:p>
      <w:pPr>
        <w:pStyle w:val="17"/>
        <w:rPr>
          <w:color w:val="000000" w:themeColor="text1"/>
          <w14:textFill>
            <w14:solidFill>
              <w14:schemeClr w14:val="tx1"/>
            </w14:solidFill>
          </w14:textFill>
        </w:rPr>
        <w:sectPr>
          <w:pgSz w:w="16838" w:h="11906" w:orient="landscape"/>
          <w:pgMar w:top="1531" w:right="1701" w:bottom="1531" w:left="1701" w:header="851" w:footer="1077" w:gutter="0"/>
          <w:pgBorders>
            <w:top w:val="none" w:sz="0" w:space="0"/>
            <w:left w:val="none" w:sz="0" w:space="0"/>
            <w:bottom w:val="none" w:sz="0" w:space="0"/>
            <w:right w:val="none" w:sz="0" w:space="0"/>
          </w:pgBorders>
          <w:cols w:space="0" w:num="1"/>
          <w:rtlGutter w:val="0"/>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3"/>
        <w:gridCol w:w="85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03" w:type="dxa"/>
          </w:tcPr>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pStyle w:val="2"/>
              <w:jc w:val="center"/>
              <w:rPr>
                <w:color w:val="000000" w:themeColor="text1"/>
                <w14:textFill>
                  <w14:solidFill>
                    <w14:schemeClr w14:val="tx1"/>
                  </w14:solidFill>
                </w14:textFill>
              </w:rPr>
            </w:pPr>
          </w:p>
          <w:p>
            <w:pPr>
              <w:jc w:val="center"/>
              <w:rPr>
                <w:color w:val="000000" w:themeColor="text1"/>
                <w14:textFill>
                  <w14:solidFill>
                    <w14:schemeClr w14:val="tx1"/>
                  </w14:solidFill>
                </w14:textFill>
              </w:rPr>
            </w:pPr>
          </w:p>
          <w:p>
            <w:pPr>
              <w:pStyle w:val="2"/>
              <w:jc w:val="center"/>
              <w:rPr>
                <w:color w:val="000000" w:themeColor="text1"/>
                <w14:textFill>
                  <w14:solidFill>
                    <w14:schemeClr w14:val="tx1"/>
                  </w14:solidFill>
                </w14:textFill>
              </w:rPr>
            </w:pPr>
          </w:p>
          <w:p>
            <w:pPr>
              <w:jc w:val="center"/>
              <w:rPr>
                <w:color w:val="000000" w:themeColor="text1"/>
                <w14:textFill>
                  <w14:solidFill>
                    <w14:schemeClr w14:val="tx1"/>
                  </w14:solidFill>
                </w14:textFill>
              </w:rPr>
            </w:pPr>
          </w:p>
          <w:p>
            <w:pPr>
              <w:pStyle w:val="2"/>
              <w:jc w:val="center"/>
              <w:rPr>
                <w:color w:val="000000" w:themeColor="text1"/>
                <w14:textFill>
                  <w14:solidFill>
                    <w14:schemeClr w14:val="tx1"/>
                  </w14:solidFill>
                </w14:textFill>
              </w:rPr>
            </w:pPr>
          </w:p>
          <w:p>
            <w:pPr>
              <w:jc w:val="center"/>
              <w:rPr>
                <w:color w:val="000000" w:themeColor="text1"/>
                <w14:textFill>
                  <w14:solidFill>
                    <w14:schemeClr w14:val="tx1"/>
                  </w14:solidFill>
                </w14:textFill>
              </w:rPr>
            </w:pPr>
          </w:p>
          <w:p>
            <w:pPr>
              <w:pStyle w:val="2"/>
              <w:jc w:val="center"/>
              <w:rPr>
                <w:color w:val="000000" w:themeColor="text1"/>
                <w14:textFill>
                  <w14:solidFill>
                    <w14:schemeClr w14:val="tx1"/>
                  </w14:solidFill>
                </w14:textFill>
              </w:rPr>
            </w:pPr>
          </w:p>
          <w:p>
            <w:pPr>
              <w:pStyle w:val="2"/>
              <w:ind w:left="0" w:leftChars="0" w:firstLine="0" w:firstLineChars="0"/>
              <w:jc w:val="center"/>
              <w:rPr>
                <w:color w:val="000000" w:themeColor="text1"/>
                <w14:textFill>
                  <w14:solidFill>
                    <w14:schemeClr w14:val="tx1"/>
                  </w14:solidFill>
                </w14:textFill>
              </w:rPr>
            </w:pPr>
          </w:p>
          <w:p>
            <w:pPr>
              <w:pStyle w:val="4"/>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val="0"/>
              <w:autoSpaceDN w:val="0"/>
              <w:bidi w:val="0"/>
              <w:adjustRightInd w:val="0"/>
              <w:snapToGrid w:val="0"/>
              <w:ind w:left="0" w:right="0" w:firstLine="0" w:firstLineChars="0"/>
              <w:jc w:val="center"/>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其他符合性分析</w:t>
            </w:r>
          </w:p>
          <w:p>
            <w:pPr>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ind w:left="0" w:right="0" w:firstLine="0" w:firstLineChars="0"/>
              <w:jc w:val="center"/>
              <w:textAlignment w:val="auto"/>
              <w:rPr>
                <w:color w:val="000000" w:themeColor="text1"/>
                <w14:textFill>
                  <w14:solidFill>
                    <w14:schemeClr w14:val="tx1"/>
                  </w14:solidFill>
                </w14:textFill>
              </w:rPr>
            </w:pPr>
          </w:p>
          <w:p>
            <w:pPr>
              <w:pStyle w:val="4"/>
              <w:ind w:left="0" w:leftChars="0" w:firstLine="0" w:firstLineChars="0"/>
              <w:jc w:val="center"/>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2"/>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adjustRightInd/>
              <w:spacing w:before="0" w:after="0" w:line="240" w:lineRule="auto"/>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spacing w:line="240" w:lineRule="auto"/>
              <w:jc w:val="center"/>
              <w:textAlignment w:val="auto"/>
              <w:rPr>
                <w:color w:val="000000" w:themeColor="text1"/>
                <w14:textFill>
                  <w14:solidFill>
                    <w14:schemeClr w14:val="tx1"/>
                  </w14:solidFill>
                </w14:textFill>
              </w:rPr>
            </w:pPr>
          </w:p>
          <w:p>
            <w:pPr>
              <w:pStyle w:val="17"/>
              <w:rPr>
                <w:color w:val="000000" w:themeColor="text1"/>
                <w:vertAlign w:val="baseline"/>
                <w14:textFill>
                  <w14:solidFill>
                    <w14:schemeClr w14:val="tx1"/>
                  </w14:solidFill>
                </w14:textFill>
              </w:rPr>
            </w:pPr>
          </w:p>
        </w:tc>
        <w:tc>
          <w:tcPr>
            <w:tcW w:w="8557" w:type="dxa"/>
          </w:tcPr>
          <w:p>
            <w:pPr>
              <w:keepNext w:val="0"/>
              <w:keepLines w:val="0"/>
              <w:pageBreakBefore w:val="0"/>
              <w:widowControl w:val="0"/>
              <w:kinsoku/>
              <w:wordWrap/>
              <w:overflowPunct/>
              <w:topLinePunct w:val="0"/>
              <w:autoSpaceDE w:val="0"/>
              <w:autoSpaceDN w:val="0"/>
              <w:bidi w:val="0"/>
              <w:adjustRightInd w:val="0"/>
              <w:snapToGrid w:val="0"/>
              <w:spacing w:line="460" w:lineRule="exact"/>
              <w:jc w:val="both"/>
              <w:textAlignment w:val="auto"/>
              <w:rPr>
                <w:rFonts w:hint="default" w:ascii="Times New Roman" w:hAnsi="Times New Roman" w:cs="Times New Roman"/>
                <w:b/>
                <w:bCs/>
                <w:color w:val="000000" w:themeColor="text1"/>
                <w:kern w:val="0"/>
                <w:sz w:val="24"/>
                <w:szCs w:val="24"/>
                <w:u w:val="none"/>
                <w:lang w:val="en-US" w:eastAsia="zh-CN"/>
                <w14:textFill>
                  <w14:solidFill>
                    <w14:schemeClr w14:val="tx1"/>
                  </w14:solidFill>
                </w14:textFill>
              </w:rPr>
            </w:pPr>
            <w:r>
              <w:rPr>
                <w:rFonts w:hint="eastAsia" w:cs="Times New Roman"/>
                <w:b/>
                <w:bCs/>
                <w:color w:val="000000" w:themeColor="text1"/>
                <w:kern w:val="0"/>
                <w:sz w:val="24"/>
                <w:szCs w:val="24"/>
                <w:u w:val="none"/>
                <w:lang w:val="en-US" w:eastAsia="zh-CN"/>
                <w14:textFill>
                  <w14:solidFill>
                    <w14:schemeClr w14:val="tx1"/>
                  </w14:solidFill>
                </w14:textFill>
              </w:rPr>
              <w:t>6</w:t>
            </w:r>
            <w:r>
              <w:rPr>
                <w:rFonts w:hint="eastAsia" w:ascii="Times New Roman" w:hAnsi="Times New Roman" w:cs="Times New Roman"/>
                <w:b/>
                <w:bCs/>
                <w:color w:val="000000" w:themeColor="text1"/>
                <w:kern w:val="0"/>
                <w:sz w:val="24"/>
                <w:szCs w:val="24"/>
                <w:u w:val="none"/>
                <w:lang w:val="en-US" w:eastAsia="zh-CN"/>
                <w14:textFill>
                  <w14:solidFill>
                    <w14:schemeClr w14:val="tx1"/>
                  </w14:solidFill>
                </w14:textFill>
              </w:rPr>
              <w:t>、与《食品安全国家标准 食品生产通用卫生规范》（GB14881-2013）相符性分析</w:t>
            </w:r>
          </w:p>
          <w:p>
            <w:pPr>
              <w:pStyle w:val="53"/>
              <w:tabs>
                <w:tab w:val="left" w:pos="895"/>
                <w:tab w:val="clear" w:pos="1322"/>
              </w:tabs>
              <w:spacing w:line="360" w:lineRule="auto"/>
              <w:rPr>
                <w:rFonts w:hint="default" w:ascii="宋体" w:hAnsi="宋体" w:eastAsia="宋体" w:cs="宋体"/>
                <w:b/>
                <w:bCs w:val="0"/>
                <w:color w:val="000000" w:themeColor="text1"/>
                <w:sz w:val="21"/>
                <w:szCs w:val="21"/>
                <w:lang w:val="en-US" w:eastAsia="zh-CN"/>
                <w14:textFill>
                  <w14:solidFill>
                    <w14:schemeClr w14:val="tx1"/>
                  </w14:solidFill>
                </w14:textFill>
              </w:rPr>
            </w:pPr>
            <w:r>
              <w:rPr>
                <w:rFonts w:hint="eastAsia" w:ascii="宋体" w:hAnsi="宋体" w:eastAsia="宋体" w:cs="宋体"/>
                <w:b/>
                <w:bCs w:val="0"/>
                <w:color w:val="000000" w:themeColor="text1"/>
                <w:sz w:val="21"/>
                <w:szCs w:val="21"/>
                <w:lang w:val="en-US" w:eastAsia="zh-CN"/>
                <w14:textFill>
                  <w14:solidFill>
                    <w14:schemeClr w14:val="tx1"/>
                  </w14:solidFill>
                </w14:textFill>
              </w:rPr>
              <w:t>表1-6  项目与（GB14881-2013）相符性分析一览表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1"/>
              <w:gridCol w:w="5042"/>
              <w:gridCol w:w="2203"/>
              <w:gridCol w:w="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67"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《食品安全国家标准</w:t>
                  </w:r>
                  <w:r>
                    <w:rPr>
                      <w:rFonts w:hint="eastAsia" w:cs="Times New Roman"/>
                      <w:b/>
                      <w:bCs/>
                      <w:color w:val="000000" w:themeColor="text1"/>
                      <w:spacing w:val="0"/>
                      <w:kern w:val="0"/>
                      <w:sz w:val="21"/>
                      <w:szCs w:val="21"/>
                      <w:u w:val="none"/>
                      <w:vertAlign w:val="baseline"/>
                      <w:lang w:val="en-US" w:eastAsia="zh-CN"/>
                      <w14:textFill>
                        <w14:solidFill>
                          <w14:schemeClr w14:val="tx1"/>
                        </w14:solidFill>
                      </w14:textFill>
                    </w:rPr>
                    <w:t xml:space="preserve"> </w:t>
                  </w:r>
                  <w:r>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食品生产通用卫生规范》（GB14881-2013）</w:t>
                  </w:r>
                </w:p>
              </w:tc>
              <w:tc>
                <w:tcPr>
                  <w:tcW w:w="13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本项目情况</w:t>
                  </w:r>
                </w:p>
              </w:tc>
              <w:tc>
                <w:tcPr>
                  <w:tcW w:w="4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none"/>
                      <w:vertAlign w:val="baseline"/>
                      <w:lang w:val="en-US" w:eastAsia="zh-CN"/>
                      <w14:textFill>
                        <w14:solidFill>
                          <w14:schemeClr w14:val="tx1"/>
                        </w14:solidFill>
                      </w14:textFill>
                    </w:rPr>
                    <w:t>相符性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none"/>
                      <w:vertAlign w:val="baseline"/>
                      <w:lang w:val="en-US" w:eastAsia="zh-CN"/>
                      <w14:textFill>
                        <w14:solidFill>
                          <w14:schemeClr w14:val="tx1"/>
                        </w14:solidFill>
                      </w14:textFill>
                    </w:rPr>
                    <w:t>选址及厂区环境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选址</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厂区不应选择对食品有显著污染的区域。如某地对食品安全和食品宜食用性存在明显的不利影响，且无法通过采取措施加以改善，应避免在该地址建厂。</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本项目租赁河南吉尔木食品有限公司食用菌车间部分区域生产，河南吉尔木食品有限公司属于食品加工行业，选址符合。</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厂区不应选择有害废弃物以及粉尘、有害气体、放射性物质和其他扩散性污染源不能有效清除的地址。</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厂区不宜择易发生洪涝灾害的地区，难以避开时应设计必要的防范措施。</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厂区周围不宜有虫害大量孳生的潜在场所，难以避开时应设计必要的防范措施。</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设施与设备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供水设施</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应能保证水质、水压、水量及其他要求符合生产需要。</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项目供水依托河南吉尔木食品有限公司厂区现有自备水井，</w:t>
                  </w:r>
                  <w:r>
                    <w:rPr>
                      <w:rFonts w:hint="eastAsia" w:cs="Times New Roman"/>
                      <w:color w:val="000000" w:themeColor="text1"/>
                      <w:spacing w:val="0"/>
                      <w:kern w:val="0"/>
                      <w:sz w:val="21"/>
                      <w:szCs w:val="21"/>
                      <w:u w:val="none"/>
                      <w:vertAlign w:val="baseline"/>
                      <w:lang w:val="en-US" w:eastAsia="zh-CN" w:bidi="ar-SA"/>
                      <w14:textFill>
                        <w14:solidFill>
                          <w14:schemeClr w14:val="tx1"/>
                        </w14:solidFill>
                      </w14:textFill>
                    </w:rPr>
                    <w:t>项目用水</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水质应符合GB 5749的规定，食品加工用水与其他不与食品接触的用水属于完全分离的管路输送</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食品加工用水的水质应符合GB 5749的规定，对加工用水水质有特殊要求的食品应符合相应规定。间接冷却水、锅炉用水等食品生产用水的水质应符合生产需要。</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食品加工用水与其他不与食品接触的用水（如间接冷却水、污水或废水等）应以完全分离的管路输送，避免交叉污染。各管路系统应明确标识以便区分。</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自备水源及供水设施应符合有关规定。供水设施中使用的涉及饮用水卫生安全产品还应符合国家相关规定。</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排水设施</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排水系统的设计和建造应保证排水畅通、便于清洁维护；应适应食品生产的需要，保证食品及生产、清洁用水不受污染。</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项目生产废水不外排，部分回用于生产，部分经污水处理站处理后用于厂区洒水抑尘或绿化，满足国家相关标准要求。</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排水系统入口应安装带水封的地漏等装置，以防止固体废弃物进入及浊气逸出。</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排水系统出口应有适当措施以降低虫害风险。</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室内排水的流向应由清洁程度要求高的区域流向清洁程度要求低的区域，且应有防止逆流的设计。</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污水在排放前应经适当方式处理，以符合国家污水排放的相关规定。</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废弃物存放设施</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应配备设计合理、防止渗漏、易于清洁的存放废弃物的专用设施；车间内存放废弃物的设施和容器应标识清晰。必要时应在适当地点设置废弃物临时存放设施，并依废弃物特性分类存放。</w:t>
                  </w:r>
                </w:p>
              </w:tc>
              <w:tc>
                <w:tcPr>
                  <w:tcW w:w="132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提取、过滤过程产生的香菇、木耳及猴头菇等其他菌类残渣日产日清，直接外售</w:t>
                  </w:r>
                  <w:r>
                    <w:rPr>
                      <w:rFonts w:hint="eastAsia"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项目</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废离子交换树脂由厂家更换直接带走。污泥经密闭桶收集后由周围村民拉走，作为肥料处置。废包装材料经收集后暂存于一般固废暂存间，定期外售。职工生活垃圾经垃圾桶收集后定期交由环卫部门统一清运处置。</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废导热油为危险废物，收集后危废暂存间暂存</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w:t>
                  </w:r>
                  <w:r>
                    <w:rPr>
                      <w:rFonts w:hint="default" w:ascii="Times New Roman" w:hAnsi="Times New Roman" w:eastAsia="宋体" w:cs="Times New Roman"/>
                      <w:color w:val="000000" w:themeColor="text1"/>
                      <w:sz w:val="21"/>
                      <w:szCs w:val="21"/>
                      <w:highlight w:val="none"/>
                      <w14:textFill>
                        <w14:solidFill>
                          <w14:schemeClr w14:val="tx1"/>
                        </w14:solidFill>
                      </w14:textFill>
                    </w:rPr>
                    <w:t>交有资质的单位处置</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剂，无组织排放</w:t>
                  </w:r>
                </w:p>
              </w:tc>
              <w:tc>
                <w:tcPr>
                  <w:tcW w:w="4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仓储设施</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应具有与所生产产品的数量、贮存要求相适应的仓储设施。</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项目原料、成品等存放厂区按要求进行设置，防止虫害侵入。</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仓库应以无毒、坚固的材料建成；仓库地面应平整，便于通风换气。仓库的设计应能易于维护和清洁，防止虫害藏匿，并应有防止虫害侵入的装置。</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原料、半成品、成品、包装材料等应依据性质的不同分设贮存场所、或分区域码放，并有明确标识，防止交叉污染。必要时仓库应设有温、湿度控制设施。</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贮存物品应与墙壁、地面保持适当距离，以利于空气流通及物品搬运。</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清洁剂、消毒剂、杀虫剂、润滑剂、燃料等物质应分别安全包装，明确标识，并应与原料、半成品、成品、包装材料等分隔放置。</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卫生管理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厂房及设施卫生管理</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生产、包装、贮存等设备及工器具、生产用管道、裸露食品接触表面等应定期清洁消毒。</w:t>
                  </w:r>
                </w:p>
              </w:tc>
              <w:tc>
                <w:tcPr>
                  <w:tcW w:w="13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厂房内保持清洁，定期清洁消毒。</w:t>
                  </w:r>
                </w:p>
              </w:tc>
              <w:tc>
                <w:tcPr>
                  <w:tcW w:w="4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none"/>
                      <w:vertAlign w:val="baseline"/>
                      <w:lang w:val="en-US" w:eastAsia="zh-CN"/>
                      <w14:textFill>
                        <w14:solidFill>
                          <w14:schemeClr w14:val="tx1"/>
                        </w14:solidFill>
                      </w14:textFill>
                    </w:rPr>
                    <w:t>食品加工人员健康管理与卫生要求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虫害控制</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应保持建筑物完好、环境整洁，防止虫害侵入及孳生。</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生产车间应保持建筑物完好、环境整洁，防止虫害侵入。</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应制定和执行虫害控制措施，并定期检查。生产车间及仓库应采取有效措施（如纱帘、纱网、防鼠板、防蝇灯、风幕等），防止鼠类昆虫等侵入。若发现有虫鼠害痕迹时，应追查来源，消除隐患。</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应准确绘制虫害控制平面图，标明捕鼠器、粘鼠板、灭蝇灯、室外诱饵投放点、生化信息素捕杀装置等放置的位置。</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厂区应定期进行除虫灭害工作。</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采用物理、化学或生物制剂进行处理时，不应影响食品安全和食品应有的品质、不应污染食品接触表面、设备、工器具及包装材料。除虫灭害工作应有相应的记录。</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使用各类杀虫剂或其他药剂前，应做好预防措施避免对人身、食品、设备工具造成污染；不慎污染时，应及时将被污染的设备、工具彻底清洁，消除污染。</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废弃物处理</w:t>
                  </w: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应制定废弃物存放和清除制度，有特殊要求的废弃物其处理方式应符合有关规定。废弃物应定期清除；易腐败的废弃物应尽快清除；必要时应及时清除废弃物。</w:t>
                  </w:r>
                </w:p>
              </w:tc>
              <w:tc>
                <w:tcPr>
                  <w:tcW w:w="132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项目固体废物及时清运，防止虫害孳生。</w:t>
                  </w:r>
                </w:p>
              </w:tc>
              <w:tc>
                <w:tcPr>
                  <w:tcW w:w="40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30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车间外废弃物放置场所应与食品加工场所隔离防止污染；应防止不良气味或有害有毒气体溢出；应防止虫害孳生。</w:t>
                  </w:r>
                </w:p>
              </w:tc>
              <w:tc>
                <w:tcPr>
                  <w:tcW w:w="132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40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p>
              </w:tc>
            </w:tr>
          </w:tbl>
          <w:p>
            <w:pPr>
              <w:keepNext w:val="0"/>
              <w:keepLines w:val="0"/>
              <w:pageBreakBefore w:val="0"/>
              <w:widowControl w:val="0"/>
              <w:kinsoku/>
              <w:wordWrap/>
              <w:overflowPunct/>
              <w:topLinePunct w:val="0"/>
              <w:autoSpaceDE w:val="0"/>
              <w:autoSpaceDN w:val="0"/>
              <w:bidi w:val="0"/>
              <w:adjustRightInd w:val="0"/>
              <w:snapToGrid w:val="0"/>
              <w:spacing w:before="313" w:beforeLines="100" w:line="360" w:lineRule="auto"/>
              <w:ind w:firstLine="480" w:firstLineChars="200"/>
              <w:jc w:val="both"/>
              <w:textAlignment w:val="auto"/>
              <w:rPr>
                <w:rFonts w:hint="eastAsia" w:ascii="Times New Roman" w:hAnsi="Times New Roman" w:cs="Times New Roman"/>
                <w:color w:val="000000" w:themeColor="text1"/>
                <w:kern w:val="0"/>
                <w:sz w:val="24"/>
                <w:szCs w:val="24"/>
                <w:u w:val="none"/>
                <w:lang w:eastAsia="zh-CN"/>
                <w14:textFill>
                  <w14:solidFill>
                    <w14:schemeClr w14:val="tx1"/>
                  </w14:solidFill>
                </w14:textFill>
              </w:rPr>
            </w:pPr>
            <w:r>
              <w:rPr>
                <w:rFonts w:hint="eastAsia" w:ascii="Times New Roman" w:hAnsi="Times New Roman" w:cs="Times New Roman"/>
                <w:color w:val="000000" w:themeColor="text1"/>
                <w:kern w:val="0"/>
                <w:sz w:val="24"/>
                <w:szCs w:val="24"/>
                <w:u w:val="none"/>
                <w:lang w:val="en-US" w:eastAsia="zh-CN"/>
                <w14:textFill>
                  <w14:solidFill>
                    <w14:schemeClr w14:val="tx1"/>
                  </w14:solidFill>
                </w14:textFill>
              </w:rPr>
              <w:t>综上所述，项目建设及运营应符合《食品安全国家标准 食品生产通用卫生规范》（GB14881-2013）中相关要求。</w:t>
            </w:r>
          </w:p>
          <w:p>
            <w:pPr>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cs="Times New Roman"/>
                <w:b/>
                <w:bCs/>
                <w:color w:val="000000" w:themeColor="text1"/>
                <w:kern w:val="0"/>
                <w:sz w:val="24"/>
                <w:szCs w:val="24"/>
                <w:lang w:val="en-US" w:eastAsia="zh-CN"/>
                <w14:textFill>
                  <w14:solidFill>
                    <w14:schemeClr w14:val="tx1"/>
                  </w14:solidFill>
                </w14:textFill>
              </w:rPr>
            </w:pPr>
            <w:r>
              <w:rPr>
                <w:rFonts w:hint="eastAsia" w:cs="Times New Roman"/>
                <w:b/>
                <w:bCs/>
                <w:color w:val="000000" w:themeColor="text1"/>
                <w:kern w:val="0"/>
                <w:sz w:val="24"/>
                <w:szCs w:val="24"/>
                <w:lang w:val="en-US" w:eastAsia="zh-CN"/>
                <w14:textFill>
                  <w14:solidFill>
                    <w14:schemeClr w14:val="tx1"/>
                  </w14:solidFill>
                </w14:textFill>
              </w:rPr>
              <w:t>7</w:t>
            </w:r>
            <w:r>
              <w:rPr>
                <w:rFonts w:hint="eastAsia" w:ascii="Times New Roman" w:hAnsi="Times New Roman" w:cs="Times New Roman"/>
                <w:b/>
                <w:bCs/>
                <w:color w:val="000000" w:themeColor="text1"/>
                <w:kern w:val="0"/>
                <w:sz w:val="24"/>
                <w:szCs w:val="24"/>
                <w:lang w:val="en-US" w:eastAsia="zh-CN"/>
                <w14:textFill>
                  <w14:solidFill>
                    <w14:schemeClr w14:val="tx1"/>
                  </w14:solidFill>
                </w14:textFill>
              </w:rPr>
              <w:t>、与河南吉尔木食品有限公司关系情况相符性分析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Times New Roman" w:hAnsi="Times New Roman" w:cs="Times New Roman"/>
                <w:color w:val="000000" w:themeColor="text1"/>
                <w:kern w:val="0"/>
                <w:sz w:val="24"/>
                <w:szCs w:val="24"/>
                <w:lang w:eastAsia="zh-CN"/>
                <w14:textFill>
                  <w14:solidFill>
                    <w14:schemeClr w14:val="tx1"/>
                  </w14:solidFill>
                </w14:textFill>
              </w:rPr>
            </w:pPr>
            <w:r>
              <w:rPr>
                <w:rFonts w:hint="eastAsia" w:ascii="Times New Roman" w:hAnsi="Times New Roman" w:cs="Times New Roman"/>
                <w:color w:val="000000" w:themeColor="text1"/>
                <w:kern w:val="0"/>
                <w:sz w:val="24"/>
                <w:szCs w:val="24"/>
                <w:lang w:eastAsia="zh-CN"/>
                <w14:textFill>
                  <w14:solidFill>
                    <w14:schemeClr w14:val="tx1"/>
                  </w14:solidFill>
                </w14:textFill>
              </w:rPr>
              <w:t>本项目位于平顶山市鲁山县库区乡环湖路平岭街01号，租赁河南吉尔木食品有限公司食用菌加工车间部分区域，</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本项目建设用地为</w:t>
            </w:r>
            <w:r>
              <w:rPr>
                <w:rFonts w:hint="eastAsia" w:cs="Times New Roman"/>
                <w:color w:val="000000" w:themeColor="text1"/>
                <w:spacing w:val="0"/>
                <w:kern w:val="0"/>
                <w:sz w:val="24"/>
                <w:szCs w:val="24"/>
                <w:vertAlign w:val="baseline"/>
                <w:lang w:val="en-US" w:eastAsia="zh-CN" w:bidi="ar-SA"/>
                <w14:textFill>
                  <w14:solidFill>
                    <w14:schemeClr w14:val="tx1"/>
                  </w14:solidFill>
                </w14:textFill>
              </w:rPr>
              <w:t>30</w:t>
            </w:r>
            <w:r>
              <w:rPr>
                <w:rFonts w:hint="eastAsia" w:ascii="Times New Roman" w:hAnsi="Times New Roman" w:eastAsia="宋体" w:cs="Times New Roman"/>
                <w:color w:val="000000" w:themeColor="text1"/>
                <w:spacing w:val="0"/>
                <w:kern w:val="0"/>
                <w:sz w:val="24"/>
                <w:szCs w:val="24"/>
                <w:vertAlign w:val="baseline"/>
                <w:lang w:val="en-US" w:eastAsia="zh-CN" w:bidi="ar-SA"/>
                <w14:textFill>
                  <w14:solidFill>
                    <w14:schemeClr w14:val="tx1"/>
                  </w14:solidFill>
                </w14:textFill>
              </w:rPr>
              <w:t>00m</w:t>
            </w:r>
            <w:r>
              <w:rPr>
                <w:rFonts w:hint="eastAsia" w:ascii="Times New Roman" w:hAnsi="Times New Roman" w:eastAsia="宋体" w:cs="Times New Roman"/>
                <w:color w:val="000000" w:themeColor="text1"/>
                <w:spacing w:val="0"/>
                <w:kern w:val="0"/>
                <w:sz w:val="24"/>
                <w:szCs w:val="24"/>
                <w:vertAlign w:val="superscript"/>
                <w:lang w:val="en-US" w:eastAsia="zh-CN" w:bidi="ar-SA"/>
                <w14:textFill>
                  <w14:solidFill>
                    <w14:schemeClr w14:val="tx1"/>
                  </w14:solidFill>
                </w14:textFill>
              </w:rPr>
              <w:t>2</w:t>
            </w:r>
            <w:r>
              <w:rPr>
                <w:rFonts w:hint="eastAsia" w:ascii="Times New Roman" w:hAnsi="Times New Roman" w:eastAsia="宋体" w:cs="Times New Roman"/>
                <w:color w:val="000000" w:themeColor="text1"/>
                <w:spacing w:val="0"/>
                <w:kern w:val="0"/>
                <w:sz w:val="24"/>
                <w:szCs w:val="24"/>
                <w:vertAlign w:val="baseline"/>
                <w:lang w:val="en-US" w:eastAsia="zh-CN" w:bidi="ar-SA"/>
                <w14:textFill>
                  <w14:solidFill>
                    <w14:schemeClr w14:val="tx1"/>
                  </w14:solidFill>
                </w14:textFill>
              </w:rPr>
              <w:t>，已与</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河南吉尔木食品有限公司签订租赁协议，</w:t>
            </w:r>
            <w:r>
              <w:rPr>
                <w:rFonts w:hint="eastAsia" w:ascii="Times New Roman" w:hAnsi="Times New Roman" w:cs="Times New Roman"/>
                <w:color w:val="000000" w:themeColor="text1"/>
                <w:kern w:val="0"/>
                <w:sz w:val="24"/>
                <w:szCs w:val="24"/>
                <w:lang w:eastAsia="zh-CN"/>
                <w14:textFill>
                  <w14:solidFill>
                    <w14:schemeClr w14:val="tx1"/>
                  </w14:solidFill>
                </w14:textFill>
              </w:rPr>
              <w:t>根据与河南吉尔木食品有限公司出具的情况说明（见附件</w:t>
            </w:r>
            <w:r>
              <w:rPr>
                <w:rFonts w:hint="eastAsia" w:cs="Times New Roman"/>
                <w:color w:val="000000" w:themeColor="text1"/>
                <w:kern w:val="0"/>
                <w:sz w:val="24"/>
                <w:szCs w:val="24"/>
                <w:lang w:val="en-US" w:eastAsia="zh-CN"/>
                <w14:textFill>
                  <w14:solidFill>
                    <w14:schemeClr w14:val="tx1"/>
                  </w14:solidFill>
                </w14:textFill>
              </w:rPr>
              <w:t>9</w:t>
            </w:r>
            <w:r>
              <w:rPr>
                <w:rFonts w:hint="eastAsia" w:ascii="Times New Roman" w:hAnsi="Times New Roman" w:cs="Times New Roman"/>
                <w:color w:val="000000" w:themeColor="text1"/>
                <w:kern w:val="0"/>
                <w:sz w:val="24"/>
                <w:szCs w:val="24"/>
                <w:lang w:eastAsia="zh-CN"/>
                <w14:textFill>
                  <w14:solidFill>
                    <w14:schemeClr w14:val="tx1"/>
                  </w14:solidFill>
                </w14:textFill>
              </w:rPr>
              <w:t>）中有关内容，本项目租赁其食用菌加工车间不会缩减河南吉尔木食品有限公司现有食用菌产品产能，且与河南吉尔木食品有限公司现有食用菌加工区域隔开并设置单独厂区进出口。综上所述，本项目租赁河南吉尔木食品有限公司现有食用菌加工车间可行。</w:t>
            </w:r>
          </w:p>
          <w:p>
            <w:pPr>
              <w:keepNext w:val="0"/>
              <w:keepLines w:val="0"/>
              <w:pageBreakBefore w:val="0"/>
              <w:widowControl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cs="Times New Roman"/>
                <w:b/>
                <w:bCs/>
                <w:color w:val="000000" w:themeColor="text1"/>
                <w:kern w:val="0"/>
                <w:sz w:val="24"/>
                <w:szCs w:val="24"/>
                <w:u w:val="none"/>
                <w:lang w:val="en-US" w:eastAsia="zh-CN"/>
                <w14:textFill>
                  <w14:solidFill>
                    <w14:schemeClr w14:val="tx1"/>
                  </w14:solidFill>
                </w14:textFill>
              </w:rPr>
            </w:pPr>
            <w:r>
              <w:rPr>
                <w:rFonts w:hint="eastAsia" w:cs="Times New Roman"/>
                <w:b/>
                <w:bCs/>
                <w:color w:val="000000" w:themeColor="text1"/>
                <w:kern w:val="0"/>
                <w:sz w:val="24"/>
                <w:szCs w:val="24"/>
                <w:u w:val="none"/>
                <w:lang w:val="en-US" w:eastAsia="zh-CN"/>
                <w14:textFill>
                  <w14:solidFill>
                    <w14:schemeClr w14:val="tx1"/>
                  </w14:solidFill>
                </w14:textFill>
              </w:rPr>
              <w:t>8</w:t>
            </w:r>
            <w:r>
              <w:rPr>
                <w:rFonts w:hint="eastAsia" w:ascii="Times New Roman" w:hAnsi="Times New Roman" w:cs="Times New Roman"/>
                <w:b/>
                <w:bCs/>
                <w:color w:val="000000" w:themeColor="text1"/>
                <w:kern w:val="0"/>
                <w:sz w:val="24"/>
                <w:szCs w:val="24"/>
                <w:u w:val="none"/>
                <w:lang w:val="en-US" w:eastAsia="zh-CN"/>
                <w14:textFill>
                  <w14:solidFill>
                    <w14:schemeClr w14:val="tx1"/>
                  </w14:solidFill>
                </w14:textFill>
              </w:rPr>
              <w:t>、选址可行性分析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pP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本项目位于平顶山市鲁山县库区乡环湖路平岭街01号，根据鲁山县国土资源局出具的证明（见附件</w:t>
            </w:r>
            <w:r>
              <w:rPr>
                <w:rFonts w:hint="eastAsia" w:cs="Times New Roman"/>
                <w:b/>
                <w:bCs/>
                <w:color w:val="000000" w:themeColor="text1"/>
                <w:kern w:val="0"/>
                <w:sz w:val="24"/>
                <w:szCs w:val="24"/>
                <w:u w:val="single"/>
                <w:lang w:val="en-US" w:eastAsia="zh-CN"/>
                <w14:textFill>
                  <w14:solidFill>
                    <w14:schemeClr w14:val="tx1"/>
                  </w14:solidFill>
                </w14:textFill>
              </w:rPr>
              <w:t>7</w:t>
            </w: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），河南吉尔木食品有限公司所在地块符合土地利用整体规划，河南吉尔木食品有限公司所占区域土地符合村镇规划要求。</w:t>
            </w:r>
            <w:r>
              <w:rPr>
                <w:rFonts w:hint="eastAsia" w:cs="Times New Roman"/>
                <w:b/>
                <w:bCs/>
                <w:color w:val="000000" w:themeColor="text1"/>
                <w:kern w:val="0"/>
                <w:sz w:val="24"/>
                <w:szCs w:val="24"/>
                <w:u w:val="single"/>
                <w:lang w:val="en-US" w:eastAsia="zh-CN"/>
                <w14:textFill>
                  <w14:solidFill>
                    <w14:schemeClr w14:val="tx1"/>
                  </w14:solidFill>
                </w14:textFill>
              </w:rPr>
              <w:t>本项目</w:t>
            </w: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租赁河南吉尔木食品有限公司食用菌加工车间（见附件</w:t>
            </w:r>
            <w:r>
              <w:rPr>
                <w:rFonts w:hint="eastAsia" w:cs="Times New Roman"/>
                <w:b/>
                <w:bCs/>
                <w:color w:val="000000" w:themeColor="text1"/>
                <w:kern w:val="0"/>
                <w:sz w:val="24"/>
                <w:szCs w:val="24"/>
                <w:u w:val="single"/>
                <w:lang w:val="en-US" w:eastAsia="zh-CN"/>
                <w14:textFill>
                  <w14:solidFill>
                    <w14:schemeClr w14:val="tx1"/>
                  </w14:solidFill>
                </w14:textFill>
              </w:rPr>
              <w:t>8</w:t>
            </w: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both"/>
              <w:textAlignment w:val="auto"/>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t>河南吉尔木食品有限公司于2021年2月建设完成库区乡食用菌标准化基地扶贫项目，项目原辅料为食用菌、干香菇、味精、盐、糖淀粉等，生产产品为食用菌、香菇调味品料，为食用菌的种植及深加工扶贫项目。根据2020年6月3日库区乡人民政府出具关于库区乡食用菌标准化基地扶贫项目占地规划意见书：该项目占用库区乡曹楼土地13.5151公顷，其中：生产设施用地12.8484公顷、附属设施用地0.6667公顷，用于建设办公宿舍、制棒接种及食用菌研发和深加工车间等。库区乡食用菌标准化基地扶贫项目所占区域土地符合村镇规划要求。</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pPr>
            <w:r>
              <w:rPr>
                <w:rFonts w:hint="default" w:ascii="Times New Roman" w:hAnsi="Times New Roman" w:eastAsia="宋体" w:cs="Times New Roman"/>
                <w:b/>
                <w:bCs/>
                <w:color w:val="000000" w:themeColor="text1"/>
                <w:sz w:val="24"/>
                <w:szCs w:val="24"/>
                <w:u w:val="single"/>
                <w:lang w:val="en-US" w:eastAsia="zh-CN"/>
                <w14:textFill>
                  <w14:solidFill>
                    <w14:schemeClr w14:val="tx1"/>
                  </w14:solidFill>
                </w14:textFill>
              </w:rPr>
              <w:t>河南素佳生物科技有限公司植物、食用菌类深加工项目</w:t>
            </w:r>
            <w:r>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t>原辅料为香菇、木耳及猴头菇等其他菌类、蛋白酶、纤维酶等，生产产品为香菇提取物、木耳及猴头菇等其他菌类提取物、食用菌固体饲料，亦为食用菌的种植及深加工项目，租赁河南吉尔木食品有限公司食用菌加工车间部分区域，亦</w:t>
            </w:r>
            <w:r>
              <w:rPr>
                <w:rFonts w:hint="default" w:ascii="Times New Roman" w:hAnsi="Times New Roman" w:eastAsia="宋体" w:cs="Times New Roman"/>
                <w:b/>
                <w:bCs/>
                <w:color w:val="000000" w:themeColor="text1"/>
                <w:sz w:val="24"/>
                <w:szCs w:val="24"/>
                <w:u w:val="single"/>
                <w:lang w:val="en-US" w:eastAsia="zh-CN"/>
                <w14:textFill>
                  <w14:solidFill>
                    <w14:schemeClr w14:val="tx1"/>
                  </w14:solidFill>
                </w14:textFill>
              </w:rPr>
              <w:t>植物、食用菌类深加工项目</w:t>
            </w:r>
            <w:r>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t>所占区域土地符合村镇规划要求。</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pP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河南吉尔木食品有限公司</w:t>
            </w:r>
            <w:r>
              <w:rPr>
                <w:rFonts w:hint="eastAsia" w:ascii="Times New Roman" w:hAnsi="Times New Roman" w:cs="Times New Roman"/>
                <w:b/>
                <w:bCs/>
                <w:color w:val="000000" w:themeColor="text1"/>
                <w:kern w:val="0"/>
                <w:sz w:val="24"/>
                <w:szCs w:val="24"/>
                <w:u w:val="single"/>
                <w:lang w:val="en-US" w:eastAsia="zh-CN"/>
                <w14:textFill>
                  <w14:solidFill>
                    <w14:schemeClr w14:val="tx1"/>
                  </w14:solidFill>
                </w14:textFill>
              </w:rPr>
              <w:t>属于食品制造行业，建设项目选址符合《食品安全国家标准 食品生产通用卫生规</w:t>
            </w:r>
            <w:r>
              <w:rPr>
                <w:rFonts w:hint="eastAsia"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范》（GB14881-2013）选址要求，因此本项目用地符合村镇规划要求，符合《食品安全国家标准 食品生产通用卫生规范》（GB14881-2013）选址要求。</w:t>
            </w:r>
          </w:p>
          <w:p>
            <w:pPr>
              <w:keepNext w:val="0"/>
              <w:keepLines w:val="0"/>
              <w:pageBreakBefore w:val="0"/>
              <w:widowControl w:val="0"/>
              <w:kinsoku/>
              <w:wordWrap/>
              <w:overflowPunct/>
              <w:topLinePunct w:val="0"/>
              <w:bidi w:val="0"/>
              <w:adjustRightInd w:val="0"/>
              <w:snapToGrid w:val="0"/>
              <w:spacing w:line="360" w:lineRule="auto"/>
              <w:ind w:firstLine="482" w:firstLineChars="200"/>
              <w:jc w:val="both"/>
              <w:textAlignment w:val="auto"/>
              <w:rPr>
                <w:rFonts w:hint="default" w:ascii="Times New Roman" w:hAnsi="Times New Roman" w:cs="Times New Roman"/>
                <w:b/>
                <w:bCs/>
                <w:color w:val="000000" w:themeColor="text1"/>
                <w:kern w:val="0"/>
                <w:sz w:val="24"/>
                <w:szCs w:val="24"/>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根据现场调查，本项目租赁河南吉尔木食品有限公司现有食用菌部分加工车间进行生产，项目北侧约7m处为小庙，东侧约410m处为平岭新村，东北侧约160m处为曹楼，东南侧约64m处为平岭沿街商铺，西侧约239m处为荡泽河，西南侧约691m处为昭平台水库，</w:t>
            </w:r>
            <w:r>
              <w:rPr>
                <w:rFonts w:hint="default"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距离昭平台水库大坝约5.7km，</w:t>
            </w:r>
            <w:r>
              <w:rPr>
                <w:rFonts w:hint="eastAsia"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本项目位于</w:t>
            </w:r>
            <w:r>
              <w:rPr>
                <w:rFonts w:hint="default"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昭平台水库饮用水水源保护区准保护区范围内</w:t>
            </w:r>
            <w:r>
              <w:rPr>
                <w:rFonts w:hint="eastAsia"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（详见附图5）</w:t>
            </w:r>
            <w:r>
              <w:rPr>
                <w:rFonts w:hint="default" w:ascii="Times New Roman" w:hAnsi="Times New Roman" w:eastAsia="宋体" w:cs="Times New Roman"/>
                <w:b/>
                <w:bCs/>
                <w:color w:val="000000" w:themeColor="text1"/>
                <w:kern w:val="0"/>
                <w:sz w:val="24"/>
                <w:szCs w:val="24"/>
                <w:u w:val="single"/>
                <w:lang w:val="en-US" w:eastAsia="zh-CN"/>
                <w14:textFill>
                  <w14:solidFill>
                    <w14:schemeClr w14:val="tx1"/>
                  </w14:solidFill>
                </w14:textFill>
              </w:rPr>
              <w:t>。</w:t>
            </w:r>
            <w:r>
              <w:rPr>
                <w:rFonts w:hint="default" w:ascii="Times New Roman" w:hAnsi="Times New Roman" w:eastAsia="宋体" w:cs="Times New Roman"/>
                <w:b/>
                <w:bCs/>
                <w:color w:val="000000" w:themeColor="text1"/>
                <w:kern w:val="0"/>
                <w:sz w:val="24"/>
                <w:szCs w:val="24"/>
                <w:highlight w:val="none"/>
                <w:u w:val="single"/>
                <w:lang w:val="en-US" w:eastAsia="zh-CN"/>
                <w14:textFill>
                  <w14:solidFill>
                    <w14:schemeClr w14:val="tx1"/>
                  </w14:solidFill>
                </w14:textFill>
              </w:rPr>
              <w:t>本项目为</w:t>
            </w:r>
            <w:r>
              <w:rPr>
                <w:rFonts w:hint="eastAsia" w:ascii="Times New Roman" w:hAnsi="Times New Roman" w:eastAsia="宋体" w:cs="Times New Roman"/>
                <w:b/>
                <w:bCs/>
                <w:color w:val="000000" w:themeColor="text1"/>
                <w:sz w:val="24"/>
                <w:szCs w:val="24"/>
                <w:highlight w:val="none"/>
                <w:u w:val="single"/>
                <w:lang w:val="en-US" w:eastAsia="zh-CN"/>
                <w14:textFill>
                  <w14:solidFill>
                    <w14:schemeClr w14:val="tx1"/>
                  </w14:solidFill>
                </w14:textFill>
              </w:rPr>
              <w:t>食品制造行业</w:t>
            </w:r>
            <w:r>
              <w:rPr>
                <w:rFonts w:hint="default" w:ascii="Times New Roman" w:hAnsi="Times New Roman" w:eastAsia="宋体" w:cs="Times New Roman"/>
                <w:b/>
                <w:bCs/>
                <w:color w:val="000000" w:themeColor="text1"/>
                <w:sz w:val="24"/>
                <w:szCs w:val="24"/>
                <w:highlight w:val="none"/>
                <w:u w:val="single"/>
                <w:lang w:val="en-US" w:eastAsia="zh-CN"/>
                <w14:textFill>
                  <w14:solidFill>
                    <w14:schemeClr w14:val="tx1"/>
                  </w14:solidFill>
                </w14:textFill>
              </w:rPr>
              <w:t>项目，</w:t>
            </w:r>
            <w:r>
              <w:rPr>
                <w:rFonts w:hint="default" w:ascii="Times New Roman" w:hAnsi="Times New Roman" w:cs="Times New Roman" w:eastAsiaTheme="minorEastAsia"/>
                <w:b/>
                <w:bCs/>
                <w:color w:val="000000" w:themeColor="text1"/>
                <w:kern w:val="0"/>
                <w:sz w:val="24"/>
                <w:szCs w:val="24"/>
                <w:u w:val="single"/>
                <w:lang w:val="en-US" w:eastAsia="zh-CN"/>
                <w14:textFill>
                  <w14:solidFill>
                    <w14:schemeClr w14:val="tx1"/>
                  </w14:solidFill>
                </w14:textFill>
              </w:rPr>
              <w:t>项目生产废水部分回用于生产、部分用于厂区洒水抑尘或绿化，综合利用不外排，生活污水依托河南吉尔木食品有限公司现有化粪池收集后定期清掏肥田，废水均得到合理处置，</w:t>
            </w:r>
            <w:r>
              <w:rPr>
                <w:rFonts w:hint="eastAsia" w:ascii="Times New Roman" w:hAnsi="Times New Roman" w:cs="Times New Roman" w:eastAsiaTheme="minorEastAsia"/>
                <w:b/>
                <w:bCs/>
                <w:color w:val="000000" w:themeColor="text1"/>
                <w:kern w:val="0"/>
                <w:sz w:val="24"/>
                <w:szCs w:val="24"/>
                <w:u w:val="single"/>
                <w:lang w:val="en-US" w:eastAsia="zh-CN"/>
                <w14:textFill>
                  <w14:solidFill>
                    <w14:schemeClr w14:val="tx1"/>
                  </w14:solidFill>
                </w14:textFill>
              </w:rPr>
              <w:t>本项目不属于</w:t>
            </w:r>
            <w:r>
              <w:rPr>
                <w:rFonts w:hint="eastAsia" w:ascii="宋体" w:hAnsi="宋体" w:eastAsia="宋体" w:cs="宋体"/>
                <w:b/>
                <w:bCs/>
                <w:snapToGrid w:val="0"/>
                <w:color w:val="000000" w:themeColor="text1"/>
                <w:spacing w:val="2"/>
                <w:kern w:val="0"/>
                <w:sz w:val="24"/>
                <w:szCs w:val="24"/>
                <w:highlight w:val="none"/>
                <w:u w:val="single"/>
                <w14:textFill>
                  <w14:solidFill>
                    <w14:schemeClr w14:val="tx1"/>
                  </w14:solidFill>
                </w14:textFill>
              </w:rPr>
              <w:t>水体污染严重的建设项目</w:t>
            </w:r>
            <w:r>
              <w:rPr>
                <w:rFonts w:hint="eastAsia" w:ascii="Times New Roman" w:hAnsi="Times New Roman" w:cs="Times New Roman" w:eastAsiaTheme="minorEastAsia"/>
                <w:b/>
                <w:bCs/>
                <w:color w:val="000000" w:themeColor="text1"/>
                <w:kern w:val="0"/>
                <w:sz w:val="24"/>
                <w:szCs w:val="24"/>
                <w:u w:val="single"/>
                <w:lang w:val="en-US" w:eastAsia="zh-CN"/>
                <w14:textFill>
                  <w14:solidFill>
                    <w14:schemeClr w14:val="tx1"/>
                  </w14:solidFill>
                </w14:textFill>
              </w:rPr>
              <w:t>，</w:t>
            </w:r>
            <w:r>
              <w:rPr>
                <w:rFonts w:hint="default" w:ascii="Times New Roman" w:hAnsi="Times New Roman" w:cs="Times New Roman" w:eastAsiaTheme="minorEastAsia"/>
                <w:b/>
                <w:bCs/>
                <w:color w:val="000000" w:themeColor="text1"/>
                <w:kern w:val="0"/>
                <w:sz w:val="24"/>
                <w:szCs w:val="24"/>
                <w:u w:val="single"/>
                <w:lang w:val="en-US" w:eastAsia="zh-CN"/>
                <w14:textFill>
                  <w14:solidFill>
                    <w14:schemeClr w14:val="tx1"/>
                  </w14:solidFill>
                </w14:textFill>
              </w:rPr>
              <w:t>对昭平台水库饮用水水源保护区影响较小。</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default" w:ascii="Times New Roman" w:hAnsi="Times New Roman" w:cs="Times New Roman"/>
                <w:b/>
                <w:bCs/>
                <w:color w:val="000000" w:themeColor="text1"/>
                <w:kern w:val="0"/>
                <w:sz w:val="24"/>
                <w:szCs w:val="24"/>
                <w:u w:val="single"/>
                <w:lang w:val="en-US" w:eastAsia="zh-CN"/>
                <w14:textFill>
                  <w14:solidFill>
                    <w14:schemeClr w14:val="tx1"/>
                  </w14:solidFill>
                </w14:textFill>
              </w:rPr>
            </w:pPr>
            <w:r>
              <w:rPr>
                <w:rFonts w:hint="eastAsia" w:ascii="Times New Roman" w:hAnsi="Times New Roman" w:cs="Times New Roman"/>
                <w:b/>
                <w:bCs/>
                <w:color w:val="000000" w:themeColor="text1"/>
                <w:kern w:val="0"/>
                <w:sz w:val="24"/>
                <w:szCs w:val="24"/>
                <w:u w:val="single"/>
                <w:lang w:val="en-US" w:eastAsia="zh-CN"/>
                <w14:textFill>
                  <w14:solidFill>
                    <w14:schemeClr w14:val="tx1"/>
                  </w14:solidFill>
                </w14:textFill>
              </w:rPr>
              <w:t>项目北侧约7m处为小庙。根据鲁山县文物保护名录，该小庙不在鲁山县文物保护名录内；根据企业提供的土地经营权流转合同（附件</w:t>
            </w:r>
            <w:r>
              <w:rPr>
                <w:rFonts w:hint="eastAsia" w:cs="Times New Roman"/>
                <w:b/>
                <w:bCs/>
                <w:color w:val="000000" w:themeColor="text1"/>
                <w:kern w:val="0"/>
                <w:sz w:val="24"/>
                <w:szCs w:val="24"/>
                <w:u w:val="single"/>
                <w:lang w:val="en-US" w:eastAsia="zh-CN"/>
                <w14:textFill>
                  <w14:solidFill>
                    <w14:schemeClr w14:val="tx1"/>
                  </w14:solidFill>
                </w14:textFill>
              </w:rPr>
              <w:t>6</w:t>
            </w:r>
            <w:r>
              <w:rPr>
                <w:rFonts w:hint="eastAsia" w:ascii="Times New Roman" w:hAnsi="Times New Roman" w:cs="Times New Roman"/>
                <w:b/>
                <w:bCs/>
                <w:color w:val="000000" w:themeColor="text1"/>
                <w:kern w:val="0"/>
                <w:sz w:val="24"/>
                <w:szCs w:val="24"/>
                <w:u w:val="single"/>
                <w:lang w:val="en-US" w:eastAsia="zh-CN"/>
                <w14:textFill>
                  <w14:solidFill>
                    <w14:schemeClr w14:val="tx1"/>
                  </w14:solidFill>
                </w14:textFill>
              </w:rPr>
              <w:t>），小庙所占用地已被河南吉尔木食品有限公司征用，因此，项目北侧小庙不属于文物。</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pPr>
            <w:r>
              <w:rPr>
                <w:rFonts w:hint="eastAsia" w:ascii="Times New Roman" w:hAnsi="Times New Roman" w:cs="Times New Roman"/>
                <w:b/>
                <w:bCs/>
                <w:color w:val="000000" w:themeColor="text1"/>
                <w:kern w:val="0"/>
                <w:sz w:val="24"/>
                <w:szCs w:val="24"/>
                <w:u w:val="single"/>
                <w:lang w:eastAsia="zh-CN"/>
                <w14:textFill>
                  <w14:solidFill>
                    <w14:schemeClr w14:val="tx1"/>
                  </w14:solidFill>
                </w14:textFill>
              </w:rPr>
              <w:t>项目建成后运营期所产生的废气、废水、噪声和固废等环境影响因素在采取相应的污染防治措施后，均可得到有效的治理和综合利用，对厂址周围环境的影响在可接受范围之内，不会影响区域环境现有功能。综上所述，项目选址可行。</w:t>
            </w:r>
          </w:p>
          <w:p>
            <w:pPr>
              <w:keepNext w:val="0"/>
              <w:keepLines w:val="0"/>
              <w:pageBreakBefore w:val="0"/>
              <w:widowControl/>
              <w:suppressLineNumbers w:val="0"/>
              <w:kinsoku/>
              <w:wordWrap/>
              <w:overflowPunct/>
              <w:topLinePunct w:val="0"/>
              <w:autoSpaceDE/>
              <w:autoSpaceDN/>
              <w:bidi w:val="0"/>
              <w:adjustRightInd w:val="0"/>
              <w:snapToGrid w:val="0"/>
              <w:spacing w:line="360" w:lineRule="auto"/>
              <w:jc w:val="both"/>
              <w:textAlignment w:val="auto"/>
              <w:rPr>
                <w:rFonts w:hint="eastAsia" w:ascii="Times New Roman" w:hAnsi="Times New Roman" w:eastAsia="宋体" w:cs="Times New Roman"/>
                <w:b/>
                <w:bCs/>
                <w:color w:val="000000" w:themeColor="text1"/>
                <w:sz w:val="24"/>
                <w:lang w:val="en-US" w:eastAsia="zh-CN" w:bidi="ar-SA"/>
                <w14:textFill>
                  <w14:solidFill>
                    <w14:schemeClr w14:val="tx1"/>
                  </w14:solidFill>
                </w14:textFill>
              </w:rPr>
            </w:pPr>
          </w:p>
          <w:p>
            <w:pPr>
              <w:pStyle w:val="17"/>
              <w:rPr>
                <w:color w:val="000000" w:themeColor="text1"/>
                <w:vertAlign w:val="baseline"/>
                <w14:textFill>
                  <w14:solidFill>
                    <w14:schemeClr w14:val="tx1"/>
                  </w14:solidFill>
                </w14:textFill>
              </w:rPr>
            </w:pPr>
          </w:p>
        </w:tc>
      </w:tr>
    </w:tbl>
    <w:p>
      <w:pPr>
        <w:pStyle w:val="17"/>
        <w:rPr>
          <w:color w:val="000000" w:themeColor="text1"/>
          <w14:textFill>
            <w14:solidFill>
              <w14:schemeClr w14:val="tx1"/>
            </w14:solidFill>
          </w14:textFill>
        </w:rPr>
      </w:pPr>
    </w:p>
    <w:p>
      <w:pPr>
        <w:pStyle w:val="17"/>
        <w:rPr>
          <w:color w:val="000000" w:themeColor="text1"/>
          <w14:textFill>
            <w14:solidFill>
              <w14:schemeClr w14:val="tx1"/>
            </w14:solidFill>
          </w14:textFill>
        </w:rPr>
        <w:sectPr>
          <w:pgSz w:w="11906" w:h="16838"/>
          <w:pgMar w:top="1701" w:right="1531" w:bottom="1701" w:left="1531" w:header="851" w:footer="1077" w:gutter="0"/>
          <w:pgBorders>
            <w:top w:val="none" w:sz="0" w:space="0"/>
            <w:left w:val="none" w:sz="0" w:space="0"/>
            <w:bottom w:val="none" w:sz="0" w:space="0"/>
            <w:right w:val="none" w:sz="0" w:space="0"/>
          </w:pgBorders>
          <w:cols w:space="0" w:num="1"/>
          <w:rtlGutter w:val="0"/>
          <w:docGrid w:linePitch="312" w:charSpace="0"/>
        </w:sectPr>
      </w:pPr>
    </w:p>
    <w:p>
      <w:pPr>
        <w:pStyle w:val="23"/>
        <w:jc w:val="center"/>
        <w:outlineLvl w:val="0"/>
        <w:rPr>
          <w:rFonts w:ascii="Times New Roman" w:hAnsi="Times New Roman"/>
          <w:b/>
          <w:bCs/>
          <w:snapToGrid w:val="0"/>
          <w:color w:val="000000" w:themeColor="text1"/>
          <w:sz w:val="30"/>
          <w:szCs w:val="30"/>
          <w14:textFill>
            <w14:solidFill>
              <w14:schemeClr w14:val="tx1"/>
            </w14:solidFill>
          </w14:textFill>
        </w:rPr>
      </w:pPr>
      <w:r>
        <w:rPr>
          <w:rFonts w:hint="eastAsia" w:ascii="Times New Roman" w:hAnsi="Times New Roman"/>
          <w:b/>
          <w:bCs/>
          <w:snapToGrid w:val="0"/>
          <w:color w:val="000000" w:themeColor="text1"/>
          <w:sz w:val="30"/>
          <w:szCs w:val="30"/>
          <w14:textFill>
            <w14:solidFill>
              <w14:schemeClr w14:val="tx1"/>
            </w14:solidFill>
          </w14:textFill>
        </w:rPr>
        <w:t>二、建设项目工程分析</w:t>
      </w:r>
    </w:p>
    <w:tbl>
      <w:tblPr>
        <w:tblStyle w:val="26"/>
        <w:tblW w:w="8984"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55"/>
        <w:gridCol w:w="860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2190" w:hRule="atLeast"/>
          <w:jc w:val="center"/>
        </w:trPr>
        <w:tc>
          <w:tcPr>
            <w:tcW w:w="823" w:type="dxa"/>
            <w:vAlign w:val="center"/>
          </w:tcPr>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建设内容</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both"/>
              <w:textAlignment w:val="auto"/>
              <w:rPr>
                <w:rFonts w:ascii="Times New Roman" w:hAnsi="Times New Roman" w:cs="宋体"/>
                <w:color w:val="000000" w:themeColor="text1"/>
                <w:szCs w:val="24"/>
                <w14:textFill>
                  <w14:solidFill>
                    <w14:schemeClr w14:val="tx1"/>
                  </w14:solidFill>
                </w14:textFill>
              </w:rPr>
            </w:pPr>
          </w:p>
        </w:tc>
        <w:tc>
          <w:tcPr>
            <w:tcW w:w="8161" w:type="dxa"/>
          </w:tcPr>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default"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1、项目由来</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eastAsia"/>
                <w:b w:val="0"/>
                <w:bCs w:val="0"/>
                <w:color w:val="000000" w:themeColor="text1"/>
                <w:sz w:val="24"/>
                <w:szCs w:val="24"/>
                <w:lang w:val="en-US" w:eastAsia="zh-CN"/>
                <w14:textFill>
                  <w14:solidFill>
                    <w14:schemeClr w14:val="tx1"/>
                  </w14:solidFill>
                </w14:textFill>
              </w:rPr>
              <w:t>河南素佳生物科技有限公司</w:t>
            </w:r>
            <w:r>
              <w:rPr>
                <w:rFonts w:hint="eastAsia" w:cs="宋体"/>
                <w:color w:val="000000" w:themeColor="text1"/>
                <w:sz w:val="24"/>
                <w:lang w:val="en-US" w:eastAsia="zh-CN"/>
                <w14:textFill>
                  <w14:solidFill>
                    <w14:schemeClr w14:val="tx1"/>
                  </w14:solidFill>
                </w14:textFill>
              </w:rPr>
              <w:t>植物、食用菌类深加工项目属于重大变动重新报批项目。项目重新报批前</w:t>
            </w: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委托郑州正宁环保科技有限公司编制完成了《河南素兴生物科技有限公司香菇、木耳等菌类深加工项目环境影响报告表》，2022年7月8日取得平顶山市生态环境局鲁山分局批复（平鲁环监表[2022]08号）。</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eastAsia="宋体"/>
                <w:b w:val="0"/>
                <w:bCs w:val="0"/>
                <w:color w:val="000000" w:themeColor="text1"/>
                <w:sz w:val="24"/>
                <w:szCs w:val="24"/>
                <w:lang w:val="en-US" w:eastAsia="zh-CN"/>
                <w14:textFill>
                  <w14:solidFill>
                    <w14:schemeClr w14:val="tx1"/>
                  </w14:solidFill>
                </w14:textFill>
              </w:rPr>
            </w:pPr>
            <w:r>
              <w:rPr>
                <w:rFonts w:hint="eastAsia"/>
                <w:b w:val="0"/>
                <w:bCs w:val="0"/>
                <w:color w:val="000000" w:themeColor="text1"/>
                <w:sz w:val="24"/>
                <w:szCs w:val="24"/>
                <w:lang w:val="en-US" w:eastAsia="zh-CN"/>
                <w14:textFill>
                  <w14:solidFill>
                    <w14:schemeClr w14:val="tx1"/>
                  </w14:solidFill>
                </w14:textFill>
              </w:rPr>
              <w:t>本项目实际建设实施单位为河南素佳生物科技有限公司（协议书见附件4），2022年9月30日，项目重新在</w:t>
            </w:r>
            <w:r>
              <w:rPr>
                <w:rFonts w:hint="eastAsia"/>
                <w:color w:val="000000" w:themeColor="text1"/>
                <w:sz w:val="24"/>
                <w14:textFill>
                  <w14:solidFill>
                    <w14:schemeClr w14:val="tx1"/>
                  </w14:solidFill>
                </w14:textFill>
              </w:rPr>
              <w:t>鲁山县发展和改革委员会</w:t>
            </w:r>
            <w:r>
              <w:rPr>
                <w:rFonts w:hint="eastAsia"/>
                <w:color w:val="000000" w:themeColor="text1"/>
                <w:sz w:val="24"/>
                <w:lang w:val="en-US" w:eastAsia="zh-CN"/>
                <w14:textFill>
                  <w14:solidFill>
                    <w14:schemeClr w14:val="tx1"/>
                  </w14:solidFill>
                </w14:textFill>
              </w:rPr>
              <w:t>备案</w:t>
            </w:r>
            <w:r>
              <w:rPr>
                <w:rFonts w:hint="eastAsia"/>
                <w:b w:val="0"/>
                <w:bCs w:val="0"/>
                <w:color w:val="000000" w:themeColor="text1"/>
                <w:sz w:val="24"/>
                <w:szCs w:val="24"/>
                <w:lang w:val="en-US" w:eastAsia="zh-CN"/>
                <w14:textFill>
                  <w14:solidFill>
                    <w14:schemeClr w14:val="tx1"/>
                  </w14:solidFill>
                </w14:textFill>
              </w:rPr>
              <w:t>，企业名称由环评时的河南素兴生物科技有限公司变为河南素佳生物科技有限公司。</w:t>
            </w:r>
            <w:r>
              <w:rPr>
                <w:rFonts w:hint="default" w:eastAsia="宋体"/>
                <w:b w:val="0"/>
                <w:bCs w:val="0"/>
                <w:color w:val="000000" w:themeColor="text1"/>
                <w:sz w:val="24"/>
                <w:szCs w:val="24"/>
                <w:lang w:val="en-US" w:eastAsia="zh-CN"/>
                <w14:textFill>
                  <w14:solidFill>
                    <w14:schemeClr w14:val="tx1"/>
                  </w14:solidFill>
                </w14:textFill>
              </w:rPr>
              <w:t>河南素佳生物科技有限公司植物、食用菌类深加工项目</w:t>
            </w:r>
            <w:r>
              <w:rPr>
                <w:rFonts w:hint="eastAsia" w:eastAsia="宋体"/>
                <w:b w:val="0"/>
                <w:bCs w:val="0"/>
                <w:color w:val="000000" w:themeColor="text1"/>
                <w:sz w:val="24"/>
                <w:szCs w:val="24"/>
                <w:lang w:val="en-US" w:eastAsia="zh-CN"/>
                <w14:textFill>
                  <w14:solidFill>
                    <w14:schemeClr w14:val="tx1"/>
                  </w14:solidFill>
                </w14:textFill>
              </w:rPr>
              <w:t>位于</w:t>
            </w:r>
            <w:r>
              <w:rPr>
                <w:rFonts w:hint="default" w:eastAsia="宋体"/>
                <w:b w:val="0"/>
                <w:bCs w:val="0"/>
                <w:color w:val="000000" w:themeColor="text1"/>
                <w:sz w:val="24"/>
                <w:szCs w:val="24"/>
                <w:lang w:val="en-US" w:eastAsia="zh-CN"/>
                <w14:textFill>
                  <w14:solidFill>
                    <w14:schemeClr w14:val="tx1"/>
                  </w14:solidFill>
                </w14:textFill>
              </w:rPr>
              <w:t>平顶山市鲁山县河南省平顶山市鲁山县库区乡平岭街01号</w:t>
            </w:r>
            <w:r>
              <w:rPr>
                <w:rFonts w:hint="eastAsia" w:eastAsia="宋体"/>
                <w:b w:val="0"/>
                <w:bCs w:val="0"/>
                <w:color w:val="000000" w:themeColor="text1"/>
                <w:sz w:val="24"/>
                <w:szCs w:val="24"/>
                <w:lang w:val="en-US" w:eastAsia="zh-CN"/>
                <w14:textFill>
                  <w14:solidFill>
                    <w14:schemeClr w14:val="tx1"/>
                  </w14:solidFill>
                </w14:textFill>
              </w:rPr>
              <w:t>，</w:t>
            </w:r>
            <w:r>
              <w:rPr>
                <w:rFonts w:hint="default" w:eastAsia="宋体"/>
                <w:b w:val="0"/>
                <w:bCs w:val="0"/>
                <w:color w:val="000000" w:themeColor="text1"/>
                <w:sz w:val="24"/>
                <w:szCs w:val="24"/>
                <w:lang w:val="en-US" w:eastAsia="zh-CN"/>
                <w14:textFill>
                  <w14:solidFill>
                    <w14:schemeClr w14:val="tx1"/>
                  </w14:solidFill>
                </w14:textFill>
              </w:rPr>
              <w:t>租赁河南吉尔木食品有限公司食用菌加工车间，</w:t>
            </w:r>
            <w:r>
              <w:rPr>
                <w:rFonts w:hint="eastAsia" w:eastAsia="宋体"/>
                <w:b w:val="0"/>
                <w:bCs w:val="0"/>
                <w:color w:val="000000" w:themeColor="text1"/>
                <w:sz w:val="24"/>
                <w:szCs w:val="24"/>
                <w:lang w:val="en-US" w:eastAsia="zh-CN"/>
                <w14:textFill>
                  <w14:solidFill>
                    <w14:schemeClr w14:val="tx1"/>
                  </w14:solidFill>
                </w14:textFill>
              </w:rPr>
              <w:t>项目所在区域</w:t>
            </w:r>
            <w:r>
              <w:rPr>
                <w:rFonts w:hint="default" w:eastAsia="宋体"/>
                <w:b w:val="0"/>
                <w:bCs w:val="0"/>
                <w:color w:val="000000" w:themeColor="text1"/>
                <w:sz w:val="24"/>
                <w:szCs w:val="24"/>
                <w:lang w:val="en-US" w:eastAsia="zh-CN"/>
                <w14:textFill>
                  <w14:solidFill>
                    <w14:schemeClr w14:val="tx1"/>
                  </w14:solidFill>
                </w14:textFill>
              </w:rPr>
              <w:t>属于建设用地</w:t>
            </w:r>
            <w:r>
              <w:rPr>
                <w:rFonts w:hint="eastAsia" w:eastAsia="宋体"/>
                <w:b w:val="0"/>
                <w:bCs w:val="0"/>
                <w:color w:val="000000" w:themeColor="text1"/>
                <w:sz w:val="24"/>
                <w:szCs w:val="24"/>
                <w:lang w:val="en-US" w:eastAsia="zh-CN"/>
                <w14:textFill>
                  <w14:solidFill>
                    <w14:schemeClr w14:val="tx1"/>
                  </w14:solidFill>
                </w14:textFill>
              </w:rPr>
              <w:t>以及</w:t>
            </w:r>
            <w:r>
              <w:rPr>
                <w:rFonts w:hint="default" w:eastAsia="宋体"/>
                <w:b w:val="0"/>
                <w:bCs w:val="0"/>
                <w:color w:val="000000" w:themeColor="text1"/>
                <w:sz w:val="24"/>
                <w:szCs w:val="24"/>
                <w:lang w:val="en-US" w:eastAsia="zh-CN"/>
                <w14:textFill>
                  <w14:solidFill>
                    <w14:schemeClr w14:val="tx1"/>
                  </w14:solidFill>
                </w14:textFill>
              </w:rPr>
              <w:t>土地符合村镇规划要求。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4"/>
                <w:szCs w:val="24"/>
                <w:lang w:val="en-US" w:eastAsia="zh-CN"/>
                <w14:textFill>
                  <w14:solidFill>
                    <w14:schemeClr w14:val="tx1"/>
                  </w14:solidFill>
                </w14:textFill>
              </w:rPr>
              <w:t>本项目位于平顶山市鲁山县库区乡环湖路平岭街01号，租赁河南吉尔木食品有限公司食用菌加工车间部分区域，根据与河南吉尔木食品有限公司出具的情况说明中有关内容，本项目租赁其食用菌加工车间不会缩减河南吉尔木食品有限公司现有食用菌产品产能，且与河南吉尔木食品有限公司现有食用菌加工区域隔开并设置单独厂区进出口。</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b w:val="0"/>
                <w:bCs w:val="0"/>
                <w:color w:val="000000" w:themeColor="text1"/>
                <w:sz w:val="24"/>
                <w:szCs w:val="24"/>
                <w:lang w:val="en-US" w:eastAsia="zh-CN"/>
                <w14:textFill>
                  <w14:solidFill>
                    <w14:schemeClr w14:val="tx1"/>
                  </w14:solidFill>
                </w14:textFill>
              </w:rPr>
            </w:pPr>
            <w:r>
              <w:rPr>
                <w:rFonts w:hint="eastAsia"/>
                <w:b w:val="0"/>
                <w:bCs w:val="0"/>
                <w:color w:val="000000" w:themeColor="text1"/>
                <w:sz w:val="24"/>
                <w:szCs w:val="24"/>
                <w:lang w:val="en-US" w:eastAsia="zh-CN"/>
                <w14:textFill>
                  <w14:solidFill>
                    <w14:schemeClr w14:val="tx1"/>
                  </w14:solidFill>
                </w14:textFill>
              </w:rPr>
              <w:t>项目在建设过程中，建设内容与环评阶段有所变动，见下表2-1。</w:t>
            </w:r>
          </w:p>
          <w:p>
            <w:pPr>
              <w:spacing w:line="360" w:lineRule="auto"/>
              <w:ind w:firstLine="422" w:firstLineChars="200"/>
              <w:jc w:val="cente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t>表2-1  与《污染影响类建设项目重大变动清单（实行）》的通知</w:t>
            </w:r>
          </w:p>
          <w:p>
            <w:pPr>
              <w:spacing w:line="360" w:lineRule="auto"/>
              <w:ind w:firstLine="422" w:firstLineChars="200"/>
              <w:jc w:val="cente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t>（环办环评函[2020]688号）</w:t>
            </w:r>
            <w:r>
              <w:rPr>
                <w:rFonts w:hint="eastAsia" w:ascii="Times New Roman" w:hAnsi="Times New Roman" w:eastAsia="宋体" w:cs="Times New Roman"/>
                <w:b/>
                <w:bCs/>
                <w:color w:val="000000" w:themeColor="text1"/>
                <w:sz w:val="21"/>
                <w:szCs w:val="21"/>
                <w:lang w:val="en-US" w:eastAsia="zh-CN"/>
                <w14:textFill>
                  <w14:solidFill>
                    <w14:schemeClr w14:val="tx1"/>
                  </w14:solidFill>
                </w14:textFill>
              </w:rPr>
              <w:t>项目重大变动判定一览表</w:t>
            </w:r>
          </w:p>
          <w:tbl>
            <w:tblPr>
              <w:tblStyle w:val="26"/>
              <w:tblW w:w="84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427"/>
              <w:gridCol w:w="462"/>
              <w:gridCol w:w="2865"/>
              <w:gridCol w:w="2865"/>
              <w:gridCol w:w="1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21"/>
                      <w:szCs w:val="21"/>
                      <w:highlight w:val="none"/>
                      <w14:textFill>
                        <w14:solidFill>
                          <w14:schemeClr w14:val="tx1"/>
                        </w14:solidFill>
                      </w14:textFill>
                    </w:rPr>
                  </w:pPr>
                  <w:r>
                    <w:rPr>
                      <w:rFonts w:hint="default" w:ascii="Times New Roman" w:hAnsi="Times New Roman" w:eastAsia="宋体" w:cs="Times New Roman"/>
                      <w:b/>
                      <w:bCs w:val="0"/>
                      <w:color w:val="000000" w:themeColor="text1"/>
                      <w:sz w:val="21"/>
                      <w:szCs w:val="21"/>
                      <w:highlight w:val="none"/>
                      <w14:textFill>
                        <w14:solidFill>
                          <w14:schemeClr w14:val="tx1"/>
                        </w14:solidFill>
                      </w14:textFill>
                    </w:rPr>
                    <w:t>序号</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21"/>
                      <w:szCs w:val="21"/>
                      <w:highlight w:val="none"/>
                      <w14:textFill>
                        <w14:solidFill>
                          <w14:schemeClr w14:val="tx1"/>
                        </w14:solidFill>
                      </w14:textFill>
                    </w:rPr>
                  </w:pPr>
                  <w:r>
                    <w:rPr>
                      <w:rFonts w:hint="default" w:ascii="Times New Roman" w:hAnsi="Times New Roman" w:eastAsia="宋体" w:cs="Times New Roman"/>
                      <w:b/>
                      <w:bCs w:val="0"/>
                      <w:color w:val="000000" w:themeColor="text1"/>
                      <w:sz w:val="21"/>
                      <w:szCs w:val="21"/>
                      <w:highlight w:val="none"/>
                      <w14:textFill>
                        <w14:solidFill>
                          <w14:schemeClr w14:val="tx1"/>
                        </w14:solidFill>
                      </w14:textFill>
                    </w:rPr>
                    <w:t>内容</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21"/>
                      <w:szCs w:val="21"/>
                      <w:highlight w:val="none"/>
                      <w14:textFill>
                        <w14:solidFill>
                          <w14:schemeClr w14:val="tx1"/>
                        </w14:solidFill>
                      </w14:textFill>
                    </w:rPr>
                  </w:pPr>
                  <w:r>
                    <w:rPr>
                      <w:rFonts w:hint="eastAsia" w:cs="Times New Roman"/>
                      <w:b/>
                      <w:bCs w:val="0"/>
                      <w:color w:val="000000" w:themeColor="text1"/>
                      <w:sz w:val="21"/>
                      <w:szCs w:val="21"/>
                      <w:highlight w:val="none"/>
                      <w:lang w:val="en-US" w:eastAsia="zh-CN"/>
                      <w14:textFill>
                        <w14:solidFill>
                          <w14:schemeClr w14:val="tx1"/>
                        </w14:solidFill>
                      </w14:textFill>
                    </w:rPr>
                    <w:t>现有</w:t>
                  </w:r>
                  <w:r>
                    <w:rPr>
                      <w:rFonts w:hint="default" w:ascii="Times New Roman" w:hAnsi="Times New Roman" w:eastAsia="宋体" w:cs="Times New Roman"/>
                      <w:b/>
                      <w:bCs w:val="0"/>
                      <w:color w:val="000000" w:themeColor="text1"/>
                      <w:sz w:val="21"/>
                      <w:szCs w:val="21"/>
                      <w:highlight w:val="none"/>
                      <w14:textFill>
                        <w14:solidFill>
                          <w14:schemeClr w14:val="tx1"/>
                        </w14:solidFill>
                      </w14:textFill>
                    </w:rPr>
                    <w:t>环境影响报告</w:t>
                  </w:r>
                  <w:r>
                    <w:rPr>
                      <w:rFonts w:hint="eastAsia" w:cs="Times New Roman"/>
                      <w:b/>
                      <w:bCs w:val="0"/>
                      <w:color w:val="000000" w:themeColor="text1"/>
                      <w:sz w:val="21"/>
                      <w:szCs w:val="21"/>
                      <w:highlight w:val="none"/>
                      <w:lang w:val="en-US" w:eastAsia="zh-CN"/>
                      <w14:textFill>
                        <w14:solidFill>
                          <w14:schemeClr w14:val="tx1"/>
                        </w14:solidFill>
                      </w14:textFill>
                    </w:rPr>
                    <w:t>表</w:t>
                  </w:r>
                  <w:r>
                    <w:rPr>
                      <w:rFonts w:hint="default" w:ascii="Times New Roman" w:hAnsi="Times New Roman" w:eastAsia="宋体" w:cs="Times New Roman"/>
                      <w:b/>
                      <w:bCs w:val="0"/>
                      <w:color w:val="000000" w:themeColor="text1"/>
                      <w:sz w:val="21"/>
                      <w:szCs w:val="21"/>
                      <w:highlight w:val="none"/>
                      <w14:textFill>
                        <w14:solidFill>
                          <w14:schemeClr w14:val="tx1"/>
                        </w14:solidFill>
                      </w14:textFill>
                    </w:rPr>
                    <w:t>及批复内容</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21"/>
                      <w:szCs w:val="21"/>
                      <w:highlight w:val="none"/>
                      <w14:textFill>
                        <w14:solidFill>
                          <w14:schemeClr w14:val="tx1"/>
                        </w14:solidFill>
                      </w14:textFill>
                    </w:rPr>
                  </w:pPr>
                  <w:r>
                    <w:rPr>
                      <w:rFonts w:hint="default" w:ascii="Times New Roman" w:hAnsi="Times New Roman" w:eastAsia="宋体" w:cs="Times New Roman"/>
                      <w:b/>
                      <w:bCs w:val="0"/>
                      <w:color w:val="000000" w:themeColor="text1"/>
                      <w:sz w:val="21"/>
                      <w:szCs w:val="21"/>
                      <w:highlight w:val="none"/>
                      <w14:textFill>
                        <w14:solidFill>
                          <w14:schemeClr w14:val="tx1"/>
                        </w14:solidFill>
                      </w14:textFill>
                    </w:rPr>
                    <w:t>项目实际建设内容</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21"/>
                      <w:szCs w:val="21"/>
                      <w:highlight w:val="none"/>
                      <w:lang w:val="en-US" w:eastAsia="zh-CN"/>
                      <w14:textFill>
                        <w14:solidFill>
                          <w14:schemeClr w14:val="tx1"/>
                        </w14:solidFill>
                      </w14:textFill>
                    </w:rPr>
                  </w:pPr>
                  <w:r>
                    <w:rPr>
                      <w:rFonts w:hint="eastAsia" w:cs="Times New Roman"/>
                      <w:b/>
                      <w:bCs w:val="0"/>
                      <w:color w:val="000000" w:themeColor="text1"/>
                      <w:sz w:val="21"/>
                      <w:szCs w:val="21"/>
                      <w:highlight w:val="none"/>
                      <w:lang w:val="en-US" w:eastAsia="zh-CN"/>
                      <w14:textFill>
                        <w14:solidFill>
                          <w14:schemeClr w14:val="tx1"/>
                        </w14:solidFill>
                      </w14:textFill>
                    </w:rPr>
                    <w:t>是否属于重大变动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1</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性质</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保健食品制造</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保健食品制造</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2</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建设单位</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highlight w:val="none"/>
                      <w:lang w:val="en-US" w:eastAsia="zh-CN"/>
                      <w14:textFill>
                        <w14:solidFill>
                          <w14:schemeClr w14:val="tx1"/>
                        </w14:solidFill>
                      </w14:textFill>
                    </w:rPr>
                    <w:t>河南素兴生物科技有限公司</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highlight w:val="none"/>
                      <w:lang w:val="en-US" w:eastAsia="zh-CN"/>
                      <w14:textFill>
                        <w14:solidFill>
                          <w14:schemeClr w14:val="tx1"/>
                        </w14:solidFill>
                      </w14:textFill>
                    </w:rPr>
                    <w:t>河南素佳生物科技有限公司</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名称</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变更</w:t>
                  </w: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，不属于</w:t>
                  </w:r>
                  <w:r>
                    <w:rPr>
                      <w:rFonts w:hint="eastAsia" w:cs="Times New Roman"/>
                      <w:color w:val="000000" w:themeColor="text1"/>
                      <w:sz w:val="21"/>
                      <w:szCs w:val="21"/>
                      <w:highlight w:val="none"/>
                      <w:lang w:val="en-US" w:eastAsia="zh-CN"/>
                      <w14:textFill>
                        <w14:solidFill>
                          <w14:schemeClr w14:val="tx1"/>
                        </w14:solidFill>
                      </w14:textFill>
                    </w:rPr>
                    <w:t>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highlight w:val="none"/>
                      <w:lang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3</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规模</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香菇提取物150t/a；木耳及猴头菇等其他菌类提取物50t/a</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香菇提取物（粉状）100</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t/a、</w:t>
                  </w:r>
                  <w:r>
                    <w:rPr>
                      <w:rFonts w:hint="default" w:ascii="Times New Roman" w:hAnsi="Times New Roman" w:eastAsia="宋体" w:cs="Times New Roman"/>
                      <w:color w:val="000000" w:themeColor="text1"/>
                      <w:sz w:val="21"/>
                      <w:szCs w:val="21"/>
                      <w:highlight w:val="none"/>
                      <w14:textFill>
                        <w14:solidFill>
                          <w14:schemeClr w14:val="tx1"/>
                        </w14:solidFill>
                      </w14:textFill>
                    </w:rPr>
                    <w:t>香菇提取物（液体）50</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t/a、</w:t>
                  </w:r>
                  <w:r>
                    <w:rPr>
                      <w:rFonts w:hint="default" w:ascii="Times New Roman" w:hAnsi="Times New Roman" w:eastAsia="宋体" w:cs="Times New Roman"/>
                      <w:color w:val="000000" w:themeColor="text1"/>
                      <w:sz w:val="21"/>
                      <w:szCs w:val="21"/>
                      <w:highlight w:val="none"/>
                      <w14:textFill>
                        <w14:solidFill>
                          <w14:schemeClr w14:val="tx1"/>
                        </w14:solidFill>
                      </w14:textFill>
                    </w:rPr>
                    <w:t>香菇提取物（膏体）50</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t/a、</w:t>
                  </w:r>
                  <w:r>
                    <w:rPr>
                      <w:rFonts w:hint="default" w:ascii="Times New Roman" w:hAnsi="Times New Roman" w:eastAsia="宋体" w:cs="Times New Roman"/>
                      <w:color w:val="000000" w:themeColor="text1"/>
                      <w:sz w:val="21"/>
                      <w:szCs w:val="21"/>
                      <w:highlight w:val="none"/>
                      <w14:textFill>
                        <w14:solidFill>
                          <w14:schemeClr w14:val="tx1"/>
                        </w14:solidFill>
                      </w14:textFill>
                    </w:rPr>
                    <w:t>木耳及猴头菇等其他菌类提取物50</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t/a、</w:t>
                  </w:r>
                  <w:r>
                    <w:rPr>
                      <w:rFonts w:hint="default" w:ascii="Times New Roman" w:hAnsi="Times New Roman" w:eastAsia="宋体" w:cs="Times New Roman"/>
                      <w:color w:val="000000" w:themeColor="text1"/>
                      <w:sz w:val="21"/>
                      <w:szCs w:val="21"/>
                      <w:highlight w:val="none"/>
                      <w14:textFill>
                        <w14:solidFill>
                          <w14:schemeClr w14:val="tx1"/>
                        </w14:solidFill>
                      </w14:textFill>
                    </w:rPr>
                    <w:t>食用菌固体饲料50</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t/a</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规模</w:t>
                  </w:r>
                  <w:r>
                    <w:rPr>
                      <w:rFonts w:hint="eastAsia" w:cs="Times New Roman"/>
                      <w:color w:val="000000" w:themeColor="text1"/>
                      <w:sz w:val="21"/>
                      <w:szCs w:val="21"/>
                      <w:highlight w:val="none"/>
                      <w:lang w:val="en-US" w:eastAsia="zh-CN"/>
                      <w14:textFill>
                        <w14:solidFill>
                          <w14:schemeClr w14:val="tx1"/>
                        </w14:solidFill>
                      </w14:textFill>
                    </w:rPr>
                    <w:t>增大</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50%</w:t>
                  </w: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属于重大变动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highlight w:val="none"/>
                      <w:lang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4</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地点</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鲁山县库区乡平岭街01号</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鲁山县库区乡平岭街01号</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color w:val="000000" w:themeColor="text1"/>
                      <w:sz w:val="21"/>
                      <w:szCs w:val="21"/>
                      <w:highlight w:val="none"/>
                      <w:u w:val="single"/>
                      <w:lang w:eastAsia="zh-CN"/>
                      <w14:textFill>
                        <w14:solidFill>
                          <w14:schemeClr w14:val="tx1"/>
                        </w14:solidFill>
                      </w14:textFill>
                    </w:rPr>
                  </w:pPr>
                  <w:r>
                    <w:rPr>
                      <w:rFonts w:hint="eastAsia" w:cs="Times New Roman"/>
                      <w:b/>
                      <w:bCs/>
                      <w:color w:val="000000" w:themeColor="text1"/>
                      <w:sz w:val="21"/>
                      <w:szCs w:val="21"/>
                      <w:highlight w:val="none"/>
                      <w:u w:val="single"/>
                      <w:lang w:val="en-US" w:eastAsia="zh-CN"/>
                      <w14:textFill>
                        <w14:solidFill>
                          <w14:schemeClr w14:val="tx1"/>
                        </w14:solidFill>
                      </w14:textFill>
                    </w:rPr>
                    <w:t>5</w:t>
                  </w:r>
                </w:p>
              </w:tc>
              <w:tc>
                <w:tcPr>
                  <w:tcW w:w="42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生产工艺</w:t>
                  </w:r>
                </w:p>
              </w:tc>
              <w:tc>
                <w:tcPr>
                  <w:tcW w:w="4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t>生产工艺</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外购香菇、木耳及猴头菇等其他菌类→提取→过滤、暂存→浓缩、暂存→喷雾干燥→质检、净化包装→成品入库</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pP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外购</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香菇、木耳及猴头菇等其他菌类</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提取</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过滤、暂存</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→RO膜过滤机→超滤膜机→纳滤膜机→</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浓缩、暂存</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→离心（酶解→压滤→内包→外包→成品贮存、水沉→压滤→内包→外包→成品贮存）→调（配）料→喷雾干燥→粉碎→混合→内包→外包→成品贮存</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bCs/>
                      <w:color w:val="000000" w:themeColor="text1"/>
                      <w:kern w:val="2"/>
                      <w:sz w:val="21"/>
                      <w:szCs w:val="21"/>
                      <w:highlight w:val="none"/>
                      <w:u w:val="single"/>
                      <w:lang w:val="en-US" w:eastAsia="zh-CN" w:bidi="ar-SA"/>
                      <w14:textFill>
                        <w14:solidFill>
                          <w14:schemeClr w14:val="tx1"/>
                        </w14:solidFill>
                      </w14:textFill>
                    </w:rPr>
                  </w:pP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新</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增</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RO膜过滤、超滤、纳滤、</w:t>
                  </w:r>
                  <w:r>
                    <w:rPr>
                      <w:rFonts w:hint="default" w:ascii="Times New Roman" w:hAnsi="Times New Roman" w:eastAsia="宋体" w:cs="Times New Roman"/>
                      <w:b/>
                      <w:bCs/>
                      <w:color w:val="000000" w:themeColor="text1"/>
                      <w:kern w:val="2"/>
                      <w:sz w:val="21"/>
                      <w:szCs w:val="21"/>
                      <w:highlight w:val="none"/>
                      <w:u w:val="single"/>
                      <w:lang w:val="en-US" w:eastAsia="zh-CN" w:bidi="ar-SA"/>
                      <w14:textFill>
                        <w14:solidFill>
                          <w14:schemeClr w14:val="tx1"/>
                        </w14:solidFill>
                      </w14:textFill>
                    </w:rPr>
                    <w:t>酶解、水沉等工序</w:t>
                  </w:r>
                  <w:r>
                    <w:rPr>
                      <w:rFonts w:hint="eastAsia" w:ascii="Times New Roman" w:hAnsi="Times New Roman" w:cs="Times New Roman"/>
                      <w:b/>
                      <w:bCs/>
                      <w:color w:val="000000" w:themeColor="text1"/>
                      <w:kern w:val="2"/>
                      <w:sz w:val="21"/>
                      <w:szCs w:val="21"/>
                      <w:highlight w:val="none"/>
                      <w:u w:val="single"/>
                      <w:lang w:val="en-US" w:eastAsia="zh-CN" w:bidi="ar-SA"/>
                      <w14:textFill>
                        <w14:solidFill>
                          <w14:schemeClr w14:val="tx1"/>
                        </w14:solidFill>
                      </w14:textFill>
                    </w:rPr>
                    <w:t>不属于重大变动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4" w:hRule="atLeast"/>
              </w:trPr>
              <w:tc>
                <w:tcPr>
                  <w:tcW w:w="42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6</w:t>
                  </w:r>
                </w:p>
              </w:tc>
              <w:tc>
                <w:tcPr>
                  <w:tcW w:w="889"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主要原辅材料</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香菇、木耳及猴头菇等其他菌类、</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包装袋</w:t>
                  </w:r>
                </w:p>
              </w:tc>
              <w:tc>
                <w:tcPr>
                  <w:tcW w:w="2865"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香菇、木耳及猴头菇等其他菌类、蛋白酶、纤维酶、</w:t>
                  </w:r>
                  <w:r>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包装袋</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color w:val="000000" w:themeColor="text1"/>
                      <w:kern w:val="2"/>
                      <w:sz w:val="21"/>
                      <w:szCs w:val="21"/>
                      <w:highlight w:val="none"/>
                      <w:lang w:val="en-US" w:eastAsia="zh-CN" w:bidi="ar-SA"/>
                      <w14:textFill>
                        <w14:solidFill>
                          <w14:schemeClr w14:val="tx1"/>
                        </w14:solidFill>
                      </w14:textFill>
                    </w:rPr>
                  </w:pPr>
                  <w:r>
                    <w:rPr>
                      <w:rFonts w:hint="eastAsia" w:cs="Times New Roman"/>
                      <w:color w:val="000000" w:themeColor="text1"/>
                      <w:kern w:val="2"/>
                      <w:sz w:val="21"/>
                      <w:szCs w:val="21"/>
                      <w:highlight w:val="none"/>
                      <w:lang w:val="en-US" w:eastAsia="zh-CN" w:bidi="ar-SA"/>
                      <w14:textFill>
                        <w14:solidFill>
                          <w14:schemeClr w14:val="tx1"/>
                        </w14:solidFill>
                      </w14:textFill>
                    </w:rPr>
                    <w:t>新增</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蛋白酶、纤维酶</w:t>
                  </w:r>
                  <w:r>
                    <w:rPr>
                      <w:rFonts w:hint="eastAsia" w:ascii="Times New Roman" w:hAnsi="Times New Roman" w:cs="Times New Roman"/>
                      <w:color w:val="000000" w:themeColor="text1"/>
                      <w:spacing w:val="0"/>
                      <w:kern w:val="0"/>
                      <w:sz w:val="21"/>
                      <w:szCs w:val="21"/>
                      <w:highlight w:val="none"/>
                      <w:vertAlign w:val="baseline"/>
                      <w:lang w:val="en-US" w:eastAsia="zh-CN" w:bidi="ar-SA"/>
                      <w14:textFill>
                        <w14:solidFill>
                          <w14:schemeClr w14:val="tx1"/>
                        </w14:solidFill>
                      </w14:textFill>
                    </w:rPr>
                    <w:t>不属于重大变动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7" w:hRule="atLeast"/>
              </w:trPr>
              <w:tc>
                <w:tcPr>
                  <w:tcW w:w="427"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highlight w:val="none"/>
                      <w:lang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7</w:t>
                  </w:r>
                </w:p>
              </w:tc>
              <w:tc>
                <w:tcPr>
                  <w:tcW w:w="426"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环境保护措施</w:t>
                  </w:r>
                </w:p>
              </w:tc>
              <w:tc>
                <w:tcPr>
                  <w:tcW w:w="4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废水</w:t>
                  </w:r>
                </w:p>
              </w:tc>
              <w:tc>
                <w:tcPr>
                  <w:tcW w:w="2865"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浸泡、蒸煮、浓缩过程冷凝定排水定期排入厂区污水处理站处理后，用于厂区洒水抑尘或绿化。设备清洗废水经收集后排入厂区污水处理站处理后，用于厂区洒水抑尘或绿化。生活污水依托河南吉尔木食品有限公司现有化粪池处理后，定期清掏肥田。软水制备系统</w:t>
                  </w:r>
                  <w:r>
                    <w:rPr>
                      <w:rFonts w:hint="eastAsia"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排放</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浓水经收集后，用于车间洒水抑尘或绿化。</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浸泡、蒸煮、浓缩过程冷凝定排水定期排入厂区污水处理站处理后，用于厂区洒水抑尘或绿化。设备清洗废水经收集</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后排入厂区污水处理站处理后，用于</w:t>
                  </w:r>
                  <w:r>
                    <w:rPr>
                      <w:rFonts w:hint="eastAsia"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厂区周边梨园灌溉</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生活污水依托河南吉尔木食品有限公司现有化粪池处理后，定期清掏肥田。软水制备系统</w:t>
                  </w:r>
                  <w:r>
                    <w:rPr>
                      <w:rFonts w:hint="eastAsia"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排放</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浓水经收集后，用于车间洒水抑尘或绿化。</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eastAsia" w:cs="Times New Roman"/>
                      <w:b/>
                      <w:bCs/>
                      <w:color w:val="000000" w:themeColor="text1"/>
                      <w:sz w:val="21"/>
                      <w:szCs w:val="21"/>
                      <w:highlight w:val="none"/>
                      <w:u w:val="single"/>
                      <w:lang w:val="en-US" w:eastAsia="zh-CN"/>
                      <w14:textFill>
                        <w14:solidFill>
                          <w14:schemeClr w14:val="tx1"/>
                        </w14:solidFill>
                      </w14:textFill>
                    </w:rPr>
                    <w:t>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7" w:hRule="atLeast"/>
              </w:trPr>
              <w:tc>
                <w:tcPr>
                  <w:tcW w:w="42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26"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废气</w:t>
                  </w:r>
                </w:p>
              </w:tc>
              <w:tc>
                <w:tcPr>
                  <w:tcW w:w="2865"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提取及浓缩过程产生的植物气味采用车间通排风+密闭设备进行治理后排放。锅炉加热过程中产生的废气采用低氮燃烧器处理后，由1根15m高排气筒排放。喷雾干燥工序产生的废气采用冷凝器+袋式除尘器处理后，由1根15m高排气筒排放。污水处理站废气采用周边设置绿化带，定期投加除臭剂，无组织排放。</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提取及浓缩过程产生的植物气味采用车间通排风+密闭设备进行治理后排放。锅炉加热过程中产生的废气采用低氮燃烧器处理后，由1根</w:t>
                  </w:r>
                  <w:r>
                    <w:rPr>
                      <w:rFonts w:hint="eastAsia" w:cs="Times New Roman"/>
                      <w:color w:val="000000" w:themeColor="text1"/>
                      <w:spacing w:val="0"/>
                      <w:kern w:val="0"/>
                      <w:sz w:val="21"/>
                      <w:szCs w:val="21"/>
                      <w:highlight w:val="none"/>
                      <w:vertAlign w:val="baseline"/>
                      <w:lang w:val="en-US" w:eastAsia="zh-CN" w:bidi="ar-SA"/>
                      <w14:textFill>
                        <w14:solidFill>
                          <w14:schemeClr w14:val="tx1"/>
                        </w14:solidFill>
                      </w14:textFill>
                    </w:rPr>
                    <w:t>8</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m高排气筒排放。喷雾干燥工序产生的废气采用旋风+布袋除尘器处理后，由1根20m高排气筒排放。</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锅炉房烟气排气筒高度变8m，喷雾干燥产生废气处理措施冷凝器变动为旋风除尘器，以及排气筒高度增高为20m。变动内容均不属于重大变动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26"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噪声</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基础减震，厂房隔音</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基础减震，厂房隔音</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pPr>
                  <w:r>
                    <w:rPr>
                      <w:rFonts w:hint="eastAsia" w:cs="Times New Roman"/>
                      <w:color w:val="000000" w:themeColor="text1"/>
                      <w:sz w:val="21"/>
                      <w:szCs w:val="21"/>
                      <w:highlight w:val="none"/>
                      <w:lang w:val="en-US" w:eastAsia="zh-CN"/>
                      <w14:textFill>
                        <w14:solidFill>
                          <w14:schemeClr w14:val="tx1"/>
                        </w14:solidFill>
                      </w14:textFill>
                    </w:rPr>
                    <w:t>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26"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p>
              </w:tc>
              <w:tc>
                <w:tcPr>
                  <w:tcW w:w="46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highlight w:val="none"/>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固体废物</w:t>
                  </w:r>
                </w:p>
              </w:tc>
              <w:tc>
                <w:tcPr>
                  <w:tcW w:w="2865"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lang w:val="en-US"/>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提取、过滤过程产生的香菇、木耳及猴头菇等其他菌类残渣经密闭桶装收集后暂存于一般固废暂存间（1座，5m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），日产日清，直接外售。除尘器收集尘经收集后直接作为产品。废离子交换树脂由厂家更换直接带走。污泥经密闭桶收集后由周围村民拉走，作为肥料处置。废包装材料经收集后暂存于一般固废暂存间（1座5m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），定期外售。职工生活垃圾经垃圾桶收集后定期交由环卫部门统一清运处置。</w:t>
                  </w:r>
                </w:p>
              </w:tc>
              <w:tc>
                <w:tcPr>
                  <w:tcW w:w="286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提取、过滤过程产生的香菇、木耳及猴头菇等其他菌类残渣经密闭桶装收集后暂存于一般固废暂存间（1座，5m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），日产日清，直接外售</w:t>
                  </w:r>
                  <w:r>
                    <w:rPr>
                      <w:rFonts w:hint="eastAsia"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废离子交换树脂由厂家更换直接带走。污泥经密闭桶收集后由周围村民拉走，作为肥料处置。废包装材料经收集后暂存于一般固废暂存间（1座5m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），定期外售。职工生活垃圾经垃圾桶收集后定期交由环卫部门统一清运处置。</w:t>
                  </w:r>
                  <w:r>
                    <w:rPr>
                      <w:rFonts w:hint="eastAsia"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废</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RO膜、超滤膜以及纳滤膜厂家回收</w:t>
                  </w:r>
                  <w:r>
                    <w:rPr>
                      <w:rFonts w:hint="eastAsia" w:cs="Times New Roman"/>
                      <w:b/>
                      <w:bCs/>
                      <w:color w:val="000000" w:themeColor="text1"/>
                      <w:kern w:val="2"/>
                      <w:sz w:val="21"/>
                      <w:szCs w:val="21"/>
                      <w:highlight w:val="none"/>
                      <w:u w:val="single"/>
                      <w:lang w:val="en-US" w:eastAsia="zh-CN" w:bidi="ar-SA"/>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color w:val="000000" w:themeColor="text1"/>
                      <w:sz w:val="21"/>
                      <w:szCs w:val="21"/>
                      <w:highlight w:val="none"/>
                      <w:u w:val="singl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t>废导热油为危险废物，收集后危废暂存间暂存</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（1座7m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default" w:ascii="Times New Roman" w:hAnsi="Times New Roman" w:eastAsia="宋体" w:cs="Times New Roman"/>
                      <w:b/>
                      <w:bCs/>
                      <w:color w:val="000000" w:themeColor="text1"/>
                      <w:sz w:val="21"/>
                      <w:szCs w:val="21"/>
                      <w:highlight w:val="none"/>
                      <w:u w:val="single"/>
                      <w:lang w:eastAsia="zh-CN"/>
                      <w14:textFill>
                        <w14:solidFill>
                          <w14:schemeClr w14:val="tx1"/>
                        </w14:solidFill>
                      </w14:textFill>
                    </w:rPr>
                    <w:t>，</w:t>
                  </w:r>
                  <w:r>
                    <w:rPr>
                      <w:rFonts w:hint="eastAsia" w:cs="Times New Roman"/>
                      <w:b/>
                      <w:bCs/>
                      <w:color w:val="000000" w:themeColor="text1"/>
                      <w:sz w:val="21"/>
                      <w:szCs w:val="21"/>
                      <w:highlight w:val="none"/>
                      <w:u w:val="single"/>
                      <w:lang w:val="en-US" w:eastAsia="zh-CN"/>
                      <w14:textFill>
                        <w14:solidFill>
                          <w14:schemeClr w14:val="tx1"/>
                        </w14:solidFill>
                      </w14:textFill>
                    </w:rPr>
                    <w:t>交由</w:t>
                  </w: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有资质的单位</w:t>
                  </w:r>
                  <w:r>
                    <w:rPr>
                      <w:rFonts w:hint="eastAsia" w:cs="Times New Roman"/>
                      <w:b/>
                      <w:bCs/>
                      <w:color w:val="000000" w:themeColor="text1"/>
                      <w:sz w:val="21"/>
                      <w:szCs w:val="21"/>
                      <w:highlight w:val="none"/>
                      <w:u w:val="single"/>
                      <w:lang w:val="en-US" w:eastAsia="zh-CN"/>
                      <w14:textFill>
                        <w14:solidFill>
                          <w14:schemeClr w14:val="tx1"/>
                        </w14:solidFill>
                      </w14:textFill>
                    </w:rPr>
                    <w:t>进行处置。</w:t>
                  </w:r>
                </w:p>
              </w:tc>
              <w:tc>
                <w:tcPr>
                  <w:tcW w:w="135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eastAsia" w:cs="Times New Roman"/>
                      <w:b/>
                      <w:bCs/>
                      <w:color w:val="000000" w:themeColor="text1"/>
                      <w:sz w:val="21"/>
                      <w:szCs w:val="21"/>
                      <w:highlight w:val="none"/>
                      <w:u w:val="single"/>
                      <w:lang w:val="en-US" w:eastAsia="zh-CN"/>
                      <w14:textFill>
                        <w14:solidFill>
                          <w14:schemeClr w14:val="tx1"/>
                        </w14:solidFill>
                      </w14:textFill>
                    </w:rPr>
                    <w:t>新增危险废物暂存间</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（1座7m</w:t>
                  </w:r>
                  <w:r>
                    <w:rPr>
                      <w:rFonts w:hint="default" w:ascii="Times New Roman" w:hAnsi="Times New Roman" w:eastAsia="宋体" w:cs="Times New Roman"/>
                      <w:b/>
                      <w:bCs/>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eastAsia"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，主要贮存危险废物废导热油，不属于重大变动</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宋体" w:eastAsia="宋体" w:cs="Times New Roman"/>
                <w:color w:val="000000" w:themeColor="text1"/>
                <w:sz w:val="24"/>
                <w:szCs w:val="24"/>
                <w:lang w:val="en-US" w:eastAsia="zh-CN"/>
                <w14:textFill>
                  <w14:solidFill>
                    <w14:schemeClr w14:val="tx1"/>
                  </w14:solidFill>
                </w14:textFill>
              </w:rPr>
            </w:pPr>
            <w:r>
              <w:rPr>
                <w:rFonts w:hint="eastAsia" w:ascii="Times New Roman" w:hAnsi="宋体" w:eastAsia="宋体" w:cs="Times New Roman"/>
                <w:color w:val="000000" w:themeColor="text1"/>
                <w:sz w:val="24"/>
                <w:szCs w:val="24"/>
                <w:lang w:val="en-US" w:eastAsia="zh-CN"/>
                <w14:textFill>
                  <w14:solidFill>
                    <w14:schemeClr w14:val="tx1"/>
                  </w14:solidFill>
                </w14:textFill>
              </w:rPr>
              <w:t>根据《污染影响类建设项目重大变动清单（实行）》的通知（环办环评函[2020]688号）要求，</w:t>
            </w:r>
            <w:r>
              <w:rPr>
                <w:rFonts w:hint="default" w:ascii="Times New Roman" w:hAnsi="宋体" w:eastAsia="宋体" w:cs="Times New Roman"/>
                <w:color w:val="000000" w:themeColor="text1"/>
                <w:sz w:val="24"/>
                <w:szCs w:val="24"/>
                <w:lang w:val="en-US" w:eastAsia="zh-CN"/>
                <w14:textFill>
                  <w14:solidFill>
                    <w14:schemeClr w14:val="tx1"/>
                  </w14:solidFill>
                </w14:textFill>
              </w:rPr>
              <w:t>河南素佳生物科技有限公司</w:t>
            </w:r>
            <w:r>
              <w:rPr>
                <w:rFonts w:hint="eastAsia" w:ascii="Times New Roman" w:hAnsi="宋体" w:eastAsia="宋体" w:cs="Times New Roman"/>
                <w:color w:val="000000" w:themeColor="text1"/>
                <w:sz w:val="24"/>
                <w:szCs w:val="24"/>
                <w:lang w:val="en-US" w:eastAsia="zh-CN"/>
                <w14:textFill>
                  <w14:solidFill>
                    <w14:schemeClr w14:val="tx1"/>
                  </w14:solidFill>
                </w14:textFill>
              </w:rPr>
              <w:t>实际建设中</w:t>
            </w:r>
            <w:r>
              <w:rPr>
                <w:rFonts w:hint="eastAsia" w:hAnsi="宋体" w:cs="Times New Roman"/>
                <w:color w:val="000000" w:themeColor="text1"/>
                <w:sz w:val="24"/>
                <w:szCs w:val="24"/>
                <w:lang w:val="en-US" w:eastAsia="zh-CN"/>
                <w14:textFill>
                  <w14:solidFill>
                    <w14:schemeClr w14:val="tx1"/>
                  </w14:solidFill>
                </w14:textFill>
              </w:rPr>
              <w:t>生产规模增大</w:t>
            </w:r>
            <w:r>
              <w:rPr>
                <w:rFonts w:hint="eastAsia" w:ascii="Times New Roman" w:hAnsi="宋体" w:eastAsia="宋体" w:cs="Times New Roman"/>
                <w:color w:val="000000" w:themeColor="text1"/>
                <w:sz w:val="24"/>
                <w:szCs w:val="24"/>
                <w:lang w:val="en-US" w:eastAsia="zh-CN"/>
                <w14:textFill>
                  <w14:solidFill>
                    <w14:schemeClr w14:val="tx1"/>
                  </w14:solidFill>
                </w14:textFill>
              </w:rPr>
              <w:t>50%</w:t>
            </w:r>
            <w:r>
              <w:rPr>
                <w:rFonts w:hint="eastAsia" w:hAnsi="宋体" w:cs="Times New Roman"/>
                <w:color w:val="000000" w:themeColor="text1"/>
                <w:sz w:val="24"/>
                <w:szCs w:val="24"/>
                <w:lang w:val="en-US" w:eastAsia="zh-CN"/>
                <w14:textFill>
                  <w14:solidFill>
                    <w14:schemeClr w14:val="tx1"/>
                  </w14:solidFill>
                </w14:textFill>
              </w:rPr>
              <w:t>，属于</w:t>
            </w:r>
            <w:r>
              <w:rPr>
                <w:rFonts w:hint="eastAsia" w:ascii="Times New Roman" w:hAnsi="宋体" w:eastAsia="宋体" w:cs="Times New Roman"/>
                <w:color w:val="000000" w:themeColor="text1"/>
                <w:sz w:val="24"/>
                <w:szCs w:val="24"/>
                <w:lang w:val="en-US" w:eastAsia="zh-CN"/>
                <w14:textFill>
                  <w14:solidFill>
                    <w14:schemeClr w14:val="tx1"/>
                  </w14:solidFill>
                </w14:textFill>
              </w:rPr>
              <w:t>发生重大变动。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宋体" w:eastAsia="宋体" w:cs="Times New Roman"/>
                <w:color w:val="000000" w:themeColor="text1"/>
                <w:sz w:val="24"/>
                <w:szCs w:val="24"/>
                <w:lang w:val="en-US" w:eastAsia="zh-CN"/>
                <w14:textFill>
                  <w14:solidFill>
                    <w14:schemeClr w14:val="tx1"/>
                  </w14:solidFill>
                </w14:textFill>
              </w:rPr>
            </w:pPr>
            <w:r>
              <w:rPr>
                <w:rFonts w:hint="default" w:ascii="Times New Roman" w:hAnsi="宋体" w:eastAsia="宋体" w:cs="Times New Roman"/>
                <w:color w:val="000000" w:themeColor="text1"/>
                <w:sz w:val="24"/>
                <w:szCs w:val="24"/>
                <w:lang w:val="en-US" w:eastAsia="zh-CN"/>
                <w14:textFill>
                  <w14:solidFill>
                    <w14:schemeClr w14:val="tx1"/>
                  </w14:solidFill>
                </w14:textFill>
              </w:rPr>
              <w:t>根据《中华人民共和国环境影响评价法》“第二十四条建设项目的环境影响评价文件经批准后，建设项目的性质、规模、地点、采用的生产工艺或者防治污染、防止生态破坏的措施发生重大变动的，建设单位应当重新报批建设项目的环境影响评价文件”，本项目规模、生产工艺较原环评有所变动，因此项目需要重新报批建设项目的环境影响评价文件。</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color w:val="000000" w:themeColor="text1"/>
                <w:sz w:val="24"/>
                <w14:textFill>
                  <w14:solidFill>
                    <w14:schemeClr w14:val="tx1"/>
                  </w14:solidFill>
                </w14:textFill>
              </w:rPr>
            </w:pPr>
            <w:r>
              <w:rPr>
                <w:color w:val="000000" w:themeColor="text1"/>
                <w:sz w:val="24"/>
                <w14:textFill>
                  <w14:solidFill>
                    <w14:schemeClr w14:val="tx1"/>
                  </w14:solidFill>
                </w14:textFill>
              </w:rPr>
              <w:t>根据《中华人民共和国环境影响评价法》和《建设项目环境保护管理条例》（国务院令第682号）、《河南省建设项目环境保护条例》等法律、法规的规定及要求，</w:t>
            </w:r>
            <w:r>
              <w:rPr>
                <w:rFonts w:hint="eastAsia"/>
                <w:color w:val="000000" w:themeColor="text1"/>
                <w:sz w:val="24"/>
                <w14:textFill>
                  <w14:solidFill>
                    <w14:schemeClr w14:val="tx1"/>
                  </w14:solidFill>
                </w14:textFill>
              </w:rPr>
              <w:t>本</w:t>
            </w:r>
            <w:r>
              <w:rPr>
                <w:color w:val="000000" w:themeColor="text1"/>
                <w:sz w:val="24"/>
                <w14:textFill>
                  <w14:solidFill>
                    <w14:schemeClr w14:val="tx1"/>
                  </w14:solidFill>
                </w14:textFill>
              </w:rPr>
              <w:t>项目需要进行环境影响评价。</w:t>
            </w:r>
            <w:r>
              <w:rPr>
                <w:rFonts w:hint="eastAsia"/>
                <w:color w:val="000000" w:themeColor="text1"/>
                <w:sz w:val="24"/>
                <w14:textFill>
                  <w14:solidFill>
                    <w14:schemeClr w14:val="tx1"/>
                  </w14:solidFill>
                </w14:textFill>
              </w:rPr>
              <w:t>本项目行业类别属于《国民经济行业分类》（GB/T4754-2017）中“C1492保健食品制造”，</w:t>
            </w:r>
            <w:r>
              <w:rPr>
                <w:color w:val="000000" w:themeColor="text1"/>
                <w:sz w:val="24"/>
                <w14:textFill>
                  <w14:solidFill>
                    <w14:schemeClr w14:val="tx1"/>
                  </w14:solidFill>
                </w14:textFill>
              </w:rPr>
              <w:t>根据《建设项目环境影响评价分类管理名录》（2021年版），</w:t>
            </w:r>
            <w:r>
              <w:rPr>
                <w:rFonts w:hint="eastAsia"/>
                <w:color w:val="000000" w:themeColor="text1"/>
                <w:sz w:val="24"/>
                <w14:textFill>
                  <w14:solidFill>
                    <w14:schemeClr w14:val="tx1"/>
                  </w14:solidFill>
                </w14:textFill>
              </w:rPr>
              <w:t>本项目</w:t>
            </w:r>
            <w:r>
              <w:rPr>
                <w:color w:val="000000" w:themeColor="text1"/>
                <w:sz w:val="24"/>
                <w14:textFill>
                  <w14:solidFill>
                    <w14:schemeClr w14:val="tx1"/>
                  </w14:solidFill>
                </w14:textFill>
              </w:rPr>
              <w:t>类别为</w:t>
            </w:r>
            <w:r>
              <w:rPr>
                <w:rFonts w:hint="eastAsia"/>
                <w:color w:val="000000" w:themeColor="text1"/>
                <w:sz w:val="24"/>
                <w14:textFill>
                  <w14:solidFill>
                    <w14:schemeClr w14:val="tx1"/>
                  </w14:solidFill>
                </w14:textFill>
              </w:rPr>
              <w:t>“</w:t>
            </w:r>
            <w:r>
              <w:rPr>
                <w:rFonts w:hint="eastAsia" w:ascii="Times New Roman" w:hAnsi="Times New Roman" w:eastAsia="宋体" w:cs="Times New Roman"/>
                <w:bCs/>
                <w:color w:val="000000" w:themeColor="text1"/>
                <w:sz w:val="24"/>
                <w:szCs w:val="24"/>
                <w:lang w:eastAsia="zh-CN"/>
                <w14:textFill>
                  <w14:solidFill>
                    <w14:schemeClr w14:val="tx1"/>
                  </w14:solidFill>
                </w14:textFill>
              </w:rPr>
              <w:t>十一、食品制造业</w:t>
            </w: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14</w:t>
            </w:r>
            <w:r>
              <w:rPr>
                <w:rFonts w:hint="eastAsia"/>
                <w:color w:val="000000" w:themeColor="text1"/>
                <w:sz w:val="24"/>
                <w14:textFill>
                  <w14:solidFill>
                    <w14:schemeClr w14:val="tx1"/>
                  </w14:solidFill>
                </w14:textFill>
              </w:rPr>
              <w:t>”中“24-其他食品制造149*-盐加工；营养食品制造、保健食品制造、冷冻饮品及食用冰制造、无发酵工艺的食品及饲料添加剂制造、其他未列明食品制造，以上均不含单纯混合、分装的”</w:t>
            </w:r>
            <w:r>
              <w:rPr>
                <w:color w:val="000000" w:themeColor="text1"/>
                <w:sz w:val="24"/>
                <w14:textFill>
                  <w14:solidFill>
                    <w14:schemeClr w14:val="tx1"/>
                  </w14:solidFill>
                </w14:textFill>
              </w:rPr>
              <w:t>，需要编制报告表。</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s="宋体"/>
                <w:color w:val="000000" w:themeColor="text1"/>
                <w:kern w:val="0"/>
                <w:sz w:val="24"/>
                <w:szCs w:val="24"/>
                <w:lang w:val="en-US" w:eastAsia="zh-CN"/>
                <w14:textFill>
                  <w14:solidFill>
                    <w14:schemeClr w14:val="tx1"/>
                  </w14:solidFill>
                </w14:textFill>
              </w:rPr>
            </w:pPr>
            <w:r>
              <w:rPr>
                <w:color w:val="000000" w:themeColor="text1"/>
                <w:sz w:val="24"/>
                <w14:textFill>
                  <w14:solidFill>
                    <w14:schemeClr w14:val="tx1"/>
                  </w14:solidFill>
                </w14:textFill>
              </w:rPr>
              <w:t>受</w:t>
            </w:r>
            <w:r>
              <w:rPr>
                <w:rFonts w:hint="eastAsia"/>
                <w:color w:val="000000" w:themeColor="text1"/>
                <w:sz w:val="24"/>
                <w14:textFill>
                  <w14:solidFill>
                    <w14:schemeClr w14:val="tx1"/>
                  </w14:solidFill>
                </w14:textFill>
              </w:rPr>
              <w:t>建设单位</w:t>
            </w:r>
            <w:r>
              <w:rPr>
                <w:color w:val="000000" w:themeColor="text1"/>
                <w:sz w:val="24"/>
                <w14:textFill>
                  <w14:solidFill>
                    <w14:schemeClr w14:val="tx1"/>
                  </w14:solidFill>
                </w14:textFill>
              </w:rPr>
              <w:t>委托，</w:t>
            </w:r>
            <w:r>
              <w:rPr>
                <w:rFonts w:hint="eastAsia"/>
                <w:color w:val="000000" w:themeColor="text1"/>
                <w:sz w:val="24"/>
                <w14:textFill>
                  <w14:solidFill>
                    <w14:schemeClr w14:val="tx1"/>
                  </w14:solidFill>
                </w14:textFill>
              </w:rPr>
              <w:t>河南双辰环保工程有限</w:t>
            </w:r>
            <w:r>
              <w:rPr>
                <w:color w:val="000000" w:themeColor="text1"/>
                <w:sz w:val="24"/>
                <w14:textFill>
                  <w14:solidFill>
                    <w14:schemeClr w14:val="tx1"/>
                  </w14:solidFill>
                </w14:textFill>
              </w:rPr>
              <w:t>公司承担了</w:t>
            </w:r>
            <w:r>
              <w:rPr>
                <w:rFonts w:hint="eastAsia"/>
                <w:color w:val="000000" w:themeColor="text1"/>
                <w:sz w:val="24"/>
                <w14:textFill>
                  <w14:solidFill>
                    <w14:schemeClr w14:val="tx1"/>
                  </w14:solidFill>
                </w14:textFill>
              </w:rPr>
              <w:t>本</w:t>
            </w:r>
            <w:r>
              <w:rPr>
                <w:color w:val="000000" w:themeColor="text1"/>
                <w:sz w:val="24"/>
                <w14:textFill>
                  <w14:solidFill>
                    <w14:schemeClr w14:val="tx1"/>
                  </w14:solidFill>
                </w14:textFill>
              </w:rPr>
              <w:t>项目的环境影响评价工作</w:t>
            </w:r>
            <w:r>
              <w:rPr>
                <w:rFonts w:hint="eastAsia"/>
                <w:color w:val="000000" w:themeColor="text1"/>
                <w:sz w:val="24"/>
                <w14:textFill>
                  <w14:solidFill>
                    <w14:schemeClr w14:val="tx1"/>
                  </w14:solidFill>
                </w14:textFill>
              </w:rPr>
              <w:t>（委托书见附件1）</w:t>
            </w:r>
            <w:r>
              <w:rPr>
                <w:color w:val="000000" w:themeColor="text1"/>
                <w:sz w:val="24"/>
                <w14:textFill>
                  <w14:solidFill>
                    <w14:schemeClr w14:val="tx1"/>
                  </w14:solidFill>
                </w14:textFill>
              </w:rPr>
              <w:t>。接受委托后，我公司评价人员在现场勘察及收集有关资料进行分析的基础上，依据国家法规和环境影响评价技术导则，编制</w:t>
            </w:r>
            <w:r>
              <w:rPr>
                <w:rFonts w:hint="eastAsia"/>
                <w:color w:val="000000" w:themeColor="text1"/>
                <w:sz w:val="24"/>
                <w14:textFill>
                  <w14:solidFill>
                    <w14:schemeClr w14:val="tx1"/>
                  </w14:solidFill>
                </w14:textFill>
              </w:rPr>
              <w:t>完成《</w:t>
            </w:r>
            <w:r>
              <w:rPr>
                <w:rFonts w:hint="eastAsia"/>
                <w:b w:val="0"/>
                <w:bCs w:val="0"/>
                <w:color w:val="000000" w:themeColor="text1"/>
                <w:sz w:val="24"/>
                <w:szCs w:val="24"/>
                <w:lang w:val="en-US" w:eastAsia="zh-CN"/>
                <w14:textFill>
                  <w14:solidFill>
                    <w14:schemeClr w14:val="tx1"/>
                  </w14:solidFill>
                </w14:textFill>
              </w:rPr>
              <w:t>河南素佳生物科技有限公司</w:t>
            </w:r>
            <w:r>
              <w:rPr>
                <w:rFonts w:hint="eastAsia" w:cs="宋体"/>
                <w:color w:val="000000" w:themeColor="text1"/>
                <w:sz w:val="24"/>
                <w:lang w:val="en-US" w:eastAsia="zh-CN"/>
                <w14:textFill>
                  <w14:solidFill>
                    <w14:schemeClr w14:val="tx1"/>
                  </w14:solidFill>
                </w14:textFill>
              </w:rPr>
              <w:t>植物、食用菌类深加工项目</w:t>
            </w:r>
            <w:r>
              <w:rPr>
                <w:rFonts w:hint="eastAsia"/>
                <w:color w:val="000000" w:themeColor="text1"/>
                <w:kern w:val="0"/>
                <w:sz w:val="24"/>
                <w14:textFill>
                  <w14:solidFill>
                    <w14:schemeClr w14:val="tx1"/>
                  </w14:solidFill>
                </w14:textFill>
              </w:rPr>
              <w:t>环境影响报告表</w:t>
            </w:r>
            <w:r>
              <w:rPr>
                <w:rFonts w:hint="eastAsia"/>
                <w:color w:val="000000" w:themeColor="text1"/>
                <w:sz w:val="24"/>
                <w14:textFill>
                  <w14:solidFill>
                    <w14:schemeClr w14:val="tx1"/>
                  </w14:solidFill>
                </w14:textFill>
              </w:rPr>
              <w:t>》</w:t>
            </w:r>
            <w:r>
              <w:rPr>
                <w:color w:val="000000" w:themeColor="text1"/>
                <w:sz w:val="24"/>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ascii="Times New Roman" w:hAnsi="Times New Roman" w:cs="宋体"/>
                <w:b/>
                <w:bCs/>
                <w:color w:val="000000" w:themeColor="text1"/>
                <w:kern w:val="0"/>
                <w:sz w:val="24"/>
                <w:szCs w:val="24"/>
                <w:lang w:val="en-US" w:eastAsia="zh-CN"/>
                <w14:textFill>
                  <w14:solidFill>
                    <w14:schemeClr w14:val="tx1"/>
                  </w14:solidFill>
                </w14:textFill>
              </w:rPr>
              <w:t>2、建设内容。</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s="宋体"/>
                <w:b w:val="0"/>
                <w:bCs w:val="0"/>
                <w:color w:val="000000" w:themeColor="text1"/>
                <w:kern w:val="0"/>
                <w:sz w:val="24"/>
                <w:szCs w:val="24"/>
                <w:u w:val="none"/>
                <w14:textFill>
                  <w14:solidFill>
                    <w14:schemeClr w14:val="tx1"/>
                  </w14:solidFill>
                </w14:textFill>
              </w:rPr>
            </w:pPr>
            <w:r>
              <w:rPr>
                <w:rFonts w:hint="eastAsia" w:ascii="Times New Roman" w:hAnsi="Times New Roman" w:cs="宋体"/>
                <w:b w:val="0"/>
                <w:bCs w:val="0"/>
                <w:color w:val="000000" w:themeColor="text1"/>
                <w:kern w:val="0"/>
                <w:sz w:val="24"/>
                <w:szCs w:val="24"/>
                <w:u w:val="none"/>
                <w14:textFill>
                  <w14:solidFill>
                    <w14:schemeClr w14:val="tx1"/>
                  </w14:solidFill>
                </w14:textFill>
              </w:rPr>
              <w:t>主要建设内容见表</w:t>
            </w:r>
            <w:r>
              <w:rPr>
                <w:rFonts w:hint="eastAsia" w:cs="宋体"/>
                <w:b w:val="0"/>
                <w:bCs w:val="0"/>
                <w:color w:val="000000" w:themeColor="text1"/>
                <w:kern w:val="0"/>
                <w:sz w:val="24"/>
                <w:szCs w:val="24"/>
                <w:u w:val="none"/>
                <w:lang w:val="en-US" w:eastAsia="zh-CN"/>
                <w14:textFill>
                  <w14:solidFill>
                    <w14:schemeClr w14:val="tx1"/>
                  </w14:solidFill>
                </w14:textFill>
              </w:rPr>
              <w:t>2-2</w:t>
            </w:r>
            <w:r>
              <w:rPr>
                <w:rFonts w:hint="eastAsia" w:ascii="Times New Roman" w:hAnsi="Times New Roman" w:cs="宋体"/>
                <w:b w:val="0"/>
                <w:bCs w:val="0"/>
                <w:color w:val="000000" w:themeColor="text1"/>
                <w:kern w:val="0"/>
                <w:sz w:val="24"/>
                <w:szCs w:val="24"/>
                <w:u w:val="none"/>
                <w14:textFill>
                  <w14:solidFill>
                    <w14:schemeClr w14:val="tx1"/>
                  </w14:solidFill>
                </w14:textFill>
              </w:rPr>
              <w:t>。</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ascii="Times New Roman" w:hAnsi="Times New Roman" w:eastAsia="宋体"/>
                <w:color w:val="000000" w:themeColor="text1"/>
                <w:sz w:val="21"/>
                <w:szCs w:val="21"/>
                <w:u w:val="none"/>
                <w:lang w:val="en-US" w:eastAsia="zh-CN"/>
                <w14:textFill>
                  <w14:solidFill>
                    <w14:schemeClr w14:val="tx1"/>
                  </w14:solidFill>
                </w14:textFill>
              </w:rPr>
            </w:pPr>
            <w:r>
              <w:rPr>
                <w:rFonts w:hint="eastAsia" w:ascii="Times New Roman" w:hAnsi="Times New Roman" w:eastAsia="宋体"/>
                <w:color w:val="000000" w:themeColor="text1"/>
                <w:sz w:val="21"/>
                <w:szCs w:val="21"/>
                <w:u w:val="none"/>
                <w:lang w:val="en-US" w:eastAsia="zh-CN"/>
                <w14:textFill>
                  <w14:solidFill>
                    <w14:schemeClr w14:val="tx1"/>
                  </w14:solidFill>
                </w14:textFill>
              </w:rPr>
              <w:t>表</w:t>
            </w:r>
            <w:r>
              <w:rPr>
                <w:rFonts w:hint="eastAsia" w:eastAsia="宋体"/>
                <w:color w:val="000000" w:themeColor="text1"/>
                <w:sz w:val="21"/>
                <w:szCs w:val="21"/>
                <w:u w:val="none"/>
                <w:lang w:val="en-US" w:eastAsia="zh-CN"/>
                <w14:textFill>
                  <w14:solidFill>
                    <w14:schemeClr w14:val="tx1"/>
                  </w14:solidFill>
                </w14:textFill>
              </w:rPr>
              <w:t>2-2</w:t>
            </w:r>
            <w:r>
              <w:rPr>
                <w:rFonts w:hint="eastAsia" w:ascii="Times New Roman" w:hAnsi="Times New Roman" w:eastAsia="宋体"/>
                <w:color w:val="000000" w:themeColor="text1"/>
                <w:sz w:val="21"/>
                <w:szCs w:val="21"/>
                <w:u w:val="none"/>
                <w:lang w:val="en-US" w:eastAsia="zh-CN"/>
                <w14:textFill>
                  <w14:solidFill>
                    <w14:schemeClr w14:val="tx1"/>
                  </w14:solidFill>
                </w14:textFill>
              </w:rPr>
              <w:t xml:space="preserve">  </w:t>
            </w:r>
            <w:r>
              <w:rPr>
                <w:rFonts w:hint="eastAsia" w:eastAsia="宋体"/>
                <w:color w:val="000000" w:themeColor="text1"/>
                <w:sz w:val="21"/>
                <w:szCs w:val="21"/>
                <w:u w:val="none"/>
                <w:lang w:val="en-US" w:eastAsia="zh-CN"/>
                <w14:textFill>
                  <w14:solidFill>
                    <w14:schemeClr w14:val="tx1"/>
                  </w14:solidFill>
                </w14:textFill>
              </w:rPr>
              <w:t>项目</w:t>
            </w:r>
            <w:r>
              <w:rPr>
                <w:rFonts w:hint="eastAsia" w:ascii="Times New Roman" w:hAnsi="Times New Roman" w:eastAsia="宋体"/>
                <w:color w:val="000000" w:themeColor="text1"/>
                <w:sz w:val="21"/>
                <w:szCs w:val="21"/>
                <w:u w:val="none"/>
                <w:lang w:val="en-US" w:eastAsia="zh-CN"/>
                <w14:textFill>
                  <w14:solidFill>
                    <w14:schemeClr w14:val="tx1"/>
                  </w14:solidFill>
                </w14:textFill>
              </w:rPr>
              <w:t>组成情况一览表</w:t>
            </w:r>
          </w:p>
          <w:tbl>
            <w:tblPr>
              <w:tblStyle w:val="26"/>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7"/>
              <w:gridCol w:w="427"/>
              <w:gridCol w:w="2921"/>
              <w:gridCol w:w="3045"/>
              <w:gridCol w:w="15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5" w:hRule="atLeast"/>
              </w:trPr>
              <w:tc>
                <w:tcPr>
                  <w:tcW w:w="254" w:type="pct"/>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ascii="Times New Roman" w:hAnsi="Times New Roman" w:eastAsia="宋体"/>
                      <w:b/>
                      <w:bCs w:val="0"/>
                      <w:color w:val="000000" w:themeColor="text1"/>
                      <w:sz w:val="21"/>
                      <w:szCs w:val="21"/>
                      <w:u w:val="single"/>
                      <w14:textFill>
                        <w14:solidFill>
                          <w14:schemeClr w14:val="tx1"/>
                        </w14:solidFill>
                      </w14:textFill>
                    </w:rPr>
                    <w:t>类别</w:t>
                  </w:r>
                </w:p>
              </w:tc>
              <w:tc>
                <w:tcPr>
                  <w:tcW w:w="254" w:type="pct"/>
                  <w:tcBorders>
                    <w:bottom w:val="single" w:color="auto" w:sz="4" w:space="0"/>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ascii="Times New Roman" w:hAnsi="Times New Roman" w:eastAsia="宋体"/>
                      <w:b/>
                      <w:bCs w:val="0"/>
                      <w:color w:val="000000" w:themeColor="text1"/>
                      <w:sz w:val="21"/>
                      <w:szCs w:val="21"/>
                      <w:u w:val="single"/>
                      <w14:textFill>
                        <w14:solidFill>
                          <w14:schemeClr w14:val="tx1"/>
                        </w14:solidFill>
                      </w14:textFill>
                    </w:rPr>
                    <w:t>名称</w:t>
                  </w:r>
                </w:p>
              </w:tc>
              <w:tc>
                <w:tcPr>
                  <w:tcW w:w="1743" w:type="pct"/>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原环评建设内容</w:t>
                  </w:r>
                </w:p>
              </w:tc>
              <w:tc>
                <w:tcPr>
                  <w:tcW w:w="1817" w:type="pct"/>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重新报批</w:t>
                  </w:r>
                  <w:r>
                    <w:rPr>
                      <w:rFonts w:hint="eastAsia" w:ascii="Times New Roman" w:hAnsi="Times New Roman" w:eastAsia="宋体"/>
                      <w:b/>
                      <w:bCs w:val="0"/>
                      <w:color w:val="000000" w:themeColor="text1"/>
                      <w:sz w:val="21"/>
                      <w:szCs w:val="21"/>
                      <w:u w:val="single"/>
                      <w14:textFill>
                        <w14:solidFill>
                          <w14:schemeClr w14:val="tx1"/>
                        </w14:solidFill>
                      </w14:textFill>
                    </w:rPr>
                    <w:t>建设内容</w:t>
                  </w:r>
                </w:p>
              </w:tc>
              <w:tc>
                <w:tcPr>
                  <w:tcW w:w="929" w:type="pct"/>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7" w:hRule="atLeast"/>
              </w:trPr>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主体工程</w:t>
                  </w:r>
                </w:p>
              </w:tc>
              <w:tc>
                <w:tcPr>
                  <w:tcW w:w="254" w:type="pct"/>
                  <w:tcBorders>
                    <w:top w:val="single" w:color="auto" w:sz="4" w:space="0"/>
                    <w:bottom w:val="single" w:color="auto"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生产车间</w:t>
                  </w: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1F，建筑面积1500m</w:t>
                  </w:r>
                  <w:r>
                    <w:rPr>
                      <w:rFonts w:hint="eastAsia" w:ascii="Times New Roman" w:hAnsi="Times New Roman" w:eastAsia="宋体" w:cs="Times New Roman"/>
                      <w:b/>
                      <w:bCs w:val="0"/>
                      <w:color w:val="000000" w:themeColor="text1"/>
                      <w:spacing w:val="0"/>
                      <w:kern w:val="0"/>
                      <w:sz w:val="21"/>
                      <w:szCs w:val="21"/>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，钢结构，位于河南吉尔木食品有限公司现有食用菌加工车间北侧，主要包括原料库、进料间、提取生产线、喷雾干燥工段、半成品暂存区、浓缩工段等</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1F，</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建筑面积</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30</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00m</w:t>
                  </w:r>
                  <w:r>
                    <w:rPr>
                      <w:rFonts w:hint="eastAsia" w:ascii="Times New Roman" w:hAnsi="Times New Roman" w:eastAsia="宋体" w:cs="Times New Roman"/>
                      <w:b/>
                      <w:bCs w:val="0"/>
                      <w:color w:val="000000" w:themeColor="text1"/>
                      <w:spacing w:val="0"/>
                      <w:kern w:val="0"/>
                      <w:sz w:val="21"/>
                      <w:szCs w:val="21"/>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，钢结构，</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租用</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河南吉尔木食品有限公司现有食用菌加工车间北侧，主要包括原料库、进料间、提取生产线、喷雾干燥工段、半成品暂存区、浓缩工段</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、产品库</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等</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建筑面积以企业实际需要为主</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9"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14:textFill>
                        <w14:solidFill>
                          <w14:schemeClr w14:val="tx1"/>
                        </w14:solidFill>
                      </w14:textFill>
                    </w:rPr>
                  </w:pPr>
                </w:p>
              </w:tc>
              <w:tc>
                <w:tcPr>
                  <w:tcW w:w="254" w:type="pct"/>
                  <w:tcBorders>
                    <w:top w:val="single" w:color="auto" w:sz="4" w:space="0"/>
                    <w:bottom w:val="single" w:color="auto"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锅炉房</w:t>
                  </w: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1F，砖混结构，位于河南吉尔木食品有限公司现有食用菌加工车间外北侧，主要用于燃气锅炉存放</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1F，砖混结构，位于河南吉尔木食品有限公司现有食用菌加工车间外北侧，主要用于燃气锅炉存放</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254"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辅助工程</w:t>
                  </w:r>
                </w:p>
              </w:tc>
              <w:tc>
                <w:tcPr>
                  <w:tcW w:w="254" w:type="pct"/>
                  <w:tcBorders>
                    <w:top w:val="single" w:color="auto" w:sz="4" w:space="0"/>
                    <w:bottom w:val="single" w:color="auto"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eastAsia="zh-CN"/>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办公</w:t>
                  </w:r>
                  <w:r>
                    <w:rPr>
                      <w:rFonts w:hint="eastAsia" w:ascii="Times New Roman" w:hAnsi="Times New Roman" w:eastAsia="宋体"/>
                      <w:b/>
                      <w:bCs w:val="0"/>
                      <w:color w:val="000000" w:themeColor="text1"/>
                      <w:sz w:val="21"/>
                      <w:szCs w:val="21"/>
                      <w:u w:val="single"/>
                      <w:lang w:eastAsia="zh-CN"/>
                      <w14:textFill>
                        <w14:solidFill>
                          <w14:schemeClr w14:val="tx1"/>
                        </w14:solidFill>
                      </w14:textFill>
                    </w:rPr>
                    <w:t>室</w:t>
                  </w:r>
                </w:p>
              </w:tc>
              <w:tc>
                <w:tcPr>
                  <w:tcW w:w="1743" w:type="pct"/>
                  <w:tcBorders>
                    <w:bottom w:val="single" w:color="000000"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建筑面积500m</w:t>
                  </w:r>
                  <w:r>
                    <w:rPr>
                      <w:rFonts w:hint="eastAsia" w:ascii="Times New Roman" w:hAnsi="Times New Roman" w:eastAsia="宋体" w:cs="Times New Roman"/>
                      <w:b/>
                      <w:bCs w:val="0"/>
                      <w:color w:val="000000" w:themeColor="text1"/>
                      <w:spacing w:val="0"/>
                      <w:kern w:val="0"/>
                      <w:sz w:val="21"/>
                      <w:szCs w:val="21"/>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，钢结构，位于河南吉尔木食品有限公司现有食用菌加工车间西侧2楼</w:t>
                  </w:r>
                </w:p>
              </w:tc>
              <w:tc>
                <w:tcPr>
                  <w:tcW w:w="1817" w:type="pct"/>
                  <w:tcBorders>
                    <w:bottom w:val="single" w:color="000000"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建筑面积500m</w:t>
                  </w:r>
                  <w:r>
                    <w:rPr>
                      <w:rFonts w:hint="eastAsia" w:ascii="Times New Roman" w:hAnsi="Times New Roman" w:eastAsia="宋体" w:cs="Times New Roman"/>
                      <w:b/>
                      <w:bCs w:val="0"/>
                      <w:color w:val="000000" w:themeColor="text1"/>
                      <w:spacing w:val="0"/>
                      <w:kern w:val="0"/>
                      <w:sz w:val="21"/>
                      <w:szCs w:val="21"/>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，钢结构，位于河南吉尔木食品有限公司现有食用菌加工车间西侧2楼</w:t>
                  </w:r>
                </w:p>
              </w:tc>
              <w:tc>
                <w:tcPr>
                  <w:tcW w:w="929" w:type="pct"/>
                  <w:tcBorders>
                    <w:bottom w:val="single" w:color="000000" w:sz="4" w:space="0"/>
                  </w:tcBorders>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4" w:hRule="atLeast"/>
              </w:trPr>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公用工程</w:t>
                  </w:r>
                </w:p>
              </w:tc>
              <w:tc>
                <w:tcPr>
                  <w:tcW w:w="254"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供水</w:t>
                  </w: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依托河南吉尔木食品有限公司厂区现有自备水井</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依托河南吉尔木食品有限公司厂区现有自备水井</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8"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供电</w:t>
                  </w: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由当地供电所供给</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由当地供电所供给</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环保工程</w:t>
                  </w:r>
                </w:p>
              </w:tc>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废气</w:t>
                  </w: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提取及浓缩过程产生的植物气味采用车间通排风+密闭设备进行治理后排放。</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提取及浓缩过程产生的植物气味采用车间通排风+密闭设备进行治理后排放。</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锅炉加热过程中产生的废气采用低氮燃烧器处理后，由1根15m高排气筒排放。</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锅炉加热过程中产生的废气采用低氮燃烧器处理后，由1根</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8</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m高排气筒排放。</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排气筒高度变动为8m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喷雾及干燥工序产生的废气采用冷凝器+袋式除尘器处理后，由1根15m高排气筒排放。</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喷雾及干燥工序产生的废气采用旋风+布袋除尘器处理后，由1根</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20</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m高排气筒排放。</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z w:val="21"/>
                      <w:szCs w:val="21"/>
                      <w:highlight w:val="none"/>
                      <w:u w:val="single"/>
                      <w:lang w:val="en-US" w:eastAsia="zh-CN"/>
                      <w14:textFill>
                        <w14:solidFill>
                          <w14:schemeClr w14:val="tx1"/>
                        </w14:solidFill>
                      </w14:textFill>
                    </w:rPr>
                    <w:t>废气处理措施冷凝器变动为旋风除尘器，以及排气筒高度增高为20m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抽真空不凝气主要为植物气味</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，定期投加除臭剂，车间通排风</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新增，考虑抽真空产生不凝气</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污水处理站废气采用周边设置绿化带，定期投加除臭剂，无组织排放。</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污水处理站废气采用周边设置绿化带，定期投加除臭剂，无组织排放。</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废水</w:t>
                  </w: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浸泡、蒸煮、浓缩过程冷凝定排水定期排入厂区污水处理站处理后，用于厂区洒水抑尘或绿化。</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浸泡、蒸煮、浓缩过程冷凝定排水定期排入厂区污水处理站处理后，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c>
                <w:tcPr>
                  <w:tcW w:w="929"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污水处理站处理后尾水用于周边梨园灌溉及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设备清洗废水经收集后排入厂区污水处理站处理后，用于厂区洒水抑尘或绿化。</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设备清洗废水经收集后排入厂区污水处理站处理后，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929"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生活污水依托河南吉尔木食品有限公司现有化粪池处理后，定期清掏肥田。</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生活污水依托河南吉尔木食品有限公司现有化粪池处理后，定期清掏肥田。</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锅炉软水制备排污水</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经收集后，用于车间洒水抑尘或绿化。</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锅炉软水制备排污水</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经收集后，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浓水用于周边梨园灌溉及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噪声</w:t>
                  </w: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采取基础减振、厂房隔声等措施</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b/>
                      <w:bCs w:val="0"/>
                      <w:color w:val="000000" w:themeColor="text1"/>
                      <w:sz w:val="21"/>
                      <w:szCs w:val="21"/>
                      <w:u w:val="single"/>
                      <w14:textFill>
                        <w14:solidFill>
                          <w14:schemeClr w14:val="tx1"/>
                        </w14:solidFill>
                      </w14:textFill>
                    </w:rPr>
                    <w:t>通过优化平面布置、选用低噪声设备、基础减震、隔声等措施</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restar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b/>
                      <w:bCs w:val="0"/>
                      <w:color w:val="000000" w:themeColor="text1"/>
                      <w:sz w:val="21"/>
                      <w:szCs w:val="21"/>
                      <w:u w:val="single"/>
                      <w:lang w:val="en-US" w:eastAsia="zh-CN"/>
                      <w14:textFill>
                        <w14:solidFill>
                          <w14:schemeClr w14:val="tx1"/>
                        </w14:solidFill>
                      </w14:textFill>
                    </w:rPr>
                  </w:pPr>
                  <w:r>
                    <w:rPr>
                      <w:rFonts w:hint="eastAsia"/>
                      <w:b/>
                      <w:bCs w:val="0"/>
                      <w:color w:val="000000" w:themeColor="text1"/>
                      <w:sz w:val="21"/>
                      <w:szCs w:val="21"/>
                      <w:u w:val="single"/>
                      <w:lang w:val="en-US" w:eastAsia="zh-CN"/>
                      <w14:textFill>
                        <w14:solidFill>
                          <w14:schemeClr w14:val="tx1"/>
                        </w14:solidFill>
                      </w14:textFill>
                    </w:rPr>
                    <w:t>固体废物</w:t>
                  </w: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提取、过滤过程产生的香菇、木耳及猴头菇等其他菌类残渣经密闭桶装收集后暂存于一般固废暂存间（1座，5m</w:t>
                  </w:r>
                  <w:r>
                    <w:rPr>
                      <w:rFonts w:hint="eastAsia"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），日产日清，直接外售。</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提取、过滤过程产生的香菇、木耳及猴头菇等其他菌类残渣经密闭桶装收集后暂存于一般固废暂存间（1座，5m</w:t>
                  </w:r>
                  <w:r>
                    <w:rPr>
                      <w:rFonts w:hint="eastAsia"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），日产日清，直接外售。</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除尘器收集尘经收集后直接作为产品。</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除尘器收集尘经收集后直接作为产品。</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废离子交换树脂由厂家更换直接带走。</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废离子交换树脂由厂家更换直接带走。</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污泥经密闭桶收集后由周围村民拉走，作为肥料处置。</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污泥经密闭桶收集后由周围村民拉走，作为肥料处置。</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废包装材料经收集后暂存于一般固废暂存间（1座5m</w:t>
                  </w:r>
                  <w:r>
                    <w:rPr>
                      <w:rFonts w:hint="eastAsia"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），定期外售。</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废包装材料经收集后暂存于一般固废暂存间（1座5m</w:t>
                  </w:r>
                  <w:r>
                    <w:rPr>
                      <w:rFonts w:hint="eastAsia"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），定期外售。</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职工生活垃圾经垃圾桶收集后定期交由环卫部门统一清运处置。</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职工生活垃圾经垃圾桶收集后定期交由环卫部门统一清运处置。</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w:t>
                  </w:r>
                </w:p>
              </w:tc>
              <w:tc>
                <w:tcPr>
                  <w:tcW w:w="1817"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废RO膜、超滤膜以及</w:t>
                  </w: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纳滤膜厂家回收</w:t>
                  </w:r>
                </w:p>
              </w:tc>
              <w:tc>
                <w:tcPr>
                  <w:tcW w:w="929"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新增</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废RO膜、超滤膜以及</w:t>
                  </w: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废</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纳滤膜</w:t>
                  </w:r>
                  <w:r>
                    <w:rPr>
                      <w:rFonts w:hint="eastAsia"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一般固体废物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trPr>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ascii="Times New Roman" w:hAnsi="Times New Roman" w:eastAsia="宋体"/>
                      <w:b/>
                      <w:bCs w:val="0"/>
                      <w:color w:val="000000" w:themeColor="text1"/>
                      <w:sz w:val="21"/>
                      <w:szCs w:val="21"/>
                      <w:u w:val="single"/>
                      <w14:textFill>
                        <w14:solidFill>
                          <w14:schemeClr w14:val="tx1"/>
                        </w14:solidFill>
                      </w14:textFill>
                    </w:rPr>
                  </w:pPr>
                </w:p>
              </w:tc>
              <w:tc>
                <w:tcPr>
                  <w:tcW w:w="254" w:type="pct"/>
                  <w:vMerge w:val="continue"/>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u w:val="single"/>
                      <w:lang w:val="en-US" w:eastAsia="zh-CN"/>
                      <w14:textFill>
                        <w14:solidFill>
                          <w14:schemeClr w14:val="tx1"/>
                        </w14:solidFill>
                      </w14:textFill>
                    </w:rPr>
                  </w:pPr>
                </w:p>
              </w:tc>
              <w:tc>
                <w:tcPr>
                  <w:tcW w:w="1743"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b/>
                      <w:bCs w:val="0"/>
                      <w:color w:val="000000" w:themeColor="text1"/>
                      <w:sz w:val="21"/>
                      <w:szCs w:val="21"/>
                      <w:highlight w:val="none"/>
                      <w:u w:val="single"/>
                      <w:lang w:val="en-US" w:eastAsia="zh-CN"/>
                      <w14:textFill>
                        <w14:solidFill>
                          <w14:schemeClr w14:val="tx1"/>
                        </w14:solidFill>
                      </w14:textFill>
                    </w:rPr>
                  </w:pPr>
                  <w:r>
                    <w:rPr>
                      <w:rFonts w:hint="eastAsia"/>
                      <w:b/>
                      <w:bCs w:val="0"/>
                      <w:color w:val="000000" w:themeColor="text1"/>
                      <w:sz w:val="21"/>
                      <w:szCs w:val="21"/>
                      <w:highlight w:val="none"/>
                      <w:u w:val="single"/>
                      <w:lang w:val="en-US" w:eastAsia="zh-CN"/>
                      <w14:textFill>
                        <w14:solidFill>
                          <w14:schemeClr w14:val="tx1"/>
                        </w14:solidFill>
                      </w14:textFill>
                    </w:rPr>
                    <w:t>/</w:t>
                  </w:r>
                </w:p>
              </w:tc>
              <w:tc>
                <w:tcPr>
                  <w:tcW w:w="1817"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both"/>
                    <w:textAlignment w:val="auto"/>
                    <w:outlineLvl w:val="9"/>
                    <w:rPr>
                      <w:rFonts w:hint="eastAsia" w:ascii="Times New Roman" w:hAnsi="Times New Roman" w:eastAsia="宋体"/>
                      <w:b/>
                      <w:bCs w:val="0"/>
                      <w:color w:val="000000" w:themeColor="text1"/>
                      <w:sz w:val="21"/>
                      <w:szCs w:val="21"/>
                      <w:highlight w:val="none"/>
                      <w:u w:val="single"/>
                      <w:lang w:eastAsia="zh-CN"/>
                      <w14:textFill>
                        <w14:solidFill>
                          <w14:schemeClr w14:val="tx1"/>
                        </w14:solidFill>
                      </w14:textFill>
                    </w:rPr>
                  </w:pPr>
                  <w:r>
                    <w:rPr>
                      <w:rFonts w:hint="eastAsia"/>
                      <w:b/>
                      <w:bCs w:val="0"/>
                      <w:color w:val="000000" w:themeColor="text1"/>
                      <w:sz w:val="21"/>
                      <w:szCs w:val="21"/>
                      <w:highlight w:val="none"/>
                      <w:u w:val="single"/>
                      <w:lang w:val="en-US" w:eastAsia="zh-CN"/>
                      <w14:textFill>
                        <w14:solidFill>
                          <w14:schemeClr w14:val="tx1"/>
                        </w14:solidFill>
                      </w14:textFill>
                    </w:rPr>
                    <w:t>废导热油为危险废物，</w:t>
                  </w:r>
                  <w:r>
                    <w:rPr>
                      <w:rFonts w:hint="eastAsia"/>
                      <w:b/>
                      <w:bCs w:val="0"/>
                      <w:color w:val="000000" w:themeColor="text1"/>
                      <w:szCs w:val="21"/>
                      <w:u w:val="single"/>
                      <w:lang w:val="en-US" w:eastAsia="zh-CN"/>
                      <w14:textFill>
                        <w14:solidFill>
                          <w14:schemeClr w14:val="tx1"/>
                        </w14:solidFill>
                      </w14:textFill>
                    </w:rPr>
                    <w:t>收集后危废暂存间暂存</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（1座7m</w:t>
                  </w:r>
                  <w:r>
                    <w:rPr>
                      <w:rFonts w:hint="eastAsia"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eastAsia"/>
                      <w:b/>
                      <w:bCs w:val="0"/>
                      <w:color w:val="000000" w:themeColor="text1"/>
                      <w:szCs w:val="21"/>
                      <w:u w:val="single"/>
                      <w:lang w:eastAsia="zh-CN"/>
                      <w14:textFill>
                        <w14:solidFill>
                          <w14:schemeClr w14:val="tx1"/>
                        </w14:solidFill>
                      </w14:textFill>
                    </w:rPr>
                    <w:t>，</w:t>
                  </w:r>
                  <w:r>
                    <w:rPr>
                      <w:rFonts w:hint="eastAsia"/>
                      <w:b/>
                      <w:bCs w:val="0"/>
                      <w:color w:val="000000" w:themeColor="text1"/>
                      <w:szCs w:val="21"/>
                      <w:u w:val="single"/>
                      <w14:textFill>
                        <w14:solidFill>
                          <w14:schemeClr w14:val="tx1"/>
                        </w14:solidFill>
                      </w14:textFill>
                    </w:rPr>
                    <w:t>交有资质的单位处置</w:t>
                  </w:r>
                </w:p>
              </w:tc>
              <w:tc>
                <w:tcPr>
                  <w:tcW w:w="929" w:type="pct"/>
                  <w:noWrap w:val="0"/>
                  <w:vAlign w:val="center"/>
                </w:tcPr>
                <w:p>
                  <w:pPr>
                    <w:pStyle w:val="59"/>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b/>
                      <w:bCs w:val="0"/>
                      <w:color w:val="000000" w:themeColor="text1"/>
                      <w:sz w:val="21"/>
                      <w:szCs w:val="21"/>
                      <w:highlight w:val="none"/>
                      <w:u w:val="single"/>
                      <w:lang w:val="en-US" w:eastAsia="zh-CN"/>
                      <w14:textFill>
                        <w14:solidFill>
                          <w14:schemeClr w14:val="tx1"/>
                        </w14:solidFill>
                      </w14:textFill>
                    </w:rPr>
                  </w:pPr>
                  <w:r>
                    <w:rPr>
                      <w:rFonts w:hint="eastAsia" w:cs="Times New Roman"/>
                      <w:b/>
                      <w:bCs w:val="0"/>
                      <w:color w:val="000000" w:themeColor="text1"/>
                      <w:sz w:val="21"/>
                      <w:szCs w:val="21"/>
                      <w:highlight w:val="none"/>
                      <w:u w:val="single"/>
                      <w:lang w:val="en-US" w:eastAsia="zh-CN"/>
                      <w14:textFill>
                        <w14:solidFill>
                          <w14:schemeClr w14:val="tx1"/>
                        </w14:solidFill>
                      </w14:textFill>
                    </w:rPr>
                    <w:t>新增危险废物暂存间</w:t>
                  </w:r>
                  <w:r>
                    <w:rPr>
                      <w:rFonts w:hint="default"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（1座7m</w:t>
                  </w:r>
                  <w:r>
                    <w:rPr>
                      <w:rFonts w:hint="default" w:ascii="Times New Roman" w:hAnsi="Times New Roman" w:eastAsia="宋体" w:cs="Times New Roman"/>
                      <w:b/>
                      <w:bCs w:val="0"/>
                      <w:color w:val="000000" w:themeColor="text1"/>
                      <w:spacing w:val="0"/>
                      <w:kern w:val="0"/>
                      <w:sz w:val="21"/>
                      <w:szCs w:val="21"/>
                      <w:highlight w:val="none"/>
                      <w:u w:val="single"/>
                      <w:vertAlign w:val="superscript"/>
                      <w:lang w:val="en-US" w:eastAsia="zh-CN" w:bidi="ar-SA"/>
                      <w14:textFill>
                        <w14:solidFill>
                          <w14:schemeClr w14:val="tx1"/>
                        </w14:solidFill>
                      </w14:textFill>
                    </w:rPr>
                    <w:t>2</w:t>
                  </w:r>
                  <w:r>
                    <w:rPr>
                      <w:rFonts w:hint="default"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，主要贮存危险废物废导热油</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3、</w:t>
            </w:r>
            <w:r>
              <w:rPr>
                <w:rFonts w:hint="eastAsia" w:ascii="Times New Roman" w:hAnsi="Times New Roman" w:cs="宋体"/>
                <w:b/>
                <w:bCs/>
                <w:color w:val="000000" w:themeColor="text1"/>
                <w:kern w:val="0"/>
                <w:sz w:val="24"/>
                <w:szCs w:val="24"/>
                <w:lang w:val="en-US" w:eastAsia="zh-CN"/>
                <w14:textFill>
                  <w14:solidFill>
                    <w14:schemeClr w14:val="tx1"/>
                  </w14:solidFill>
                </w14:textFill>
              </w:rPr>
              <w:t>项目主要产品及产能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eastAsia="宋体" w:cs="Times New Roman"/>
                <w:bCs/>
                <w:color w:val="000000" w:themeColor="text1"/>
                <w:sz w:val="24"/>
                <w:szCs w:val="24"/>
                <w:highlight w:val="none"/>
                <w:u w:val="none"/>
                <w:lang w:eastAsia="zh-CN"/>
                <w14:textFill>
                  <w14:solidFill>
                    <w14:schemeClr w14:val="tx1"/>
                  </w14:solidFill>
                </w14:textFill>
              </w:rPr>
            </w:pPr>
            <w:r>
              <w:rPr>
                <w:rFonts w:hint="eastAsia" w:ascii="Times New Roman" w:hAnsi="Times New Roman" w:cs="Times New Roman"/>
                <w:bCs/>
                <w:color w:val="000000" w:themeColor="text1"/>
                <w:sz w:val="24"/>
                <w:szCs w:val="24"/>
                <w:highlight w:val="none"/>
                <w:u w:val="none"/>
                <w:lang w:eastAsia="zh-CN"/>
                <w14:textFill>
                  <w14:solidFill>
                    <w14:schemeClr w14:val="tx1"/>
                  </w14:solidFill>
                </w14:textFill>
              </w:rPr>
              <w:t>项目主要产品方案见下表。</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eastAsia" w:ascii="Times New Roman" w:hAnsi="Times New Roman" w:eastAsia="宋体"/>
                <w:color w:val="000000" w:themeColor="text1"/>
                <w:sz w:val="21"/>
                <w:szCs w:val="21"/>
                <w:u w:val="none"/>
                <w:lang w:val="en-US" w:eastAsia="zh-CN"/>
                <w14:textFill>
                  <w14:solidFill>
                    <w14:schemeClr w14:val="tx1"/>
                  </w14:solidFill>
                </w14:textFill>
              </w:rPr>
            </w:pPr>
            <w:bookmarkStart w:id="0" w:name="OLE_LINK5"/>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eastAsia" w:ascii="Times New Roman" w:hAnsi="Times New Roman" w:eastAsia="宋体"/>
                <w:color w:val="000000" w:themeColor="text1"/>
                <w:sz w:val="21"/>
                <w:szCs w:val="21"/>
                <w:u w:val="none"/>
                <w:lang w:val="en-US" w:eastAsia="zh-CN"/>
                <w14:textFill>
                  <w14:solidFill>
                    <w14:schemeClr w14:val="tx1"/>
                  </w14:solidFill>
                </w14:textFill>
              </w:rPr>
            </w:pP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default" w:ascii="Times New Roman" w:hAnsi="Times New Roman" w:eastAsia="宋体"/>
                <w:color w:val="000000" w:themeColor="text1"/>
                <w:sz w:val="21"/>
                <w:szCs w:val="21"/>
                <w:u w:val="none"/>
                <w:lang w:val="en-US" w:eastAsia="zh-CN"/>
                <w14:textFill>
                  <w14:solidFill>
                    <w14:schemeClr w14:val="tx1"/>
                  </w14:solidFill>
                </w14:textFill>
              </w:rPr>
            </w:pPr>
            <w:r>
              <w:rPr>
                <w:rFonts w:hint="eastAsia" w:ascii="Times New Roman" w:hAnsi="Times New Roman" w:eastAsia="宋体"/>
                <w:color w:val="000000" w:themeColor="text1"/>
                <w:sz w:val="21"/>
                <w:szCs w:val="21"/>
                <w:u w:val="none"/>
                <w:lang w:val="en-US" w:eastAsia="zh-CN"/>
                <w14:textFill>
                  <w14:solidFill>
                    <w14:schemeClr w14:val="tx1"/>
                  </w14:solidFill>
                </w14:textFill>
              </w:rPr>
              <w:t>表</w:t>
            </w:r>
            <w:r>
              <w:rPr>
                <w:rFonts w:hint="eastAsia" w:eastAsia="宋体"/>
                <w:color w:val="000000" w:themeColor="text1"/>
                <w:sz w:val="21"/>
                <w:szCs w:val="21"/>
                <w:u w:val="none"/>
                <w:lang w:val="en-US" w:eastAsia="zh-CN"/>
                <w14:textFill>
                  <w14:solidFill>
                    <w14:schemeClr w14:val="tx1"/>
                  </w14:solidFill>
                </w14:textFill>
              </w:rPr>
              <w:t>2-3</w:t>
            </w:r>
            <w:r>
              <w:rPr>
                <w:rFonts w:hint="eastAsia" w:ascii="Times New Roman" w:hAnsi="Times New Roman" w:eastAsia="宋体"/>
                <w:color w:val="000000" w:themeColor="text1"/>
                <w:sz w:val="21"/>
                <w:szCs w:val="21"/>
                <w:u w:val="none"/>
                <w:lang w:val="en-US" w:eastAsia="zh-CN"/>
                <w14:textFill>
                  <w14:solidFill>
                    <w14:schemeClr w14:val="tx1"/>
                  </w14:solidFill>
                </w14:textFill>
              </w:rPr>
              <w:t xml:space="preserve">  本项目产品方案一览表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14"/>
              <w:gridCol w:w="778"/>
              <w:gridCol w:w="1098"/>
              <w:gridCol w:w="719"/>
              <w:gridCol w:w="1230"/>
              <w:gridCol w:w="26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产品名称</w:t>
                  </w:r>
                </w:p>
              </w:tc>
              <w:tc>
                <w:tcPr>
                  <w:tcW w:w="1119" w:type="pct"/>
                  <w:gridSpan w:val="2"/>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原环评产品方案</w:t>
                  </w:r>
                </w:p>
              </w:tc>
              <w:tc>
                <w:tcPr>
                  <w:tcW w:w="2737" w:type="pct"/>
                  <w:gridSpan w:val="3"/>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重新报批</w:t>
                  </w:r>
                  <w:r>
                    <w:rPr>
                      <w:rFonts w:hint="eastAsia" w:ascii="Times New Roman" w:hAnsi="Times New Roman" w:eastAsia="宋体"/>
                      <w:b/>
                      <w:color w:val="000000" w:themeColor="text1"/>
                      <w:sz w:val="21"/>
                      <w:szCs w:val="21"/>
                      <w:u w:val="none"/>
                      <w:lang w:val="en-US" w:eastAsia="zh-CN"/>
                      <w14:textFill>
                        <w14:solidFill>
                          <w14:schemeClr w14:val="tx1"/>
                        </w14:solidFill>
                      </w14:textFill>
                    </w:rPr>
                    <w:t>产品方案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纯度</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产量（t/a）</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纯度</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产量（t/a）</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highlight w:val="none"/>
                      <w:u w:val="none"/>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香菇提取物（粉状）</w:t>
                  </w: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150</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100</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14:textFill>
                        <w14:solidFill>
                          <w14:schemeClr w14:val="tx1"/>
                        </w14:solidFill>
                      </w14:textFill>
                    </w:rPr>
                    <w:t>粉状物料；重新报批产量减少50t/a</w:t>
                  </w:r>
                </w:p>
              </w:tc>
            </w:tr>
            <w:bookmarkEnd w:id="0"/>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香菇提取物（液体）</w:t>
                  </w: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14:textFill>
                        <w14:solidFill>
                          <w14:schemeClr w14:val="tx1"/>
                        </w14:solidFill>
                      </w14:textFill>
                    </w:rPr>
                    <w:t>液体物料；重新报批产量新增50t/a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香菇提取物（膏体）</w:t>
                  </w: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14:textFill>
                        <w14:solidFill>
                          <w14:schemeClr w14:val="tx1"/>
                        </w14:solidFill>
                      </w14:textFill>
                    </w:rPr>
                    <w:t>膏状物料；重新报批产量新增50t/a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木耳及猴头菇等其他菌类提取物</w:t>
                  </w: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20%</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20%</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14:textFill>
                        <w14:solidFill>
                          <w14:schemeClr w14:val="tx1"/>
                        </w14:solidFill>
                      </w14:textFill>
                    </w:rPr>
                    <w:t>粉状物料；一致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食用菌固体饲料</w:t>
                  </w:r>
                </w:p>
              </w:tc>
              <w:tc>
                <w:tcPr>
                  <w:tcW w:w="4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6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w:t>
                  </w:r>
                </w:p>
              </w:tc>
              <w:tc>
                <w:tcPr>
                  <w:tcW w:w="4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7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157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t>粉状物料，副产品</w:t>
                  </w:r>
                  <w:r>
                    <w:rPr>
                      <w:rFonts w:hint="eastAsia" w:cs="Times New Roman"/>
                      <w:color w:val="000000" w:themeColor="text1"/>
                      <w:spacing w:val="0"/>
                      <w:kern w:val="0"/>
                      <w:sz w:val="21"/>
                      <w:szCs w:val="21"/>
                      <w:highlight w:val="none"/>
                      <w:u w:val="none"/>
                      <w:vertAlign w:val="baseline"/>
                      <w:lang w:val="en-US" w:eastAsia="zh-CN"/>
                      <w14:textFill>
                        <w14:solidFill>
                          <w14:schemeClr w14:val="tx1"/>
                        </w14:solidFill>
                      </w14:textFill>
                    </w:rPr>
                    <w:t>；新增</w:t>
                  </w:r>
                </w:p>
              </w:tc>
            </w:tr>
          </w:tbl>
          <w:p>
            <w:pPr>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4、</w:t>
            </w:r>
            <w:r>
              <w:rPr>
                <w:rFonts w:hint="eastAsia" w:ascii="Times New Roman" w:hAnsi="Times New Roman" w:cs="宋体"/>
                <w:b/>
                <w:bCs/>
                <w:color w:val="000000" w:themeColor="text1"/>
                <w:kern w:val="0"/>
                <w:sz w:val="24"/>
                <w:szCs w:val="24"/>
                <w:lang w:val="en-US" w:eastAsia="zh-CN"/>
                <w14:textFill>
                  <w14:solidFill>
                    <w14:schemeClr w14:val="tx1"/>
                  </w14:solidFill>
                </w14:textFill>
              </w:rPr>
              <w:t>主要生产设备、设施</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s="宋体"/>
                <w:color w:val="000000" w:themeColor="text1"/>
                <w:kern w:val="0"/>
                <w:sz w:val="24"/>
                <w:szCs w:val="24"/>
                <w:lang w:val="en-US" w:eastAsia="zh-CN"/>
                <w14:textFill>
                  <w14:solidFill>
                    <w14:schemeClr w14:val="tx1"/>
                  </w14:solidFill>
                </w14:textFill>
              </w:rPr>
            </w:pPr>
            <w:r>
              <w:rPr>
                <w:rFonts w:hint="eastAsia" w:ascii="Times New Roman" w:hAnsi="Times New Roman" w:cs="宋体"/>
                <w:color w:val="000000" w:themeColor="text1"/>
                <w:kern w:val="0"/>
                <w:sz w:val="24"/>
                <w:szCs w:val="24"/>
                <w:lang w:val="en-US" w:eastAsia="zh-CN"/>
                <w14:textFill>
                  <w14:solidFill>
                    <w14:schemeClr w14:val="tx1"/>
                  </w14:solidFill>
                </w14:textFill>
              </w:rPr>
              <w:t>本项目主要生产设备、设施见表</w:t>
            </w:r>
            <w:r>
              <w:rPr>
                <w:rFonts w:hint="eastAsia" w:cs="宋体"/>
                <w:color w:val="000000" w:themeColor="text1"/>
                <w:kern w:val="0"/>
                <w:sz w:val="24"/>
                <w:szCs w:val="24"/>
                <w:lang w:val="en-US" w:eastAsia="zh-CN"/>
                <w14:textFill>
                  <w14:solidFill>
                    <w14:schemeClr w14:val="tx1"/>
                  </w14:solidFill>
                </w14:textFill>
              </w:rPr>
              <w:t>2-4</w:t>
            </w:r>
            <w:r>
              <w:rPr>
                <w:rFonts w:hint="eastAsia" w:ascii="Times New Roman" w:hAnsi="Times New Roman" w:cs="宋体"/>
                <w:color w:val="000000" w:themeColor="text1"/>
                <w:kern w:val="0"/>
                <w:sz w:val="24"/>
                <w:szCs w:val="24"/>
                <w:lang w:val="en-US" w:eastAsia="zh-CN"/>
                <w14:textFill>
                  <w14:solidFill>
                    <w14:schemeClr w14:val="tx1"/>
                  </w14:solidFill>
                </w14:textFill>
              </w:rPr>
              <w:t>。</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jc w:val="right"/>
              <w:textAlignment w:val="auto"/>
              <w:rPr>
                <w:rFonts w:hint="eastAsia" w:eastAsia="宋体"/>
                <w:color w:val="000000" w:themeColor="text1"/>
                <w:sz w:val="21"/>
                <w:szCs w:val="21"/>
                <w:u w:val="none"/>
                <w:lang w:val="en-US" w:eastAsia="zh-CN"/>
                <w14:textFill>
                  <w14:solidFill>
                    <w14:schemeClr w14:val="tx1"/>
                  </w14:solidFill>
                </w14:textFill>
              </w:rPr>
            </w:pPr>
            <w:r>
              <w:rPr>
                <w:rFonts w:hint="eastAsia" w:ascii="Times New Roman" w:hAnsi="Times New Roman" w:eastAsia="宋体"/>
                <w:color w:val="000000" w:themeColor="text1"/>
                <w:sz w:val="21"/>
                <w:szCs w:val="21"/>
                <w:u w:val="none"/>
                <w:lang w:val="en-US" w:eastAsia="zh-CN"/>
                <w14:textFill>
                  <w14:solidFill>
                    <w14:schemeClr w14:val="tx1"/>
                  </w14:solidFill>
                </w14:textFill>
              </w:rPr>
              <w:t>表2-</w:t>
            </w:r>
            <w:r>
              <w:rPr>
                <w:rFonts w:hint="eastAsia" w:eastAsia="宋体"/>
                <w:color w:val="000000" w:themeColor="text1"/>
                <w:sz w:val="21"/>
                <w:szCs w:val="21"/>
                <w:u w:val="none"/>
                <w:lang w:val="en-US" w:eastAsia="zh-CN"/>
                <w14:textFill>
                  <w14:solidFill>
                    <w14:schemeClr w14:val="tx1"/>
                  </w14:solidFill>
                </w14:textFill>
              </w:rPr>
              <w:t>4</w:t>
            </w:r>
            <w:r>
              <w:rPr>
                <w:rFonts w:hint="eastAsia" w:ascii="Times New Roman" w:hAnsi="Times New Roman" w:eastAsia="宋体"/>
                <w:color w:val="000000" w:themeColor="text1"/>
                <w:sz w:val="21"/>
                <w:szCs w:val="21"/>
                <w:u w:val="none"/>
                <w:lang w:val="en-US" w:eastAsia="zh-CN"/>
                <w14:textFill>
                  <w14:solidFill>
                    <w14:schemeClr w14:val="tx1"/>
                  </w14:solidFill>
                </w14:textFill>
              </w:rPr>
              <w:t xml:space="preserve">  主要设备一览表</w:t>
            </w:r>
            <w:r>
              <w:rPr>
                <w:rFonts w:hint="eastAsia" w:eastAsia="宋体"/>
                <w:color w:val="000000" w:themeColor="text1"/>
                <w:sz w:val="21"/>
                <w:szCs w:val="21"/>
                <w:u w:val="none"/>
                <w:lang w:val="en-US" w:eastAsia="zh-CN"/>
                <w14:textFill>
                  <w14:solidFill>
                    <w14:schemeClr w14:val="tx1"/>
                  </w14:solidFill>
                </w14:textFill>
              </w:rPr>
              <w:t xml:space="preserve">                  单位：个/台</w:t>
            </w:r>
          </w:p>
          <w:tbl>
            <w:tblPr>
              <w:tblStyle w:val="95"/>
              <w:tblW w:w="4998"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0" w:type="dxa"/>
                <w:bottom w:w="0" w:type="dxa"/>
                <w:right w:w="0" w:type="dxa"/>
              </w:tblCellMar>
            </w:tblPr>
            <w:tblGrid>
              <w:gridCol w:w="402"/>
              <w:gridCol w:w="1554"/>
              <w:gridCol w:w="1462"/>
              <w:gridCol w:w="585"/>
              <w:gridCol w:w="1317"/>
              <w:gridCol w:w="474"/>
              <w:gridCol w:w="1747"/>
              <w:gridCol w:w="831"/>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29" w:hRule="atLeast"/>
              </w:trPr>
              <w:tc>
                <w:tcPr>
                  <w:tcW w:w="240"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7"/>
                      <w:sz w:val="21"/>
                      <w:szCs w:val="21"/>
                      <w14:textFill>
                        <w14:solidFill>
                          <w14:schemeClr w14:val="tx1"/>
                        </w14:solidFill>
                      </w14:textFill>
                    </w:rPr>
                    <w:t>序</w:t>
                  </w:r>
                  <w:r>
                    <w:rPr>
                      <w:rFonts w:hint="default" w:ascii="Times New Roman" w:hAnsi="Times New Roman" w:eastAsia="宋体" w:cs="Times New Roman"/>
                      <w:b/>
                      <w:bCs/>
                      <w:color w:val="000000" w:themeColor="text1"/>
                      <w:spacing w:val="6"/>
                      <w:sz w:val="21"/>
                      <w:szCs w:val="21"/>
                      <w14:textFill>
                        <w14:solidFill>
                          <w14:schemeClr w14:val="tx1"/>
                        </w14:solidFill>
                      </w14:textFill>
                    </w:rPr>
                    <w:t>号</w:t>
                  </w:r>
                </w:p>
              </w:tc>
              <w:tc>
                <w:tcPr>
                  <w:tcW w:w="928"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7"/>
                      <w:sz w:val="21"/>
                      <w:szCs w:val="21"/>
                      <w14:textFill>
                        <w14:solidFill>
                          <w14:schemeClr w14:val="tx1"/>
                        </w14:solidFill>
                      </w14:textFill>
                    </w:rPr>
                    <w:t>名</w:t>
                  </w:r>
                  <w:r>
                    <w:rPr>
                      <w:rFonts w:hint="default" w:ascii="Times New Roman" w:hAnsi="Times New Roman" w:eastAsia="宋体" w:cs="Times New Roman"/>
                      <w:b/>
                      <w:bCs/>
                      <w:color w:val="000000" w:themeColor="text1"/>
                      <w:spacing w:val="5"/>
                      <w:sz w:val="21"/>
                      <w:szCs w:val="21"/>
                      <w14:textFill>
                        <w14:solidFill>
                          <w14:schemeClr w14:val="tx1"/>
                        </w14:solidFill>
                      </w14:textFill>
                    </w:rPr>
                    <w:t>称</w:t>
                  </w:r>
                </w:p>
              </w:tc>
              <w:tc>
                <w:tcPr>
                  <w:tcW w:w="1222" w:type="pct"/>
                  <w:gridSpan w:val="2"/>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pacing w:val="11"/>
                      <w:sz w:val="21"/>
                      <w:szCs w:val="21"/>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原环评设备</w:t>
                  </w:r>
                </w:p>
              </w:tc>
              <w:tc>
                <w:tcPr>
                  <w:tcW w:w="2112" w:type="pct"/>
                  <w:gridSpan w:val="3"/>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color w:val="000000" w:themeColor="text1"/>
                      <w:sz w:val="21"/>
                      <w:szCs w:val="21"/>
                      <w:lang w:eastAsia="zh-CN"/>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重新报批设备</w:t>
                  </w:r>
                </w:p>
              </w:tc>
              <w:tc>
                <w:tcPr>
                  <w:tcW w:w="496"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b/>
                      <w:color w:val="000000" w:themeColor="text1"/>
                      <w:sz w:val="21"/>
                      <w:szCs w:val="21"/>
                      <w:u w:val="none"/>
                      <w:lang w:val="en-US" w:eastAsia="zh-CN"/>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备注</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29" w:hRule="atLeast"/>
              </w:trPr>
              <w:tc>
                <w:tcPr>
                  <w:tcW w:w="240"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b/>
                      <w:bCs/>
                      <w:color w:val="000000" w:themeColor="text1"/>
                      <w:spacing w:val="7"/>
                      <w:sz w:val="21"/>
                      <w:szCs w:val="21"/>
                      <w14:textFill>
                        <w14:solidFill>
                          <w14:schemeClr w14:val="tx1"/>
                        </w14:solidFill>
                      </w14:textFill>
                    </w:rPr>
                  </w:pPr>
                </w:p>
              </w:tc>
              <w:tc>
                <w:tcPr>
                  <w:tcW w:w="928"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spacing w:val="1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sz w:val="21"/>
                      <w:szCs w:val="21"/>
                      <w14:textFill>
                        <w14:solidFill>
                          <w14:schemeClr w14:val="tx1"/>
                        </w14:solidFill>
                      </w14:textFill>
                    </w:rPr>
                    <w:t>规</w:t>
                  </w:r>
                  <w:r>
                    <w:rPr>
                      <w:rFonts w:hint="default" w:ascii="Times New Roman" w:hAnsi="Times New Roman" w:eastAsia="宋体" w:cs="Times New Roman"/>
                      <w:b/>
                      <w:bCs/>
                      <w:color w:val="000000" w:themeColor="text1"/>
                      <w:spacing w:val="10"/>
                      <w:sz w:val="21"/>
                      <w:szCs w:val="21"/>
                      <w14:textFill>
                        <w14:solidFill>
                          <w14:schemeClr w14:val="tx1"/>
                        </w14:solidFill>
                      </w14:textFill>
                    </w:rPr>
                    <w:t>格/型号</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spacing w:val="1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8"/>
                      <w:sz w:val="21"/>
                      <w:szCs w:val="21"/>
                      <w14:textFill>
                        <w14:solidFill>
                          <w14:schemeClr w14:val="tx1"/>
                        </w14:solidFill>
                      </w14:textFill>
                    </w:rPr>
                    <w:t>数</w:t>
                  </w:r>
                  <w:r>
                    <w:rPr>
                      <w:rFonts w:hint="default" w:ascii="Times New Roman" w:hAnsi="Times New Roman" w:eastAsia="宋体" w:cs="Times New Roman"/>
                      <w:b/>
                      <w:bCs/>
                      <w:color w:val="000000" w:themeColor="text1"/>
                      <w:spacing w:val="6"/>
                      <w:sz w:val="21"/>
                      <w:szCs w:val="21"/>
                      <w14:textFill>
                        <w14:solidFill>
                          <w14:schemeClr w14:val="tx1"/>
                        </w14:solidFill>
                      </w14:textFill>
                    </w:rPr>
                    <w:t>量</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sz w:val="21"/>
                      <w:szCs w:val="21"/>
                      <w14:textFill>
                        <w14:solidFill>
                          <w14:schemeClr w14:val="tx1"/>
                        </w14:solidFill>
                      </w14:textFill>
                    </w:rPr>
                    <w:t>规</w:t>
                  </w:r>
                  <w:r>
                    <w:rPr>
                      <w:rFonts w:hint="default" w:ascii="Times New Roman" w:hAnsi="Times New Roman" w:eastAsia="宋体" w:cs="Times New Roman"/>
                      <w:b/>
                      <w:bCs/>
                      <w:color w:val="000000" w:themeColor="text1"/>
                      <w:spacing w:val="10"/>
                      <w:sz w:val="21"/>
                      <w:szCs w:val="21"/>
                      <w14:textFill>
                        <w14:solidFill>
                          <w14:schemeClr w14:val="tx1"/>
                        </w14:solidFill>
                      </w14:textFill>
                    </w:rPr>
                    <w:t>格/型号</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8"/>
                      <w:sz w:val="21"/>
                      <w:szCs w:val="21"/>
                      <w14:textFill>
                        <w14:solidFill>
                          <w14:schemeClr w14:val="tx1"/>
                        </w14:solidFill>
                      </w14:textFill>
                    </w:rPr>
                    <w:t>数</w:t>
                  </w:r>
                  <w:r>
                    <w:rPr>
                      <w:rFonts w:hint="default" w:ascii="Times New Roman" w:hAnsi="Times New Roman" w:eastAsia="宋体" w:cs="Times New Roman"/>
                      <w:b/>
                      <w:bCs/>
                      <w:color w:val="000000" w:themeColor="text1"/>
                      <w:spacing w:val="6"/>
                      <w:sz w:val="21"/>
                      <w:szCs w:val="21"/>
                      <w14:textFill>
                        <w14:solidFill>
                          <w14:schemeClr w14:val="tx1"/>
                        </w14:solidFill>
                      </w14:textFill>
                    </w:rPr>
                    <w:t>量</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8"/>
                      <w:sz w:val="21"/>
                      <w:szCs w:val="21"/>
                      <w14:textFill>
                        <w14:solidFill>
                          <w14:schemeClr w14:val="tx1"/>
                        </w14:solidFill>
                      </w14:textFill>
                    </w:rPr>
                    <w:t>使用场</w:t>
                  </w:r>
                  <w:r>
                    <w:rPr>
                      <w:rFonts w:hint="default" w:ascii="Times New Roman" w:hAnsi="Times New Roman" w:eastAsia="宋体" w:cs="Times New Roman"/>
                      <w:b/>
                      <w:bCs/>
                      <w:color w:val="000000" w:themeColor="text1"/>
                      <w:spacing w:val="7"/>
                      <w:sz w:val="21"/>
                      <w:szCs w:val="21"/>
                      <w14:textFill>
                        <w14:solidFill>
                          <w14:schemeClr w14:val="tx1"/>
                        </w14:solidFill>
                      </w14:textFill>
                    </w:rPr>
                    <w:t>所</w:t>
                  </w:r>
                </w:p>
              </w:tc>
              <w:tc>
                <w:tcPr>
                  <w:tcW w:w="496"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b/>
                      <w:bCs/>
                      <w:color w:val="000000" w:themeColor="text1"/>
                      <w:spacing w:val="8"/>
                      <w:sz w:val="21"/>
                      <w:szCs w:val="21"/>
                      <w14:textFill>
                        <w14:solidFill>
                          <w14:schemeClr w14:val="tx1"/>
                        </w14:solidFill>
                      </w14:textFill>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t>1</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t>多功能提取罐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6t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4"/>
                      <w:sz w:val="21"/>
                      <w:szCs w:val="21"/>
                      <w14:textFill>
                        <w14:solidFill>
                          <w14:schemeClr w14:val="tx1"/>
                        </w14:solidFill>
                      </w14:textFill>
                    </w:rPr>
                    <w:t>φ1.4</w:t>
                  </w:r>
                  <w:r>
                    <w:rPr>
                      <w:rFonts w:hint="default" w:ascii="Times New Roman" w:hAnsi="Times New Roman" w:eastAsia="宋体" w:cs="Times New Roman"/>
                      <w:color w:val="000000" w:themeColor="text1"/>
                      <w:sz w:val="21"/>
                      <w:szCs w:val="21"/>
                      <w14:textFill>
                        <w14:solidFill>
                          <w14:schemeClr w14:val="tx1"/>
                        </w14:solidFill>
                      </w14:textFill>
                    </w:rPr>
                    <w:t>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14"/>
                      <w:sz w:val="21"/>
                      <w:szCs w:val="21"/>
                      <w14:textFill>
                        <w14:solidFill>
                          <w14:schemeClr w14:val="tx1"/>
                        </w14:solidFill>
                      </w14:textFill>
                    </w:rPr>
                    <w:t>5.</w:t>
                  </w:r>
                  <w:r>
                    <w:rPr>
                      <w:rFonts w:hint="default" w:ascii="Times New Roman" w:hAnsi="Times New Roman" w:eastAsia="宋体" w:cs="Times New Roman"/>
                      <w:color w:val="000000" w:themeColor="text1"/>
                      <w:spacing w:val="13"/>
                      <w:sz w:val="21"/>
                      <w:szCs w:val="21"/>
                      <w14:textFill>
                        <w14:solidFill>
                          <w14:schemeClr w14:val="tx1"/>
                        </w14:solidFill>
                      </w14:textFill>
                    </w:rPr>
                    <w:t>3</w:t>
                  </w:r>
                  <w:r>
                    <w:rPr>
                      <w:rFonts w:hint="default" w:ascii="Times New Roman" w:hAnsi="Times New Roman" w:eastAsia="宋体" w:cs="Times New Roman"/>
                      <w:color w:val="000000" w:themeColor="text1"/>
                      <w:sz w:val="21"/>
                      <w:szCs w:val="21"/>
                      <w14:textFill>
                        <w14:solidFill>
                          <w14:schemeClr w14:val="tx1"/>
                        </w14:solidFill>
                      </w14:textFill>
                    </w:rPr>
                    <w:t>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物</w:t>
                  </w:r>
                  <w:r>
                    <w:rPr>
                      <w:rFonts w:hint="default" w:ascii="Times New Roman" w:hAnsi="Times New Roman" w:eastAsia="宋体" w:cs="Times New Roman"/>
                      <w:color w:val="000000" w:themeColor="text1"/>
                      <w:position w:val="-1"/>
                      <w:sz w:val="21"/>
                      <w:szCs w:val="21"/>
                      <w14:textFill>
                        <w14:solidFill>
                          <w14:schemeClr w14:val="tx1"/>
                        </w14:solidFill>
                      </w14:textFill>
                    </w:rPr>
                    <w:t>料提取区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新增3台</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2</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逆流提取设备</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直径0.5m，长25m</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cs="Times New Roman"/>
                      <w:color w:val="000000" w:themeColor="text1"/>
                      <w:spacing w:val="14"/>
                      <w:sz w:val="21"/>
                      <w:szCs w:val="21"/>
                      <w:lang w:val="en-US" w:eastAsia="zh-CN"/>
                      <w14:textFill>
                        <w14:solidFill>
                          <w14:schemeClr w14:val="tx1"/>
                        </w14:solidFill>
                      </w14:textFill>
                    </w:rPr>
                    <w: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减少</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cs="Times New Roman"/>
                      <w:color w:val="000000" w:themeColor="text1"/>
                      <w:position w:val="-2"/>
                      <w:sz w:val="21"/>
                      <w:szCs w:val="21"/>
                      <w:lang w:val="en-US" w:eastAsia="zh-CN"/>
                      <w14:textFill>
                        <w14:solidFill>
                          <w14:schemeClr w14:val="tx1"/>
                        </w14:solidFill>
                      </w14:textFill>
                    </w:rPr>
                    <w:t>3</w:t>
                  </w:r>
                </w:p>
              </w:tc>
              <w:tc>
                <w:tcPr>
                  <w:tcW w:w="928"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提取液</w:t>
                  </w:r>
                  <w:r>
                    <w:rPr>
                      <w:rFonts w:hint="default" w:ascii="Times New Roman" w:hAnsi="Times New Roman" w:eastAsia="宋体" w:cs="Times New Roman"/>
                      <w:color w:val="000000" w:themeColor="text1"/>
                      <w:sz w:val="21"/>
                      <w:szCs w:val="21"/>
                      <w14:textFill>
                        <w14:solidFill>
                          <w14:schemeClr w14:val="tx1"/>
                        </w14:solidFill>
                      </w14:textFill>
                    </w:rPr>
                    <w:t>储罐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cs="Times New Roman"/>
                      <w:color w:val="000000" w:themeColor="text1"/>
                      <w:spacing w:val="14"/>
                      <w:sz w:val="21"/>
                      <w:szCs w:val="21"/>
                      <w:lang w:val="en-US" w:eastAsia="zh-CN"/>
                      <w14:textFill>
                        <w14:solidFill>
                          <w14:schemeClr w14:val="tx1"/>
                        </w14:solidFill>
                      </w14:textFill>
                    </w:rPr>
                    <w:t>5t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cs="Times New Roman"/>
                      <w:color w:val="000000" w:themeColor="text1"/>
                      <w:spacing w:val="14"/>
                      <w:sz w:val="21"/>
                      <w:szCs w:val="21"/>
                      <w:lang w:val="en-US" w:eastAsia="zh-CN"/>
                      <w14:textFill>
                        <w14:solidFill>
                          <w14:schemeClr w14:val="tx1"/>
                        </w14:solidFill>
                      </w14:textFill>
                    </w:rPr>
                    <w:t>6</w:t>
                  </w:r>
                </w:p>
              </w:tc>
              <w:tc>
                <w:tcPr>
                  <w:tcW w:w="786"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4"/>
                      <w:sz w:val="21"/>
                      <w:szCs w:val="21"/>
                      <w14:textFill>
                        <w14:solidFill>
                          <w14:schemeClr w14:val="tx1"/>
                        </w14:solidFill>
                      </w14:textFill>
                    </w:rPr>
                    <w:t>φ1.5</w:t>
                  </w:r>
                  <w:r>
                    <w:rPr>
                      <w:rFonts w:hint="default" w:ascii="Times New Roman" w:hAnsi="Times New Roman" w:eastAsia="宋体" w:cs="Times New Roman"/>
                      <w:color w:val="000000" w:themeColor="text1"/>
                      <w:sz w:val="21"/>
                      <w:szCs w:val="21"/>
                      <w14:textFill>
                        <w14:solidFill>
                          <w14:schemeClr w14:val="tx1"/>
                        </w14:solidFill>
                      </w14:textFill>
                    </w:rPr>
                    <w:t>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14"/>
                      <w:sz w:val="21"/>
                      <w:szCs w:val="21"/>
                      <w14:textFill>
                        <w14:solidFill>
                          <w14:schemeClr w14:val="tx1"/>
                        </w14:solidFill>
                      </w14:textFill>
                    </w:rPr>
                    <w:t>4.</w:t>
                  </w:r>
                  <w:r>
                    <w:rPr>
                      <w:rFonts w:hint="default" w:ascii="Times New Roman" w:hAnsi="Times New Roman" w:eastAsia="宋体" w:cs="Times New Roman"/>
                      <w:color w:val="000000" w:themeColor="text1"/>
                      <w:spacing w:val="13"/>
                      <w:sz w:val="21"/>
                      <w:szCs w:val="21"/>
                      <w14:textFill>
                        <w14:solidFill>
                          <w14:schemeClr w14:val="tx1"/>
                        </w14:solidFill>
                      </w14:textFill>
                    </w:rPr>
                    <w:t>5</w:t>
                  </w:r>
                  <w:r>
                    <w:rPr>
                      <w:rFonts w:hint="default" w:ascii="Times New Roman" w:hAnsi="Times New Roman" w:eastAsia="宋体" w:cs="Times New Roman"/>
                      <w:color w:val="000000" w:themeColor="text1"/>
                      <w:sz w:val="21"/>
                      <w:szCs w:val="21"/>
                      <w14:textFill>
                        <w14:solidFill>
                          <w14:schemeClr w14:val="tx1"/>
                        </w14:solidFill>
                      </w14:textFill>
                    </w:rPr>
                    <w:t>m</w:t>
                  </w:r>
                </w:p>
              </w:tc>
              <w:tc>
                <w:tcPr>
                  <w:tcW w:w="283"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8</w:t>
                  </w:r>
                </w:p>
              </w:tc>
              <w:tc>
                <w:tcPr>
                  <w:tcW w:w="1042"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提取液</w:t>
                  </w:r>
                  <w:r>
                    <w:rPr>
                      <w:rFonts w:hint="default" w:ascii="Times New Roman" w:hAnsi="Times New Roman" w:eastAsia="宋体" w:cs="Times New Roman"/>
                      <w:color w:val="000000" w:themeColor="text1"/>
                      <w:position w:val="-1"/>
                      <w:sz w:val="21"/>
                      <w:szCs w:val="21"/>
                      <w14:textFill>
                        <w14:solidFill>
                          <w14:schemeClr w14:val="tx1"/>
                        </w14:solidFill>
                      </w14:textFill>
                    </w:rPr>
                    <w:t>暂存区</w:t>
                  </w:r>
                </w:p>
              </w:tc>
              <w:tc>
                <w:tcPr>
                  <w:tcW w:w="496" w:type="pct"/>
                  <w:vMerge w:val="restart"/>
                  <w:tcBorders>
                    <w:top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型号不一致，数量一致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position w:val="-2"/>
                      <w:sz w:val="21"/>
                      <w:szCs w:val="21"/>
                      <w14:textFill>
                        <w14:solidFill>
                          <w14:schemeClr w14:val="tx1"/>
                        </w14:solidFill>
                      </w14:textFill>
                    </w:rPr>
                  </w:pPr>
                </w:p>
              </w:tc>
              <w:tc>
                <w:tcPr>
                  <w:tcW w:w="928"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14:textFill>
                        <w14:solidFill>
                          <w14:schemeClr w14:val="tx1"/>
                        </w14:solidFill>
                      </w14:textFill>
                    </w:rPr>
                  </w:pP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cs="Times New Roman"/>
                      <w:color w:val="000000" w:themeColor="text1"/>
                      <w:spacing w:val="14"/>
                      <w:sz w:val="21"/>
                      <w:szCs w:val="21"/>
                      <w:lang w:val="en-US" w:eastAsia="zh-CN"/>
                      <w14:textFill>
                        <w14:solidFill>
                          <w14:schemeClr w14:val="tx1"/>
                        </w14:solidFill>
                      </w14:textFill>
                    </w:rPr>
                    <w:t>1t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cs="Times New Roman"/>
                      <w:color w:val="000000" w:themeColor="text1"/>
                      <w:spacing w:val="14"/>
                      <w:sz w:val="21"/>
                      <w:szCs w:val="21"/>
                      <w:lang w:val="en-US" w:eastAsia="zh-CN"/>
                      <w14:textFill>
                        <w14:solidFill>
                          <w14:schemeClr w14:val="tx1"/>
                        </w14:solidFill>
                      </w14:textFill>
                    </w:rPr>
                    <w:t>2</w:t>
                  </w:r>
                </w:p>
              </w:tc>
              <w:tc>
                <w:tcPr>
                  <w:tcW w:w="786"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14:textFill>
                        <w14:solidFill>
                          <w14:schemeClr w14:val="tx1"/>
                        </w14:solidFill>
                      </w14:textFill>
                    </w:rPr>
                  </w:pPr>
                </w:p>
              </w:tc>
              <w:tc>
                <w:tcPr>
                  <w:tcW w:w="283"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position w:val="-2"/>
                      <w:sz w:val="21"/>
                      <w:szCs w:val="21"/>
                      <w14:textFill>
                        <w14:solidFill>
                          <w14:schemeClr w14:val="tx1"/>
                        </w14:solidFill>
                      </w14:textFill>
                    </w:rPr>
                  </w:pPr>
                </w:p>
              </w:tc>
              <w:tc>
                <w:tcPr>
                  <w:tcW w:w="1042"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p>
              </w:tc>
              <w:tc>
                <w:tcPr>
                  <w:tcW w:w="496" w:type="pct"/>
                  <w:vMerge w:val="continue"/>
                  <w:tcBorders>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压滤机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B</w:t>
                  </w:r>
                  <w:r>
                    <w:rPr>
                      <w:rFonts w:hint="default" w:ascii="Times New Roman" w:hAnsi="Times New Roman" w:eastAsia="宋体" w:cs="Times New Roman"/>
                      <w:color w:val="000000" w:themeColor="text1"/>
                      <w:sz w:val="21"/>
                      <w:szCs w:val="21"/>
                      <w14:textFill>
                        <w14:solidFill>
                          <w14:schemeClr w14:val="tx1"/>
                        </w14:solidFill>
                      </w14:textFill>
                    </w:rPr>
                    <w:t>NT</w:t>
                  </w:r>
                  <w:r>
                    <w:rPr>
                      <w:rFonts w:hint="default" w:ascii="Times New Roman" w:hAnsi="Times New Roman" w:eastAsia="宋体" w:cs="Times New Roman"/>
                      <w:color w:val="000000" w:themeColor="text1"/>
                      <w:spacing w:val="-1"/>
                      <w:sz w:val="21"/>
                      <w:szCs w:val="21"/>
                      <w14:textFill>
                        <w14:solidFill>
                          <w14:schemeClr w14:val="tx1"/>
                        </w14:solidFill>
                      </w14:textFill>
                    </w:rPr>
                    <w:t xml:space="preserve"> 12/520-30</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提取液</w:t>
                  </w:r>
                  <w:r>
                    <w:rPr>
                      <w:rFonts w:hint="default" w:ascii="Times New Roman" w:hAnsi="Times New Roman" w:eastAsia="宋体" w:cs="Times New Roman"/>
                      <w:color w:val="000000" w:themeColor="text1"/>
                      <w:sz w:val="21"/>
                      <w:szCs w:val="21"/>
                      <w14:textFill>
                        <w14:solidFill>
                          <w14:schemeClr w14:val="tx1"/>
                        </w14:solidFill>
                      </w14:textFill>
                    </w:rPr>
                    <w:t>过滤区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5</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滤液储</w:t>
                  </w:r>
                  <w:r>
                    <w:rPr>
                      <w:rFonts w:hint="default" w:ascii="Times New Roman" w:hAnsi="Times New Roman" w:eastAsia="宋体" w:cs="Times New Roman"/>
                      <w:color w:val="000000" w:themeColor="text1"/>
                      <w:position w:val="-1"/>
                      <w:sz w:val="21"/>
                      <w:szCs w:val="21"/>
                      <w14:textFill>
                        <w14:solidFill>
                          <w14:schemeClr w14:val="tx1"/>
                        </w14:solidFill>
                      </w14:textFill>
                    </w:rPr>
                    <w:t>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7"/>
                      <w:sz w:val="21"/>
                      <w:szCs w:val="21"/>
                      <w:lang w:val="en-US" w:eastAsia="zh-CN"/>
                      <w14:textFill>
                        <w14:solidFill>
                          <w14:schemeClr w14:val="tx1"/>
                        </w14:solidFill>
                      </w14:textFill>
                    </w:rPr>
                  </w:pPr>
                  <w:r>
                    <w:rPr>
                      <w:rFonts w:hint="eastAsia" w:ascii="Times New Roman" w:hAnsi="Times New Roman" w:cs="Times New Roman"/>
                      <w:color w:val="000000" w:themeColor="text1"/>
                      <w:spacing w:val="17"/>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7"/>
                      <w:sz w:val="21"/>
                      <w:szCs w:val="21"/>
                      <w:lang w:val="en-US" w:eastAsia="zh-CN"/>
                      <w14:textFill>
                        <w14:solidFill>
                          <w14:schemeClr w14:val="tx1"/>
                        </w14:solidFill>
                      </w14:textFill>
                    </w:rPr>
                  </w:pPr>
                  <w:r>
                    <w:rPr>
                      <w:rFonts w:hint="eastAsia" w:ascii="Times New Roman" w:hAnsi="Times New Roman" w:cs="Times New Roman"/>
                      <w:color w:val="000000" w:themeColor="text1"/>
                      <w:spacing w:val="17"/>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7"/>
                      <w:sz w:val="21"/>
                      <w:szCs w:val="21"/>
                      <w14:textFill>
                        <w14:solidFill>
                          <w14:schemeClr w14:val="tx1"/>
                        </w14:solidFill>
                      </w14:textFill>
                    </w:rPr>
                    <w:t>φ</w:t>
                  </w:r>
                  <w:r>
                    <w:rPr>
                      <w:rFonts w:hint="default" w:ascii="Times New Roman" w:hAnsi="Times New Roman" w:eastAsia="宋体" w:cs="Times New Roman"/>
                      <w:color w:val="000000" w:themeColor="text1"/>
                      <w:spacing w:val="13"/>
                      <w:sz w:val="21"/>
                      <w:szCs w:val="21"/>
                      <w14:textFill>
                        <w14:solidFill>
                          <w14:schemeClr w14:val="tx1"/>
                        </w14:solidFill>
                      </w14:textFill>
                    </w:rPr>
                    <w:t>1.5</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13"/>
                      <w:sz w:val="21"/>
                      <w:szCs w:val="21"/>
                      <w14:textFill>
                        <w14:solidFill>
                          <w14:schemeClr w14:val="tx1"/>
                        </w14:solidFill>
                      </w14:textFill>
                    </w:rPr>
                    <w:t>2.6</w:t>
                  </w:r>
                  <w:r>
                    <w:rPr>
                      <w:rFonts w:hint="default" w:ascii="Times New Roman" w:hAnsi="Times New Roman" w:eastAsia="宋体" w:cs="Times New Roman"/>
                      <w:color w:val="000000" w:themeColor="text1"/>
                      <w:sz w:val="21"/>
                      <w:szCs w:val="21"/>
                      <w14:textFill>
                        <w14:solidFill>
                          <w14:schemeClr w14:val="tx1"/>
                        </w14:solidFill>
                      </w14:textFill>
                    </w:rPr>
                    <w:t>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提取液</w:t>
                  </w:r>
                  <w:r>
                    <w:rPr>
                      <w:rFonts w:hint="default" w:ascii="Times New Roman" w:hAnsi="Times New Roman" w:eastAsia="宋体" w:cs="Times New Roman"/>
                      <w:color w:val="000000" w:themeColor="text1"/>
                      <w:position w:val="-1"/>
                      <w:sz w:val="21"/>
                      <w:szCs w:val="21"/>
                      <w14:textFill>
                        <w14:solidFill>
                          <w14:schemeClr w14:val="tx1"/>
                        </w14:solidFill>
                      </w14:textFill>
                    </w:rPr>
                    <w:t>过滤区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4"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6</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单效浓缩</w:t>
                  </w:r>
                  <w:r>
                    <w:rPr>
                      <w:rFonts w:hint="default" w:ascii="Times New Roman" w:hAnsi="Times New Roman" w:eastAsia="宋体" w:cs="Times New Roman"/>
                      <w:color w:val="000000" w:themeColor="text1"/>
                      <w:position w:val="-1"/>
                      <w:sz w:val="21"/>
                      <w:szCs w:val="21"/>
                      <w14:textFill>
                        <w14:solidFill>
                          <w14:schemeClr w14:val="tx1"/>
                        </w14:solidFill>
                      </w14:textFill>
                    </w:rPr>
                    <w:t>容器</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cs="Times New Roman"/>
                      <w:color w:val="000000" w:themeColor="text1"/>
                      <w:spacing w:val="14"/>
                      <w:sz w:val="21"/>
                      <w:szCs w:val="21"/>
                      <w:lang w:val="en-US" w:eastAsia="zh-CN"/>
                      <w14:textFill>
                        <w14:solidFill>
                          <w14:schemeClr w14:val="tx1"/>
                        </w14:solidFill>
                      </w14:textFill>
                    </w:rPr>
                    <w:t>1000L</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pPr>
                  <w:r>
                    <w:rPr>
                      <w:rFonts w:hint="eastAsia" w:ascii="Times New Roman" w:hAnsi="Times New Roman" w:cs="Times New Roman"/>
                      <w:color w:val="000000" w:themeColor="text1"/>
                      <w:spacing w:val="14"/>
                      <w:sz w:val="21"/>
                      <w:szCs w:val="21"/>
                      <w:lang w:val="en-US" w:eastAsia="zh-CN"/>
                      <w14:textFill>
                        <w14:solidFill>
                          <w14:schemeClr w14:val="tx1"/>
                        </w14:solidFill>
                      </w14:textFill>
                    </w:rPr>
                    <w:t>2</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4"/>
                      <w:sz w:val="21"/>
                      <w:szCs w:val="21"/>
                      <w14:textFill>
                        <w14:solidFill>
                          <w14:schemeClr w14:val="tx1"/>
                        </w14:solidFill>
                      </w14:textFill>
                    </w:rPr>
                    <w:t>2000</w:t>
                  </w:r>
                  <w:r>
                    <w:rPr>
                      <w:rFonts w:hint="default" w:ascii="Times New Roman" w:hAnsi="Times New Roman" w:eastAsia="宋体" w:cs="Times New Roman"/>
                      <w:color w:val="000000" w:themeColor="text1"/>
                      <w:sz w:val="21"/>
                      <w:szCs w:val="21"/>
                      <w14:textFill>
                        <w14:solidFill>
                          <w14:schemeClr w14:val="tx1"/>
                        </w14:solidFill>
                      </w14:textFill>
                    </w:rPr>
                    <w:t>L</w:t>
                  </w:r>
                  <w:r>
                    <w:rPr>
                      <w:rFonts w:hint="default" w:ascii="Times New Roman" w:hAnsi="Times New Roman" w:eastAsia="宋体" w:cs="Times New Roman"/>
                      <w:color w:val="000000" w:themeColor="text1"/>
                      <w:spacing w:val="14"/>
                      <w:sz w:val="21"/>
                      <w:szCs w:val="21"/>
                      <w14:textFill>
                        <w14:solidFill>
                          <w14:schemeClr w14:val="tx1"/>
                        </w14:solidFill>
                      </w14:textFill>
                    </w:rPr>
                    <w:t>/</w:t>
                  </w:r>
                  <w:r>
                    <w:rPr>
                      <w:rFonts w:hint="default" w:ascii="Times New Roman" w:hAnsi="Times New Roman" w:eastAsia="宋体" w:cs="Times New Roman"/>
                      <w:color w:val="000000" w:themeColor="text1"/>
                      <w:sz w:val="21"/>
                      <w:szCs w:val="21"/>
                      <w14:textFill>
                        <w14:solidFill>
                          <w14:schemeClr w14:val="tx1"/>
                        </w14:solidFill>
                      </w14:textFill>
                    </w:rPr>
                    <w:t>H</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真空浓缩区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lang w:val="en-US" w:eastAsia="zh-CN"/>
                      <w14:textFill>
                        <w14:solidFill>
                          <w14:schemeClr w14:val="tx1"/>
                        </w14:solidFill>
                      </w14:textFill>
                    </w:rPr>
                    <w:t>最大抽气量</w:t>
                  </w:r>
                  <w:r>
                    <w:rPr>
                      <w:rFonts w:hint="eastAsia" w:cs="Times New Roman"/>
                      <w:color w:val="000000" w:themeColor="text1"/>
                      <w:spacing w:val="-1"/>
                      <w:position w:val="-1"/>
                      <w:sz w:val="21"/>
                      <w:szCs w:val="21"/>
                      <w:lang w:val="en-US" w:eastAsia="zh-CN"/>
                      <w14:textFill>
                        <w14:solidFill>
                          <w14:schemeClr w14:val="tx1"/>
                        </w14:solidFill>
                      </w14:textFill>
                    </w:rPr>
                    <w:t>增大，新增4台</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7</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浓缩液</w:t>
                  </w:r>
                  <w:r>
                    <w:rPr>
                      <w:rFonts w:hint="default" w:ascii="Times New Roman" w:hAnsi="Times New Roman" w:eastAsia="宋体" w:cs="Times New Roman"/>
                      <w:color w:val="000000" w:themeColor="text1"/>
                      <w:position w:val="-1"/>
                      <w:sz w:val="21"/>
                      <w:szCs w:val="21"/>
                      <w14:textFill>
                        <w14:solidFill>
                          <w14:schemeClr w14:val="tx1"/>
                        </w14:solidFill>
                      </w14:textFill>
                    </w:rPr>
                    <w:t>储罐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7"/>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7"/>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7"/>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7"/>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5</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m³</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真空浓缩区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8</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eastAsia="zh-CN"/>
                      <w14:textFill>
                        <w14:solidFill>
                          <w14:schemeClr w14:val="tx1"/>
                        </w14:solidFill>
                      </w14:textFill>
                    </w:rPr>
                    <w:t>酶解罐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000L</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酶解液暂存区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4"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9</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酶</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解液储罐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2X2m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4</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酶解液暂存区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0</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2"/>
                      <w:position w:val="-1"/>
                      <w:sz w:val="21"/>
                      <w:szCs w:val="21"/>
                      <w:lang w:eastAsia="zh-CN"/>
                      <w14:textFill>
                        <w14:solidFill>
                          <w14:schemeClr w14:val="tx1"/>
                        </w14:solidFill>
                      </w14:textFill>
                    </w:rPr>
                    <w:t>水</w:t>
                  </w: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沉</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m³</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2</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水沉</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1</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eastAsia="zh-CN"/>
                      <w14:textFill>
                        <w14:solidFill>
                          <w14:schemeClr w14:val="tx1"/>
                        </w14:solidFill>
                      </w14:textFill>
                    </w:rPr>
                    <w:t>水</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沉液储罐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m³</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position w:val="-2"/>
                      <w:sz w:val="21"/>
                      <w:szCs w:val="21"/>
                      <w:lang w:val="en-US" w:eastAsia="zh-CN"/>
                      <w14:textFill>
                        <w14:solidFill>
                          <w14:schemeClr w14:val="tx1"/>
                        </w14:solidFill>
                      </w14:textFill>
                    </w:rPr>
                    <w:t>3</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水沉</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2</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离心</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1.5</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0.7m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心液暂存区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4"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3</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板框过</w:t>
                  </w:r>
                  <w:r>
                    <w:rPr>
                      <w:rFonts w:hint="default" w:ascii="Times New Roman" w:hAnsi="Times New Roman" w:eastAsia="宋体" w:cs="Times New Roman"/>
                      <w:color w:val="000000" w:themeColor="text1"/>
                      <w:position w:val="-1"/>
                      <w:sz w:val="21"/>
                      <w:szCs w:val="21"/>
                      <w14:textFill>
                        <w14:solidFill>
                          <w14:schemeClr w14:val="tx1"/>
                        </w14:solidFill>
                      </w14:textFill>
                    </w:rPr>
                    <w:t>滤机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5"/>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5"/>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5"/>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5"/>
                      <w:position w:val="-2"/>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8</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m²</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心液暂存区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1"/>
                      <w:sz w:val="21"/>
                      <w:szCs w:val="21"/>
                      <w:lang w:val="en-US" w:eastAsia="zh-CN"/>
                      <w14:textFill>
                        <w14:solidFill>
                          <w14:schemeClr w14:val="tx1"/>
                        </w14:solidFill>
                      </w14:textFill>
                    </w:rPr>
                  </w:pPr>
                  <w:r>
                    <w:rPr>
                      <w:rFonts w:hint="eastAsia" w:cs="Times New Roman"/>
                      <w:color w:val="000000" w:themeColor="text1"/>
                      <w:spacing w:val="-2"/>
                      <w:position w:val="-1"/>
                      <w:sz w:val="21"/>
                      <w:szCs w:val="21"/>
                      <w:lang w:val="en-US" w:eastAsia="zh-CN"/>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4</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配料</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6"/>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m³</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心液暂存区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5</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水槽（移动）</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4"/>
                      <w:position w:val="-2"/>
                      <w:sz w:val="21"/>
                      <w:szCs w:val="21"/>
                      <w:lang w:val="en-US" w:eastAsia="zh-CN"/>
                      <w14:textFill>
                        <w14:solidFill>
                          <w14:schemeClr w14:val="tx1"/>
                        </w14:solidFill>
                      </w14:textFill>
                    </w:rPr>
                  </w:pPr>
                  <w:r>
                    <w:rPr>
                      <w:rFonts w:hint="eastAsia" w:cs="Times New Roman"/>
                      <w:color w:val="000000" w:themeColor="text1"/>
                      <w:spacing w:val="-4"/>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4"/>
                      <w:position w:val="-2"/>
                      <w:sz w:val="21"/>
                      <w:szCs w:val="21"/>
                      <w:lang w:val="en-US" w:eastAsia="zh-CN"/>
                      <w14:textFill>
                        <w14:solidFill>
                          <w14:schemeClr w14:val="tx1"/>
                        </w14:solidFill>
                      </w14:textFill>
                    </w:rPr>
                  </w:pPr>
                  <w:r>
                    <w:rPr>
                      <w:rFonts w:hint="eastAsia" w:cs="Times New Roman"/>
                      <w:color w:val="000000" w:themeColor="text1"/>
                      <w:spacing w:val="-4"/>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4"/>
                      <w:position w:val="-2"/>
                      <w:sz w:val="21"/>
                      <w:szCs w:val="21"/>
                      <w:lang w:val="en-US" w:eastAsia="zh-CN"/>
                      <w14:textFill>
                        <w14:solidFill>
                          <w14:schemeClr w14:val="tx1"/>
                        </w14:solidFill>
                      </w14:textFill>
                    </w:rPr>
                    <w:t>1</w:t>
                  </w: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m³</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心液暂存区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6</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eastAsia="zh-CN"/>
                      <w14:textFill>
                        <w14:solidFill>
                          <w14:schemeClr w14:val="tx1"/>
                        </w14:solidFill>
                      </w14:textFill>
                    </w:rPr>
                    <w:t>水</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沉液</w:t>
                  </w:r>
                  <w:r>
                    <w:rPr>
                      <w:rFonts w:hint="eastAsia" w:cs="Times New Roman"/>
                      <w:color w:val="000000" w:themeColor="text1"/>
                      <w:spacing w:val="-1"/>
                      <w:position w:val="-1"/>
                      <w:sz w:val="21"/>
                      <w:szCs w:val="21"/>
                      <w:lang w:eastAsia="zh-CN"/>
                      <w14:textFill>
                        <w14:solidFill>
                          <w14:schemeClr w14:val="tx1"/>
                        </w14:solidFill>
                      </w14:textFill>
                    </w:rPr>
                    <w:t>（</w:t>
                  </w:r>
                  <w:r>
                    <w:rPr>
                      <w:rFonts w:hint="eastAsia" w:cs="Times New Roman"/>
                      <w:color w:val="000000" w:themeColor="text1"/>
                      <w:spacing w:val="-2"/>
                      <w:position w:val="-1"/>
                      <w:sz w:val="21"/>
                      <w:szCs w:val="21"/>
                      <w:lang w:val="en-US" w:eastAsia="zh-CN"/>
                      <w14:textFill>
                        <w14:solidFill>
                          <w14:schemeClr w14:val="tx1"/>
                        </w14:solidFill>
                      </w14:textFill>
                    </w:rPr>
                    <w:t>配料</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液</w:t>
                  </w:r>
                  <w:r>
                    <w:rPr>
                      <w:rFonts w:hint="eastAsia" w:cs="Times New Roman"/>
                      <w:color w:val="000000" w:themeColor="text1"/>
                      <w:spacing w:val="-1"/>
                      <w:position w:val="-1"/>
                      <w:sz w:val="21"/>
                      <w:szCs w:val="21"/>
                      <w:lang w:eastAsia="zh-CN"/>
                      <w14:textFill>
                        <w14:solidFill>
                          <w14:schemeClr w14:val="tx1"/>
                        </w14:solidFill>
                      </w14:textFill>
                    </w:rPr>
                    <w:t>）</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储罐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000L</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2</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离</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心液暂存区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7</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sz w:val="21"/>
                      <w:szCs w:val="21"/>
                      <w14:textFill>
                        <w14:solidFill>
                          <w14:schemeClr w14:val="tx1"/>
                        </w14:solidFill>
                      </w14:textFill>
                    </w:rPr>
                    <w:t>喷雾干燥塔</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4"/>
                      <w:position w:val="-1"/>
                      <w:sz w:val="21"/>
                      <w:szCs w:val="21"/>
                      <w14:textFill>
                        <w14:solidFill>
                          <w14:schemeClr w14:val="tx1"/>
                        </w14:solidFill>
                      </w14:textFill>
                    </w:rPr>
                  </w:pPr>
                  <w:r>
                    <w:rPr>
                      <w:rFonts w:hint="default" w:ascii="Times New Roman" w:hAnsi="Times New Roman" w:eastAsia="宋体" w:cs="Times New Roman"/>
                      <w:color w:val="000000" w:themeColor="text1"/>
                      <w:spacing w:val="-4"/>
                      <w:position w:val="-1"/>
                      <w:sz w:val="21"/>
                      <w:szCs w:val="21"/>
                      <w14:textFill>
                        <w14:solidFill>
                          <w14:schemeClr w14:val="tx1"/>
                        </w14:solidFill>
                      </w14:textFill>
                    </w:rPr>
                    <w:t>3</w:t>
                  </w: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00型</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4"/>
                      <w:position w:val="-1"/>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1"/>
                      <w:sz w:val="21"/>
                      <w:szCs w:val="21"/>
                      <w14:textFill>
                        <w14:solidFill>
                          <w14:schemeClr w14:val="tx1"/>
                        </w14:solidFill>
                      </w14:textFill>
                    </w:rPr>
                    <w:t>3</w:t>
                  </w: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00型</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雾化喷粉</w:t>
                  </w:r>
                  <w:r>
                    <w:rPr>
                      <w:rFonts w:hint="default" w:ascii="Times New Roman" w:hAnsi="Times New Roman" w:eastAsia="宋体" w:cs="Times New Roman"/>
                      <w:color w:val="000000" w:themeColor="text1"/>
                      <w:position w:val="-1"/>
                      <w:sz w:val="21"/>
                      <w:szCs w:val="21"/>
                      <w14:textFill>
                        <w14:solidFill>
                          <w14:schemeClr w14:val="tx1"/>
                        </w14:solidFill>
                      </w14:textFill>
                    </w:rPr>
                    <w:t>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8</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保温</w:t>
                  </w:r>
                  <w:r>
                    <w:rPr>
                      <w:rFonts w:hint="default" w:ascii="Times New Roman" w:hAnsi="Times New Roman" w:eastAsia="宋体" w:cs="Times New Roman"/>
                      <w:color w:val="000000" w:themeColor="text1"/>
                      <w:position w:val="-1"/>
                      <w:sz w:val="21"/>
                      <w:szCs w:val="21"/>
                      <w14:textFill>
                        <w14:solidFill>
                          <w14:schemeClr w14:val="tx1"/>
                        </w14:solidFill>
                      </w14:textFill>
                    </w:rPr>
                    <w:t>缸</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4"/>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4"/>
                      <w:kern w:val="2"/>
                      <w:positio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4"/>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4"/>
                      <w:kern w:val="2"/>
                      <w:position w:val="-2"/>
                      <w:sz w:val="21"/>
                      <w:szCs w:val="21"/>
                      <w:lang w:val="en-US" w:eastAsia="zh-CN" w:bidi="ar-SA"/>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000L</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雾化喷粉</w:t>
                  </w:r>
                  <w:r>
                    <w:rPr>
                      <w:rFonts w:hint="default" w:ascii="Times New Roman" w:hAnsi="Times New Roman" w:eastAsia="宋体" w:cs="Times New Roman"/>
                      <w:color w:val="000000" w:themeColor="text1"/>
                      <w:position w:val="-1"/>
                      <w:sz w:val="21"/>
                      <w:szCs w:val="21"/>
                      <w14:textFill>
                        <w14:solidFill>
                          <w14:schemeClr w14:val="tx1"/>
                        </w14:solidFill>
                      </w14:textFill>
                    </w:rPr>
                    <w:t>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6"/>
                      <w:position w:val="-2"/>
                      <w:sz w:val="21"/>
                      <w:szCs w:val="21"/>
                      <w14:textFill>
                        <w14:solidFill>
                          <w14:schemeClr w14:val="tx1"/>
                        </w14:solidFill>
                      </w14:textFill>
                    </w:rPr>
                    <w:t>9</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导热油炉</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电加热</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雾化干燥塔加热</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0</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万能粉碎</w:t>
                  </w:r>
                  <w:r>
                    <w:rPr>
                      <w:rFonts w:hint="default" w:ascii="Times New Roman" w:hAnsi="Times New Roman" w:eastAsia="宋体" w:cs="Times New Roman"/>
                      <w:color w:val="000000" w:themeColor="text1"/>
                      <w:position w:val="-1"/>
                      <w:sz w:val="21"/>
                      <w:szCs w:val="21"/>
                      <w14:textFill>
                        <w14:solidFill>
                          <w14:schemeClr w14:val="tx1"/>
                        </w14:solidFill>
                      </w14:textFill>
                    </w:rPr>
                    <w:t>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4"/>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4"/>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0B</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粉碎间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1</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旋振筛</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XZS</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1200</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粉碎间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2</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二维运动混合</w:t>
                  </w:r>
                  <w:r>
                    <w:rPr>
                      <w:rFonts w:hint="default" w:ascii="Times New Roman" w:hAnsi="Times New Roman" w:eastAsia="宋体" w:cs="Times New Roman"/>
                      <w:color w:val="000000" w:themeColor="text1"/>
                      <w:position w:val="-1"/>
                      <w:sz w:val="21"/>
                      <w:szCs w:val="21"/>
                      <w14:textFill>
                        <w14:solidFill>
                          <w14:schemeClr w14:val="tx1"/>
                        </w14:solidFill>
                      </w14:textFill>
                    </w:rPr>
                    <w:t>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EYH</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1000L</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混合间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3</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不锈</w:t>
                  </w:r>
                  <w:r>
                    <w:rPr>
                      <w:rFonts w:hint="default" w:ascii="Times New Roman" w:hAnsi="Times New Roman" w:eastAsia="宋体" w:cs="Times New Roman"/>
                      <w:color w:val="000000" w:themeColor="text1"/>
                      <w:position w:val="-1"/>
                      <w:sz w:val="21"/>
                      <w:szCs w:val="21"/>
                      <w14:textFill>
                        <w14:solidFill>
                          <w14:schemeClr w14:val="tx1"/>
                        </w14:solidFill>
                      </w14:textFill>
                    </w:rPr>
                    <w:t>钢工作台</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1.5</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m</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.8m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4</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智能</w:t>
                  </w:r>
                  <w:r>
                    <w:rPr>
                      <w:rFonts w:hint="default" w:ascii="Times New Roman" w:hAnsi="Times New Roman" w:eastAsia="宋体" w:cs="Times New Roman"/>
                      <w:color w:val="000000" w:themeColor="text1"/>
                      <w:position w:val="-1"/>
                      <w:sz w:val="21"/>
                      <w:szCs w:val="21"/>
                      <w14:textFill>
                        <w14:solidFill>
                          <w14:schemeClr w14:val="tx1"/>
                        </w14:solidFill>
                      </w14:textFill>
                    </w:rPr>
                    <w:t>分装机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1"/>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1"/>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200</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0型</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5</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kern w:val="2"/>
                      <w:position w:val="-1"/>
                      <w:sz w:val="21"/>
                      <w:szCs w:val="21"/>
                      <w:lang w:val="en-US" w:eastAsia="zh-CN" w:bidi="ar-SA"/>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液体包装机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2"/>
                      <w:position w:val="-1"/>
                      <w:sz w:val="21"/>
                      <w:szCs w:val="21"/>
                      <w:lang w:val="en-US" w:eastAsia="zh-CN"/>
                      <w14:textFill>
                        <w14:solidFill>
                          <w14:schemeClr w14:val="tx1"/>
                        </w14:solidFill>
                      </w14:textFill>
                    </w:rPr>
                  </w:pPr>
                  <w:r>
                    <w:rPr>
                      <w:rFonts w:hint="eastAsia" w:cs="Times New Roman"/>
                      <w:color w:val="000000" w:themeColor="text1"/>
                      <w:spacing w:val="-2"/>
                      <w:position w:val="-1"/>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2"/>
                      <w:position w:val="-1"/>
                      <w:sz w:val="21"/>
                      <w:szCs w:val="21"/>
                      <w:lang w:val="en-US" w:eastAsia="zh-CN"/>
                      <w14:textFill>
                        <w14:solidFill>
                          <w14:schemeClr w14:val="tx1"/>
                        </w14:solidFill>
                      </w14:textFill>
                    </w:rPr>
                  </w:pPr>
                  <w:r>
                    <w:rPr>
                      <w:rFonts w:hint="eastAsia" w:cs="Times New Roman"/>
                      <w:color w:val="000000" w:themeColor="text1"/>
                      <w:spacing w:val="-2"/>
                      <w:position w:val="-1"/>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kern w:val="2"/>
                      <w:position w:val="-1"/>
                      <w:sz w:val="21"/>
                      <w:szCs w:val="21"/>
                      <w:lang w:val="en-US" w:eastAsia="zh-CN" w:bidi="ar-SA"/>
                      <w14:textFill>
                        <w14:solidFill>
                          <w14:schemeClr w14:val="tx1"/>
                        </w14:solidFill>
                      </w14:textFill>
                    </w:rPr>
                  </w:pPr>
                  <w:r>
                    <w:rPr>
                      <w:rFonts w:hint="eastAsia" w:cs="Times New Roman"/>
                      <w:color w:val="000000" w:themeColor="text1"/>
                      <w:spacing w:val="-2"/>
                      <w:position w:val="-1"/>
                      <w:sz w:val="21"/>
                      <w:szCs w:val="21"/>
                      <w:lang w:val="en-US" w:eastAsia="zh-CN"/>
                      <w14:textFill>
                        <w14:solidFill>
                          <w14:schemeClr w14:val="tx1"/>
                        </w14:solidFill>
                      </w14:textFill>
                    </w:rPr>
                    <w: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position w:val="-2"/>
                      <w:sz w:val="21"/>
                      <w:szCs w:val="21"/>
                      <w:lang w:val="en-US" w:eastAsia="zh-CN" w:bidi="ar-SA"/>
                      <w14:textFill>
                        <w14:solidFill>
                          <w14:schemeClr w14:val="tx1"/>
                        </w14:solidFill>
                      </w14:textFill>
                    </w:rPr>
                  </w:pPr>
                  <w:r>
                    <w:rPr>
                      <w:rFonts w:hint="eastAsia" w:cs="Times New Roman"/>
                      <w:color w:val="000000" w:themeColor="text1"/>
                      <w:position w:val="-2"/>
                      <w:sz w:val="21"/>
                      <w:szCs w:val="21"/>
                      <w:lang w:val="en-US" w:eastAsia="zh-CN"/>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kern w:val="2"/>
                      <w:position w:val="-1"/>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6</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封包机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GK9-350型</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2"/>
                      <w:position w:val="-1"/>
                      <w:sz w:val="21"/>
                      <w:szCs w:val="21"/>
                      <w:lang w:val="en-US" w:eastAsia="zh-CN"/>
                      <w14:textFill>
                        <w14:solidFill>
                          <w14:schemeClr w14:val="tx1"/>
                        </w14:solidFill>
                      </w14:textFill>
                    </w:rPr>
                  </w:pPr>
                  <w:r>
                    <w:rPr>
                      <w:rFonts w:hint="eastAsia" w:cs="Times New Roman"/>
                      <w:color w:val="000000" w:themeColor="text1"/>
                      <w:spacing w:val="-2"/>
                      <w:position w:val="-1"/>
                      <w:sz w:val="21"/>
                      <w:szCs w:val="21"/>
                      <w:lang w:val="en-US" w:eastAsia="zh-CN"/>
                      <w14:textFill>
                        <w14:solidFill>
                          <w14:schemeClr w14:val="tx1"/>
                        </w14:solidFill>
                      </w14:textFill>
                    </w:rPr>
                    <w: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position w:val="-2"/>
                      <w:sz w:val="21"/>
                      <w:szCs w:val="21"/>
                      <w:lang w:val="en-US" w:eastAsia="zh-CN"/>
                      <w14:textFill>
                        <w14:solidFill>
                          <w14:schemeClr w14:val="tx1"/>
                        </w14:solidFill>
                      </w14:textFill>
                    </w:rPr>
                  </w:pPr>
                  <w:r>
                    <w:rPr>
                      <w:rFonts w:hint="eastAsia" w:cs="Times New Roman"/>
                      <w:color w:val="000000" w:themeColor="text1"/>
                      <w:position w:val="-2"/>
                      <w:sz w:val="21"/>
                      <w:szCs w:val="21"/>
                      <w:lang w:val="en-US" w:eastAsia="zh-CN"/>
                      <w14:textFill>
                        <w14:solidFill>
                          <w14:schemeClr w14:val="tx1"/>
                        </w14:solidFill>
                      </w14:textFill>
                    </w:rPr>
                    <w:t>/</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7"/>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7"/>
                      <w:position w:val="-1"/>
                      <w:sz w:val="21"/>
                      <w:szCs w:val="21"/>
                      <w:lang w:val="en-US" w:eastAsia="zh-CN"/>
                      <w14:textFill>
                        <w14:solidFill>
                          <w14:schemeClr w14:val="tx1"/>
                        </w14:solidFill>
                      </w14:textFill>
                    </w:rPr>
                    <w:t>包装间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7"/>
                      <w:position w:val="-1"/>
                      <w:sz w:val="21"/>
                      <w:szCs w:val="21"/>
                      <w:lang w:val="en-US" w:eastAsia="zh-CN"/>
                      <w14:textFill>
                        <w14:solidFill>
                          <w14:schemeClr w14:val="tx1"/>
                        </w14:solidFill>
                      </w14:textFill>
                    </w:rPr>
                  </w:pPr>
                  <w:r>
                    <w:rPr>
                      <w:rFonts w:hint="eastAsia" w:cs="Times New Roman"/>
                      <w:color w:val="000000" w:themeColor="text1"/>
                      <w:spacing w:val="-7"/>
                      <w:position w:val="-1"/>
                      <w:sz w:val="21"/>
                      <w:szCs w:val="21"/>
                      <w:lang w:val="en-US" w:eastAsia="zh-CN"/>
                      <w14:textFill>
                        <w14:solidFill>
                          <w14:schemeClr w14:val="tx1"/>
                        </w14:solidFill>
                      </w14:textFill>
                    </w:rPr>
                    <w:t>减少</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7</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电</w:t>
                  </w:r>
                  <w:r>
                    <w:rPr>
                      <w:rFonts w:hint="default" w:ascii="Times New Roman" w:hAnsi="Times New Roman" w:eastAsia="宋体" w:cs="Times New Roman"/>
                      <w:color w:val="000000" w:themeColor="text1"/>
                      <w:spacing w:val="-3"/>
                      <w:position w:val="-1"/>
                      <w:sz w:val="21"/>
                      <w:szCs w:val="21"/>
                      <w14:textFill>
                        <w14:solidFill>
                          <w14:schemeClr w14:val="tx1"/>
                        </w14:solidFill>
                      </w14:textFill>
                    </w:rPr>
                    <w:t>子秤</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ACS</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w:t>
                  </w:r>
                  <w:r>
                    <w:rPr>
                      <w:rFonts w:hint="default" w:ascii="Times New Roman" w:hAnsi="Times New Roman" w:eastAsia="宋体" w:cs="Times New Roman"/>
                      <w:color w:val="000000" w:themeColor="text1"/>
                      <w:position w:val="-2"/>
                      <w:sz w:val="21"/>
                      <w:szCs w:val="21"/>
                      <w14:textFill>
                        <w14:solidFill>
                          <w14:schemeClr w14:val="tx1"/>
                        </w14:solidFill>
                      </w14:textFill>
                    </w:rPr>
                    <w:t>D</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51</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8</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封口机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FR</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1100C</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9</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打码机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position w:val="-1"/>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手持型</w:t>
                  </w:r>
                  <w:r>
                    <w:rPr>
                      <w:rFonts w:hint="default" w:ascii="Times New Roman" w:hAnsi="Times New Roman" w:eastAsia="宋体" w:cs="Times New Roman"/>
                      <w:color w:val="000000" w:themeColor="text1"/>
                      <w:position w:val="-1"/>
                      <w:sz w:val="21"/>
                      <w:szCs w:val="21"/>
                      <w14:textFill>
                        <w14:solidFill>
                          <w14:schemeClr w14:val="tx1"/>
                        </w14:solidFill>
                      </w14:textFill>
                    </w:rPr>
                    <w:t>XT</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2</w:t>
                  </w:r>
                  <w:r>
                    <w:rPr>
                      <w:rFonts w:hint="default" w:ascii="Times New Roman" w:hAnsi="Times New Roman" w:eastAsia="宋体" w:cs="Times New Roman"/>
                      <w:color w:val="000000" w:themeColor="text1"/>
                      <w:position w:val="-1"/>
                      <w:sz w:val="21"/>
                      <w:szCs w:val="21"/>
                      <w14:textFill>
                        <w14:solidFill>
                          <w14:schemeClr w14:val="tx1"/>
                        </w14:solidFill>
                      </w14:textFill>
                    </w:rPr>
                    <w:t>6</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7"/>
                      <w:position w:val="-1"/>
                      <w:sz w:val="21"/>
                      <w:szCs w:val="21"/>
                      <w14:textFill>
                        <w14:solidFill>
                          <w14:schemeClr w14:val="tx1"/>
                        </w14:solidFill>
                      </w14:textFill>
                    </w:rPr>
                    <w:t>内</w:t>
                  </w:r>
                  <w:r>
                    <w:rPr>
                      <w:rFonts w:hint="default" w:ascii="Times New Roman" w:hAnsi="Times New Roman" w:eastAsia="宋体" w:cs="Times New Roman"/>
                      <w:color w:val="000000" w:themeColor="text1"/>
                      <w:spacing w:val="-5"/>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7"/>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0</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金属</w:t>
                  </w:r>
                  <w:r>
                    <w:rPr>
                      <w:rFonts w:hint="default" w:ascii="Times New Roman" w:hAnsi="Times New Roman" w:eastAsia="宋体" w:cs="Times New Roman"/>
                      <w:color w:val="000000" w:themeColor="text1"/>
                      <w:sz w:val="21"/>
                      <w:szCs w:val="21"/>
                      <w14:textFill>
                        <w14:solidFill>
                          <w14:schemeClr w14:val="tx1"/>
                        </w14:solidFill>
                      </w14:textFill>
                    </w:rPr>
                    <w:t>探测仪</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BT</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-6</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2</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0D</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外</w:t>
                  </w:r>
                  <w:r>
                    <w:rPr>
                      <w:rFonts w:hint="default" w:ascii="Times New Roman" w:hAnsi="Times New Roman" w:eastAsia="宋体" w:cs="Times New Roman"/>
                      <w:color w:val="000000" w:themeColor="text1"/>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1</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不锈</w:t>
                  </w:r>
                  <w:r>
                    <w:rPr>
                      <w:rFonts w:hint="default" w:ascii="Times New Roman" w:hAnsi="Times New Roman" w:eastAsia="宋体" w:cs="Times New Roman"/>
                      <w:color w:val="000000" w:themeColor="text1"/>
                      <w:position w:val="-1"/>
                      <w:sz w:val="21"/>
                      <w:szCs w:val="21"/>
                      <w14:textFill>
                        <w14:solidFill>
                          <w14:schemeClr w14:val="tx1"/>
                        </w14:solidFill>
                      </w14:textFill>
                    </w:rPr>
                    <w:t>钢工作台</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1.5</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.8m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外</w:t>
                  </w:r>
                  <w:r>
                    <w:rPr>
                      <w:rFonts w:hint="default" w:ascii="Times New Roman" w:hAnsi="Times New Roman" w:eastAsia="宋体" w:cs="Times New Roman"/>
                      <w:color w:val="000000" w:themeColor="text1"/>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2</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封箱器</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1"/>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1"/>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手</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持型</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外</w:t>
                  </w:r>
                  <w:r>
                    <w:rPr>
                      <w:rFonts w:hint="default" w:ascii="Times New Roman" w:hAnsi="Times New Roman" w:eastAsia="宋体" w:cs="Times New Roman"/>
                      <w:color w:val="000000" w:themeColor="text1"/>
                      <w:position w:val="-1"/>
                      <w:sz w:val="21"/>
                      <w:szCs w:val="21"/>
                      <w14:textFill>
                        <w14:solidFill>
                          <w14:schemeClr w14:val="tx1"/>
                        </w14:solidFill>
                      </w14:textFill>
                    </w:rPr>
                    <w:t>包间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3</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pacing w:val="-2"/>
                      <w:sz w:val="21"/>
                      <w:szCs w:val="21"/>
                      <w:lang w:val="en-US" w:eastAsia="zh-CN"/>
                      <w14:textFill>
                        <w14:solidFill>
                          <w14:schemeClr w14:val="tx1"/>
                        </w14:solidFill>
                      </w14:textFill>
                    </w:rPr>
                  </w:pPr>
                  <w:r>
                    <w:rPr>
                      <w:rFonts w:hint="eastAsia" w:cs="Times New Roman"/>
                      <w:color w:val="000000" w:themeColor="text1"/>
                      <w:spacing w:val="-2"/>
                      <w:sz w:val="21"/>
                      <w:szCs w:val="21"/>
                      <w:lang w:val="en-US" w:eastAsia="zh-CN"/>
                      <w14:textFill>
                        <w14:solidFill>
                          <w14:schemeClr w14:val="tx1"/>
                        </w14:solidFill>
                      </w14:textFill>
                    </w:rPr>
                    <w:t>低氮燃烧</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sz w:val="21"/>
                      <w:szCs w:val="21"/>
                      <w14:textFill>
                        <w14:solidFill>
                          <w14:schemeClr w14:val="tx1"/>
                        </w14:solidFill>
                      </w14:textFill>
                    </w:rPr>
                    <w:t>燃气锅炉</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sz w:val="21"/>
                      <w:szCs w:val="21"/>
                      <w14:textFill>
                        <w14:solidFill>
                          <w14:schemeClr w14:val="tx1"/>
                        </w14:solidFill>
                      </w14:textFill>
                    </w:rPr>
                  </w:pPr>
                  <w:r>
                    <w:rPr>
                      <w:rFonts w:hint="default" w:ascii="Times New Roman" w:hAnsi="Times New Roman" w:eastAsia="宋体" w:cs="Times New Roman"/>
                      <w:color w:val="000000" w:themeColor="text1"/>
                      <w:spacing w:val="-3"/>
                      <w:sz w:val="21"/>
                      <w:szCs w:val="21"/>
                      <w14:textFill>
                        <w14:solidFill>
                          <w14:schemeClr w14:val="tx1"/>
                        </w14:solidFill>
                      </w14:textFill>
                    </w:rPr>
                    <w:t>2T/H</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sz w:val="21"/>
                      <w:szCs w:val="21"/>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3"/>
                      <w:sz w:val="21"/>
                      <w:szCs w:val="21"/>
                      <w14:textFill>
                        <w14:solidFill>
                          <w14:schemeClr w14:val="tx1"/>
                        </w14:solidFill>
                      </w14:textFill>
                    </w:rPr>
                    <w:t>2T/H</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锅炉</w:t>
                  </w:r>
                  <w:r>
                    <w:rPr>
                      <w:rFonts w:hint="default" w:ascii="Times New Roman" w:hAnsi="Times New Roman" w:eastAsia="宋体" w:cs="Times New Roman"/>
                      <w:color w:val="000000" w:themeColor="text1"/>
                      <w:sz w:val="21"/>
                      <w:szCs w:val="21"/>
                      <w14:textFill>
                        <w14:solidFill>
                          <w14:schemeClr w14:val="tx1"/>
                        </w14:solidFill>
                      </w14:textFill>
                    </w:rPr>
                    <w:t>房</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90"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4</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sz w:val="21"/>
                      <w:szCs w:val="21"/>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冷凝器</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3"/>
                      <w:sz w:val="21"/>
                      <w:szCs w:val="21"/>
                      <w:lang w:val="en-US" w:eastAsia="zh-CN"/>
                      <w14:textFill>
                        <w14:solidFill>
                          <w14:schemeClr w14:val="tx1"/>
                        </w14:solidFill>
                      </w14:textFill>
                    </w:rPr>
                  </w:pPr>
                  <w:r>
                    <w:rPr>
                      <w:rFonts w:hint="eastAsia" w:ascii="Times New Roman" w:hAnsi="Times New Roman" w:cs="Times New Roman"/>
                      <w:color w:val="000000" w:themeColor="text1"/>
                      <w:spacing w:val="-3"/>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3</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3"/>
                      <w:sz w:val="21"/>
                      <w:szCs w:val="21"/>
                      <w:lang w:val="en-US" w:eastAsia="zh-CN"/>
                      <w14:textFill>
                        <w14:solidFill>
                          <w14:schemeClr w14:val="tx1"/>
                        </w14:solidFill>
                      </w14:textFill>
                    </w:rPr>
                  </w:pPr>
                  <w:r>
                    <w:rPr>
                      <w:rFonts w:hint="eastAsia" w:ascii="Times New Roman" w:hAnsi="Times New Roman" w:cs="Times New Roman"/>
                      <w:color w:val="000000" w:themeColor="text1"/>
                      <w:spacing w:val="-3"/>
                      <w:sz w:val="21"/>
                      <w:szCs w:val="21"/>
                      <w:lang w:val="en-US" w:eastAsia="zh-CN"/>
                      <w14:textFill>
                        <w14:solidFill>
                          <w14:schemeClr w14:val="tx1"/>
                        </w14:solidFill>
                      </w14:textFill>
                    </w:rPr>
                    <w: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冷却</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减少</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5</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sz w:val="21"/>
                      <w:szCs w:val="21"/>
                      <w14:textFill>
                        <w14:solidFill>
                          <w14:schemeClr w14:val="tx1"/>
                        </w14:solidFill>
                      </w14:textFill>
                    </w:rPr>
                    <w:t>冷</w:t>
                  </w:r>
                  <w:r>
                    <w:rPr>
                      <w:rFonts w:hint="default" w:ascii="Times New Roman" w:hAnsi="Times New Roman" w:eastAsia="宋体" w:cs="Times New Roman"/>
                      <w:color w:val="000000" w:themeColor="text1"/>
                      <w:spacing w:val="-1"/>
                      <w:sz w:val="21"/>
                      <w:szCs w:val="21"/>
                      <w14:textFill>
                        <w14:solidFill>
                          <w14:schemeClr w14:val="tx1"/>
                        </w14:solidFill>
                      </w14:textFill>
                    </w:rPr>
                    <w:t>却塔</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JCT</w:t>
                  </w: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-2</w:t>
                  </w:r>
                  <w:r>
                    <w:rPr>
                      <w:rFonts w:hint="default" w:ascii="Times New Roman" w:hAnsi="Times New Roman" w:eastAsia="宋体" w:cs="Times New Roman"/>
                      <w:color w:val="000000" w:themeColor="text1"/>
                      <w:position w:val="-2"/>
                      <w:sz w:val="21"/>
                      <w:szCs w:val="21"/>
                      <w14:textFill>
                        <w14:solidFill>
                          <w14:schemeClr w14:val="tx1"/>
                        </w14:solidFill>
                      </w14:textFill>
                    </w:rPr>
                    <w:t>00T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水循环</w:t>
                  </w:r>
                  <w:r>
                    <w:rPr>
                      <w:rFonts w:hint="default" w:ascii="Times New Roman" w:hAnsi="Times New Roman" w:eastAsia="宋体" w:cs="Times New Roman"/>
                      <w:color w:val="000000" w:themeColor="text1"/>
                      <w:sz w:val="21"/>
                      <w:szCs w:val="21"/>
                      <w14:textFill>
                        <w14:solidFill>
                          <w14:schemeClr w14:val="tx1"/>
                        </w14:solidFill>
                      </w14:textFill>
                    </w:rPr>
                    <w:t>冷却区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5"/>
                      <w:position w:val="-2"/>
                      <w:sz w:val="21"/>
                      <w:szCs w:val="21"/>
                      <w14:textFill>
                        <w14:solidFill>
                          <w14:schemeClr w14:val="tx1"/>
                        </w14:solidFill>
                      </w14:textFill>
                    </w:rPr>
                    <w:t>3</w:t>
                  </w:r>
                  <w:r>
                    <w:rPr>
                      <w:rFonts w:hint="default" w:ascii="Times New Roman" w:hAnsi="Times New Roman" w:eastAsia="宋体" w:cs="Times New Roman"/>
                      <w:color w:val="000000" w:themeColor="text1"/>
                      <w:spacing w:val="-4"/>
                      <w:position w:val="-2"/>
                      <w:sz w:val="21"/>
                      <w:szCs w:val="21"/>
                      <w14:textFill>
                        <w14:solidFill>
                          <w14:schemeClr w14:val="tx1"/>
                        </w14:solidFill>
                      </w14:textFill>
                    </w:rPr>
                    <w:t>6</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循环冷</w:t>
                  </w:r>
                  <w:r>
                    <w:rPr>
                      <w:rFonts w:hint="default" w:ascii="Times New Roman" w:hAnsi="Times New Roman" w:eastAsia="宋体" w:cs="Times New Roman"/>
                      <w:color w:val="000000" w:themeColor="text1"/>
                      <w:sz w:val="21"/>
                      <w:szCs w:val="21"/>
                      <w14:textFill>
                        <w14:solidFill>
                          <w14:schemeClr w14:val="tx1"/>
                        </w14:solidFill>
                      </w14:textFill>
                    </w:rPr>
                    <w:t>却水池</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spacing w:val="-2"/>
                      <w:position w:val="-2"/>
                      <w:sz w:val="21"/>
                      <w:szCs w:val="21"/>
                      <w:lang w:val="en-US" w:eastAsia="zh-CN"/>
                      <w14:textFill>
                        <w14:solidFill>
                          <w14:schemeClr w14:val="tx1"/>
                        </w14:solidFill>
                      </w14:textFill>
                    </w:rPr>
                  </w:pP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11m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7m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2"/>
                      <w:position w:val="-2"/>
                      <w:sz w:val="21"/>
                      <w:szCs w:val="21"/>
                      <w14:textFill>
                        <w14:solidFill>
                          <w14:schemeClr w14:val="tx1"/>
                        </w14:solidFill>
                      </w14:textFill>
                    </w:rPr>
                    <w:t>7m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水循环</w:t>
                  </w:r>
                  <w:r>
                    <w:rPr>
                      <w:rFonts w:hint="default" w:ascii="Times New Roman" w:hAnsi="Times New Roman" w:eastAsia="宋体" w:cs="Times New Roman"/>
                      <w:color w:val="000000" w:themeColor="text1"/>
                      <w:sz w:val="21"/>
                      <w:szCs w:val="21"/>
                      <w14:textFill>
                        <w14:solidFill>
                          <w14:schemeClr w14:val="tx1"/>
                        </w14:solidFill>
                      </w14:textFill>
                    </w:rPr>
                    <w:t>冷却区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37</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配电</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柜</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4"/>
                      <w:sz w:val="21"/>
                      <w:szCs w:val="21"/>
                      <w14:textFill>
                        <w14:solidFill>
                          <w14:schemeClr w14:val="tx1"/>
                        </w14:solidFill>
                      </w14:textFill>
                    </w:rPr>
                    <w:t>/</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3</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2"/>
                      <w:position w:val="-1"/>
                      <w:sz w:val="21"/>
                      <w:szCs w:val="21"/>
                      <w14:textFill>
                        <w14:solidFill>
                          <w14:schemeClr w14:val="tx1"/>
                        </w14:solidFill>
                      </w14:textFill>
                    </w:rPr>
                    <w:t>配电</w:t>
                  </w: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38</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空气压</w:t>
                  </w:r>
                  <w:r>
                    <w:rPr>
                      <w:rFonts w:hint="default" w:ascii="Times New Roman" w:hAnsi="Times New Roman" w:eastAsia="宋体" w:cs="Times New Roman"/>
                      <w:color w:val="000000" w:themeColor="text1"/>
                      <w:sz w:val="21"/>
                      <w:szCs w:val="21"/>
                      <w14:textFill>
                        <w14:solidFill>
                          <w14:schemeClr w14:val="tx1"/>
                        </w14:solidFill>
                      </w14:textFill>
                    </w:rPr>
                    <w:t>缩机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
                      <w:kern w:val="2"/>
                      <w:positio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
                      <w:kern w:val="2"/>
                      <w:position w:val="-2"/>
                      <w:sz w:val="21"/>
                      <w:szCs w:val="21"/>
                      <w:lang w:val="en-US" w:eastAsia="zh-CN" w:bidi="ar-SA"/>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2"/>
                      <w:sz w:val="21"/>
                      <w:szCs w:val="21"/>
                      <w14:textFill>
                        <w14:solidFill>
                          <w14:schemeClr w14:val="tx1"/>
                        </w14:solidFill>
                      </w14:textFill>
                    </w:rPr>
                    <w:t>ZL-6G</w:t>
                  </w:r>
                  <w:r>
                    <w:rPr>
                      <w:rFonts w:hint="default" w:ascii="Times New Roman" w:hAnsi="Times New Roman" w:eastAsia="宋体" w:cs="Times New Roman"/>
                      <w:color w:val="000000" w:themeColor="text1"/>
                      <w:position w:val="-2"/>
                      <w:sz w:val="21"/>
                      <w:szCs w:val="21"/>
                      <w14:textFill>
                        <w14:solidFill>
                          <w14:schemeClr w14:val="tx1"/>
                        </w14:solidFill>
                      </w14:textFill>
                    </w:rPr>
                    <w:t>W</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position w:val="-1"/>
                      <w:sz w:val="21"/>
                      <w:szCs w:val="21"/>
                      <w14:textFill>
                        <w14:solidFill>
                          <w14:schemeClr w14:val="tx1"/>
                        </w14:solidFill>
                      </w14:textFill>
                    </w:rPr>
                    <w:t>空气压</w:t>
                  </w:r>
                  <w:r>
                    <w:rPr>
                      <w:rFonts w:hint="default" w:ascii="Times New Roman" w:hAnsi="Times New Roman" w:eastAsia="宋体" w:cs="Times New Roman"/>
                      <w:color w:val="000000" w:themeColor="text1"/>
                      <w:position w:val="-1"/>
                      <w:sz w:val="21"/>
                      <w:szCs w:val="21"/>
                      <w14:textFill>
                        <w14:solidFill>
                          <w14:schemeClr w14:val="tx1"/>
                        </w14:solidFill>
                      </w14:textFill>
                    </w:rPr>
                    <w:t>缩区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39</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回水</w:t>
                  </w:r>
                  <w:r>
                    <w:rPr>
                      <w:rFonts w:hint="default" w:ascii="Times New Roman" w:hAnsi="Times New Roman" w:eastAsia="宋体" w:cs="Times New Roman"/>
                      <w:color w:val="000000" w:themeColor="text1"/>
                      <w:sz w:val="21"/>
                      <w:szCs w:val="21"/>
                      <w14:textFill>
                        <w14:solidFill>
                          <w14:schemeClr w14:val="tx1"/>
                        </w14:solidFill>
                      </w14:textFill>
                    </w:rPr>
                    <w:t>罐</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t>/</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1.6m</w:t>
                  </w:r>
                  <w:r>
                    <w:rPr>
                      <w:rFonts w:hint="eastAsia" w:ascii="Times New Roman" w:hAnsi="Times New Roman" w:cs="Times New Roman"/>
                      <w:color w:val="000000" w:themeColor="text1"/>
                      <w:spacing w:val="-2"/>
                      <w:position w:val="-2"/>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pacing w:val="-3"/>
                      <w:position w:val="-2"/>
                      <w:sz w:val="21"/>
                      <w:szCs w:val="21"/>
                      <w14:textFill>
                        <w14:solidFill>
                          <w14:schemeClr w14:val="tx1"/>
                        </w14:solidFill>
                      </w14:textFill>
                    </w:rPr>
                    <w:t>3m</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position w:val="-2"/>
                      <w:sz w:val="21"/>
                      <w:szCs w:val="21"/>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回水</w:t>
                  </w:r>
                  <w:r>
                    <w:rPr>
                      <w:rFonts w:hint="default" w:ascii="Times New Roman" w:hAnsi="Times New Roman" w:eastAsia="宋体" w:cs="Times New Roman"/>
                      <w:color w:val="000000" w:themeColor="text1"/>
                      <w:sz w:val="21"/>
                      <w:szCs w:val="21"/>
                      <w14:textFill>
                        <w14:solidFill>
                          <w14:schemeClr w14:val="tx1"/>
                        </w14:solidFill>
                      </w14:textFill>
                    </w:rPr>
                    <w:t>存放区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2"/>
                      <w:position w:val="-1"/>
                      <w:sz w:val="21"/>
                      <w:szCs w:val="21"/>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40</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工艺配套制水机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w:t>
                  </w:r>
                </w:p>
              </w:tc>
              <w:tc>
                <w:tcPr>
                  <w:tcW w:w="1317" w:type="dxa"/>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position w:val="-2"/>
                      <w:sz w:val="21"/>
                      <w:szCs w:val="21"/>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4t/h</w:t>
                  </w:r>
                </w:p>
              </w:tc>
              <w:tc>
                <w:tcPr>
                  <w:tcW w:w="474" w:type="dxa"/>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position w:val="-2"/>
                      <w:sz w:val="21"/>
                      <w:szCs w:val="21"/>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提取区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新增</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41</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燃气锅炉配套制水机</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2t/h</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kern w:val="2"/>
                      <w:position w:val="-2"/>
                      <w:sz w:val="21"/>
                      <w:szCs w:val="21"/>
                      <w:lang w:val="en-US" w:eastAsia="zh-CN" w:bidi="ar-SA"/>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1</w:t>
                  </w:r>
                </w:p>
              </w:tc>
              <w:tc>
                <w:tcPr>
                  <w:tcW w:w="1317" w:type="dxa"/>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3"/>
                      <w:position w:val="-2"/>
                      <w:sz w:val="21"/>
                      <w:szCs w:val="21"/>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2t/h</w:t>
                  </w:r>
                </w:p>
              </w:tc>
              <w:tc>
                <w:tcPr>
                  <w:tcW w:w="474" w:type="dxa"/>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position w:val="-2"/>
                      <w:sz w:val="21"/>
                      <w:szCs w:val="21"/>
                      <w14:textFill>
                        <w14:solidFill>
                          <w14:schemeClr w14:val="tx1"/>
                        </w14:solidFill>
                      </w14:textFill>
                    </w:rPr>
                  </w:pPr>
                  <w:r>
                    <w:rPr>
                      <w:rFonts w:hint="eastAsia" w:cs="Times New Roman"/>
                      <w:color w:val="000000" w:themeColor="text1"/>
                      <w:spacing w:val="-3"/>
                      <w:kern w:val="2"/>
                      <w:position w:val="-2"/>
                      <w:sz w:val="21"/>
                      <w:szCs w:val="21"/>
                      <w:lang w:val="en-US" w:eastAsia="zh-CN" w:bidi="ar-SA"/>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sz w:val="21"/>
                      <w:szCs w:val="21"/>
                      <w:lang w:val="en-US" w:eastAsia="zh-CN"/>
                      <w14:textFill>
                        <w14:solidFill>
                          <w14:schemeClr w14:val="tx1"/>
                        </w14:solidFill>
                      </w14:textFill>
                    </w:rPr>
                  </w:pPr>
                  <w:r>
                    <w:rPr>
                      <w:rFonts w:hint="eastAsia" w:cs="Times New Roman"/>
                      <w:color w:val="000000" w:themeColor="text1"/>
                      <w:spacing w:val="-1"/>
                      <w:sz w:val="21"/>
                      <w:szCs w:val="21"/>
                      <w:lang w:val="en-US" w:eastAsia="zh-CN"/>
                      <w14:textFill>
                        <w14:solidFill>
                          <w14:schemeClr w14:val="tx1"/>
                        </w14:solidFill>
                      </w14:textFill>
                    </w:rPr>
                    <w:t>锅炉房</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cs="Times New Roman"/>
                      <w:color w:val="000000" w:themeColor="text1"/>
                      <w:spacing w:val="-1"/>
                      <w:position w:val="-1"/>
                      <w:sz w:val="21"/>
                      <w:szCs w:val="21"/>
                      <w:lang w:val="en-US" w:eastAsia="zh-CN"/>
                      <w14:textFill>
                        <w14:solidFill>
                          <w14:schemeClr w14:val="tx1"/>
                        </w14:solidFill>
                      </w14:textFill>
                    </w:rPr>
                  </w:pPr>
                  <w:r>
                    <w:rPr>
                      <w:rFonts w:hint="eastAsia" w:cs="Times New Roman"/>
                      <w:color w:val="000000" w:themeColor="text1"/>
                      <w:spacing w:val="-1"/>
                      <w:position w:val="-1"/>
                      <w:sz w:val="21"/>
                      <w:szCs w:val="21"/>
                      <w:lang w:val="en-US" w:eastAsia="zh-CN"/>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42</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污水处理站</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10m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/d</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4"/>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10m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/d</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position w:val="-2"/>
                      <w:sz w:val="21"/>
                      <w:szCs w:val="21"/>
                      <w:lang w:val="en-US" w:eastAsia="zh-CN"/>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废水处</w:t>
                  </w:r>
                  <w:r>
                    <w:rPr>
                      <w:rFonts w:hint="default" w:ascii="Times New Roman" w:hAnsi="Times New Roman" w:eastAsia="宋体" w:cs="Times New Roman"/>
                      <w:color w:val="000000" w:themeColor="text1"/>
                      <w:sz w:val="21"/>
                      <w:szCs w:val="21"/>
                      <w14:textFill>
                        <w14:solidFill>
                          <w14:schemeClr w14:val="tx1"/>
                        </w14:solidFill>
                      </w14:textFill>
                    </w:rPr>
                    <w:t>理区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kern w:val="2"/>
                      <w:sz w:val="21"/>
                      <w:szCs w:val="21"/>
                      <w:lang w:val="en-US" w:eastAsia="zh-CN" w:bidi="ar-SA"/>
                      <w14:textFill>
                        <w14:solidFill>
                          <w14:schemeClr w14:val="tx1"/>
                        </w14:solidFill>
                      </w14:textFill>
                    </w:rPr>
                  </w:pPr>
                  <w:r>
                    <w:rPr>
                      <w:rFonts w:hint="eastAsia" w:cs="Times New Roman"/>
                      <w:color w:val="000000" w:themeColor="text1"/>
                      <w:spacing w:val="-1"/>
                      <w:kern w:val="2"/>
                      <w:sz w:val="21"/>
                      <w:szCs w:val="21"/>
                      <w:lang w:val="en-US" w:eastAsia="zh-CN" w:bidi="ar-SA"/>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5"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43</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t>废水调节池</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spacing w:val="-1"/>
                      <w:sz w:val="21"/>
                      <w:szCs w:val="21"/>
                      <w14:textFill>
                        <w14:solidFill>
                          <w14:schemeClr w14:val="tx1"/>
                        </w14:solidFill>
                      </w14:textFill>
                    </w:rPr>
                    <w:t>废水处</w:t>
                  </w:r>
                  <w:r>
                    <w:rPr>
                      <w:rFonts w:hint="default" w:ascii="Times New Roman" w:hAnsi="Times New Roman" w:eastAsia="宋体" w:cs="Times New Roman"/>
                      <w:color w:val="000000" w:themeColor="text1"/>
                      <w:sz w:val="21"/>
                      <w:szCs w:val="21"/>
                      <w14:textFill>
                        <w14:solidFill>
                          <w14:schemeClr w14:val="tx1"/>
                        </w14:solidFill>
                      </w14:textFill>
                    </w:rPr>
                    <w:t>理区</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pacing w:val="-1"/>
                      <w:kern w:val="2"/>
                      <w:position w:val="-1"/>
                      <w:sz w:val="21"/>
                      <w:szCs w:val="21"/>
                      <w:lang w:val="en-US" w:eastAsia="zh-CN" w:bidi="ar-SA"/>
                      <w14:textFill>
                        <w14:solidFill>
                          <w14:schemeClr w14:val="tx1"/>
                        </w14:solidFill>
                      </w14:textFill>
                    </w:rPr>
                  </w:pPr>
                  <w:r>
                    <w:rPr>
                      <w:rFonts w:hint="eastAsia" w:cs="Times New Roman"/>
                      <w:color w:val="000000" w:themeColor="text1"/>
                      <w:spacing w:val="-1"/>
                      <w:kern w:val="2"/>
                      <w:position w:val="-1"/>
                      <w:sz w:val="21"/>
                      <w:szCs w:val="21"/>
                      <w:lang w:val="en-US" w:eastAsia="zh-CN" w:bidi="ar-SA"/>
                      <w14:textFill>
                        <w14:solidFill>
                          <w14:schemeClr w14:val="tx1"/>
                        </w14:solidFill>
                      </w14:textFill>
                    </w:rPr>
                    <w:t>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90"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44</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事故池</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10</w:t>
                  </w: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230</w:t>
                  </w: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事故废水收集</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容积增大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90" w:hRule="atLeast"/>
              </w:trPr>
              <w:tc>
                <w:tcPr>
                  <w:tcW w:w="240"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45</w:t>
                  </w:r>
                </w:p>
              </w:tc>
              <w:tc>
                <w:tcPr>
                  <w:tcW w:w="928"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清水池</w:t>
                  </w:r>
                </w:p>
              </w:tc>
              <w:tc>
                <w:tcPr>
                  <w:tcW w:w="87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20m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p>
              </w:tc>
              <w:tc>
                <w:tcPr>
                  <w:tcW w:w="349"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1</w:t>
                  </w:r>
                </w:p>
              </w:tc>
              <w:tc>
                <w:tcPr>
                  <w:tcW w:w="78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eastAsia"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230</w:t>
                  </w:r>
                  <w:r>
                    <w:rPr>
                      <w:rFonts w:hint="eastAsia" w:ascii="Times New Roman" w:hAnsi="Times New Roman" w:eastAsia="宋体" w:cs="Times New Roman"/>
                      <w:color w:val="000000" w:themeColor="text1"/>
                      <w:spacing w:val="14"/>
                      <w:sz w:val="21"/>
                      <w:szCs w:val="21"/>
                      <w:lang w:val="en-US" w:eastAsia="zh-CN"/>
                      <w14:textFill>
                        <w14:solidFill>
                          <w14:schemeClr w14:val="tx1"/>
                        </w14:solidFill>
                      </w14:textFill>
                    </w:rPr>
                    <w:t>m</w:t>
                  </w:r>
                  <w:r>
                    <w:rPr>
                      <w:rFonts w:hint="eastAsia" w:ascii="Times New Roman" w:hAnsi="Times New Roman" w:eastAsia="宋体" w:cs="Times New Roman"/>
                      <w:color w:val="000000" w:themeColor="text1"/>
                      <w:spacing w:val="14"/>
                      <w:sz w:val="21"/>
                      <w:szCs w:val="21"/>
                      <w:vertAlign w:val="superscript"/>
                      <w:lang w:val="en-US" w:eastAsia="zh-CN"/>
                      <w14:textFill>
                        <w14:solidFill>
                          <w14:schemeClr w14:val="tx1"/>
                        </w14:solidFill>
                      </w14:textFill>
                    </w:rPr>
                    <w:t>3</w:t>
                  </w:r>
                </w:p>
              </w:tc>
              <w:tc>
                <w:tcPr>
                  <w:tcW w:w="283"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1042"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废水处理后收集暂存池</w:t>
                  </w:r>
                </w:p>
              </w:tc>
              <w:tc>
                <w:tcPr>
                  <w:tcW w:w="496" w:type="pct"/>
                  <w:tcBorders>
                    <w:top w:val="single" w:color="000000" w:sz="2" w:space="0"/>
                    <w:bottom w:val="single" w:color="000000" w:sz="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容积增大</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本项目</w:t>
            </w:r>
            <w:r>
              <w:rPr>
                <w:rFonts w:hint="eastAsia" w:cs="Times New Roman"/>
                <w:b/>
                <w:bCs w:val="0"/>
                <w:color w:val="000000" w:themeColor="text1"/>
                <w:sz w:val="24"/>
                <w:szCs w:val="24"/>
                <w:u w:val="single"/>
                <w:lang w:val="en-US" w:eastAsia="zh-CN"/>
                <w14:textFill>
                  <w14:solidFill>
                    <w14:schemeClr w14:val="tx1"/>
                  </w14:solidFill>
                </w14:textFill>
              </w:rPr>
              <w:t>建设4台多功能提取罐设备，约4h生产一批次香菇提取物，年工作日300天，每天12h。</w:t>
            </w:r>
          </w:p>
          <w:p>
            <w:pPr>
              <w:pStyle w:val="53"/>
              <w:keepNext w:val="0"/>
              <w:keepLines w:val="0"/>
              <w:pageBreakBefore w:val="0"/>
              <w:widowControl w:val="0"/>
              <w:tabs>
                <w:tab w:val="left" w:pos="895"/>
                <w:tab w:val="clear" w:pos="1322"/>
              </w:tabs>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w:t>
            </w:r>
            <w:r>
              <w:rPr>
                <w:rFonts w:hint="eastAsia" w:eastAsia="宋体" w:cs="Times New Roman"/>
                <w:b/>
                <w:bCs w:val="0"/>
                <w:color w:val="000000" w:themeColor="text1"/>
                <w:sz w:val="21"/>
                <w:szCs w:val="21"/>
                <w:u w:val="single"/>
                <w:lang w:val="en-US" w:eastAsia="zh-CN"/>
                <w14:textFill>
                  <w14:solidFill>
                    <w14:schemeClr w14:val="tx1"/>
                  </w14:solidFill>
                </w14:textFill>
              </w:rPr>
              <w:t>5</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 xml:space="preserve">  项目产量核算</w:t>
            </w:r>
          </w:p>
          <w:tbl>
            <w:tblPr>
              <w:tblStyle w:val="2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2"/>
              <w:gridCol w:w="980"/>
              <w:gridCol w:w="1518"/>
              <w:gridCol w:w="1270"/>
              <w:gridCol w:w="1202"/>
              <w:gridCol w:w="1148"/>
              <w:gridCol w:w="1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3" w:hRule="atLeast"/>
                <w:jc w:val="center"/>
              </w:trPr>
              <w:tc>
                <w:tcPr>
                  <w:tcW w:w="711"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产品名称</w:t>
                  </w:r>
                </w:p>
              </w:tc>
              <w:tc>
                <w:tcPr>
                  <w:tcW w:w="58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单</w:t>
                  </w:r>
                  <w:r>
                    <w:rPr>
                      <w:rFonts w:hint="eastAsia"/>
                      <w:b/>
                      <w:bCs w:val="0"/>
                      <w:color w:val="000000" w:themeColor="text1"/>
                      <w:szCs w:val="21"/>
                      <w:u w:val="single"/>
                      <w:lang w:val="en-US" w:eastAsia="zh-CN"/>
                      <w14:textFill>
                        <w14:solidFill>
                          <w14:schemeClr w14:val="tx1"/>
                        </w14:solidFill>
                      </w14:textFill>
                    </w:rPr>
                    <w:t>台</w:t>
                  </w:r>
                  <w:r>
                    <w:rPr>
                      <w:rFonts w:hint="eastAsia"/>
                      <w:b/>
                      <w:bCs w:val="0"/>
                      <w:color w:val="000000" w:themeColor="text1"/>
                      <w:szCs w:val="21"/>
                      <w:u w:val="single"/>
                      <w14:textFill>
                        <w14:solidFill>
                          <w14:schemeClr w14:val="tx1"/>
                        </w14:solidFill>
                      </w14:textFill>
                    </w:rPr>
                    <w:t>产能</w:t>
                  </w:r>
                </w:p>
              </w:tc>
              <w:tc>
                <w:tcPr>
                  <w:tcW w:w="906"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加工时间</w:t>
                  </w:r>
                </w:p>
              </w:tc>
              <w:tc>
                <w:tcPr>
                  <w:tcW w:w="758"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每</w:t>
                  </w:r>
                  <w:r>
                    <w:rPr>
                      <w:rFonts w:hint="eastAsia"/>
                      <w:b/>
                      <w:bCs w:val="0"/>
                      <w:color w:val="000000" w:themeColor="text1"/>
                      <w:szCs w:val="21"/>
                      <w:u w:val="single"/>
                      <w:lang w:val="en-US" w:eastAsia="zh-CN"/>
                      <w14:textFill>
                        <w14:solidFill>
                          <w14:schemeClr w14:val="tx1"/>
                        </w14:solidFill>
                      </w14:textFill>
                    </w:rPr>
                    <w:t>批</w:t>
                  </w:r>
                  <w:r>
                    <w:rPr>
                      <w:rFonts w:hint="eastAsia"/>
                      <w:b/>
                      <w:bCs w:val="0"/>
                      <w:color w:val="000000" w:themeColor="text1"/>
                      <w:szCs w:val="21"/>
                      <w:u w:val="single"/>
                      <w14:textFill>
                        <w14:solidFill>
                          <w14:schemeClr w14:val="tx1"/>
                        </w14:solidFill>
                      </w14:textFill>
                    </w:rPr>
                    <w:t>生产周期</w:t>
                  </w:r>
                </w:p>
              </w:tc>
              <w:tc>
                <w:tcPr>
                  <w:tcW w:w="717"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rFonts w:hint="eastAsia" w:eastAsia="宋体"/>
                      <w:b/>
                      <w:bCs w:val="0"/>
                      <w:color w:val="000000" w:themeColor="text1"/>
                      <w:szCs w:val="21"/>
                      <w:u w:val="single"/>
                      <w:lang w:eastAsia="zh-CN"/>
                      <w14:textFill>
                        <w14:solidFill>
                          <w14:schemeClr w14:val="tx1"/>
                        </w14:solidFill>
                      </w14:textFill>
                    </w:rPr>
                  </w:pPr>
                  <w:r>
                    <w:rPr>
                      <w:rFonts w:hint="eastAsia"/>
                      <w:b/>
                      <w:bCs w:val="0"/>
                      <w:color w:val="000000" w:themeColor="text1"/>
                      <w:szCs w:val="21"/>
                      <w:u w:val="single"/>
                      <w14:textFill>
                        <w14:solidFill>
                          <w14:schemeClr w14:val="tx1"/>
                        </w14:solidFill>
                      </w14:textFill>
                    </w:rPr>
                    <w:t>生产设备</w:t>
                  </w:r>
                  <w:r>
                    <w:rPr>
                      <w:rFonts w:hint="eastAsia"/>
                      <w:b/>
                      <w:bCs w:val="0"/>
                      <w:color w:val="000000" w:themeColor="text1"/>
                      <w:szCs w:val="21"/>
                      <w:u w:val="single"/>
                      <w:lang w:val="en-US" w:eastAsia="zh-CN"/>
                      <w14:textFill>
                        <w14:solidFill>
                          <w14:schemeClr w14:val="tx1"/>
                        </w14:solidFill>
                      </w14:textFill>
                    </w:rPr>
                    <w:t>台数</w:t>
                  </w:r>
                </w:p>
              </w:tc>
              <w:tc>
                <w:tcPr>
                  <w:tcW w:w="68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设计产量</w:t>
                  </w:r>
                </w:p>
              </w:tc>
              <w:tc>
                <w:tcPr>
                  <w:tcW w:w="63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14:textFill>
                        <w14:solidFill>
                          <w14:schemeClr w14:val="tx1"/>
                        </w14:solidFill>
                      </w14:textFill>
                    </w:rPr>
                    <w:t>生产规模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11"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rFonts w:hint="default" w:eastAsia="宋体"/>
                      <w:b/>
                      <w:bCs w:val="0"/>
                      <w:color w:val="000000" w:themeColor="text1"/>
                      <w:szCs w:val="21"/>
                      <w:u w:val="single"/>
                      <w:lang w:val="en-US" w:eastAsia="zh-CN"/>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香菇提取物</w:t>
                  </w:r>
                </w:p>
              </w:tc>
              <w:tc>
                <w:tcPr>
                  <w:tcW w:w="58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rFonts w:hint="default" w:eastAsia="宋体"/>
                      <w:b/>
                      <w:bCs w:val="0"/>
                      <w:color w:val="000000" w:themeColor="text1"/>
                      <w:szCs w:val="21"/>
                      <w:u w:val="single"/>
                      <w:lang w:val="en-US" w:eastAsia="zh-CN"/>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100kg</w:t>
                  </w:r>
                </w:p>
              </w:tc>
              <w:tc>
                <w:tcPr>
                  <w:tcW w:w="906"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12</w:t>
                  </w:r>
                  <w:r>
                    <w:rPr>
                      <w:b/>
                      <w:bCs w:val="0"/>
                      <w:color w:val="000000" w:themeColor="text1"/>
                      <w:szCs w:val="21"/>
                      <w:u w:val="single"/>
                      <w14:textFill>
                        <w14:solidFill>
                          <w14:schemeClr w14:val="tx1"/>
                        </w14:solidFill>
                      </w14:textFill>
                    </w:rPr>
                    <w:t>h/d</w:t>
                  </w:r>
                  <w:r>
                    <w:rPr>
                      <w:rFonts w:hint="eastAsia"/>
                      <w:b/>
                      <w:bCs w:val="0"/>
                      <w:color w:val="000000" w:themeColor="text1"/>
                      <w:szCs w:val="21"/>
                      <w:u w:val="single"/>
                      <w14:textFill>
                        <w14:solidFill>
                          <w14:schemeClr w14:val="tx1"/>
                        </w14:solidFill>
                      </w14:textFill>
                    </w:rPr>
                    <w:t>，</w:t>
                  </w:r>
                  <w:r>
                    <w:rPr>
                      <w:b/>
                      <w:bCs w:val="0"/>
                      <w:color w:val="000000" w:themeColor="text1"/>
                      <w:szCs w:val="21"/>
                      <w:u w:val="single"/>
                      <w14:textFill>
                        <w14:solidFill>
                          <w14:schemeClr w14:val="tx1"/>
                        </w14:solidFill>
                      </w14:textFill>
                    </w:rPr>
                    <w:t>300d/a</w:t>
                  </w:r>
                </w:p>
              </w:tc>
              <w:tc>
                <w:tcPr>
                  <w:tcW w:w="758"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4</w:t>
                  </w:r>
                  <w:r>
                    <w:rPr>
                      <w:b/>
                      <w:bCs w:val="0"/>
                      <w:color w:val="000000" w:themeColor="text1"/>
                      <w:szCs w:val="21"/>
                      <w:u w:val="single"/>
                      <w14:textFill>
                        <w14:solidFill>
                          <w14:schemeClr w14:val="tx1"/>
                        </w14:solidFill>
                      </w14:textFill>
                    </w:rPr>
                    <w:t>h</w:t>
                  </w:r>
                </w:p>
              </w:tc>
              <w:tc>
                <w:tcPr>
                  <w:tcW w:w="717"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rFonts w:hint="eastAsia" w:eastAsia="宋体"/>
                      <w:b/>
                      <w:bCs w:val="0"/>
                      <w:color w:val="000000" w:themeColor="text1"/>
                      <w:szCs w:val="21"/>
                      <w:u w:val="single"/>
                      <w:lang w:eastAsia="zh-CN"/>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4</w:t>
                  </w:r>
                </w:p>
              </w:tc>
              <w:tc>
                <w:tcPr>
                  <w:tcW w:w="68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360</w:t>
                  </w:r>
                  <w:r>
                    <w:rPr>
                      <w:b/>
                      <w:bCs w:val="0"/>
                      <w:color w:val="000000" w:themeColor="text1"/>
                      <w:szCs w:val="21"/>
                      <w:u w:val="single"/>
                      <w14:textFill>
                        <w14:solidFill>
                          <w14:schemeClr w14:val="tx1"/>
                        </w14:solidFill>
                      </w14:textFill>
                    </w:rPr>
                    <w:t>t/</w:t>
                  </w:r>
                  <w:r>
                    <w:rPr>
                      <w:rFonts w:hint="eastAsia"/>
                      <w:b/>
                      <w:bCs w:val="0"/>
                      <w:color w:val="000000" w:themeColor="text1"/>
                      <w:szCs w:val="21"/>
                      <w:u w:val="single"/>
                      <w14:textFill>
                        <w14:solidFill>
                          <w14:schemeClr w14:val="tx1"/>
                        </w14:solidFill>
                      </w14:textFill>
                    </w:rPr>
                    <w:t>年</w:t>
                  </w:r>
                </w:p>
              </w:tc>
              <w:tc>
                <w:tcPr>
                  <w:tcW w:w="635" w:type="pct"/>
                  <w:tcBorders>
                    <w:top w:val="single" w:color="auto" w:sz="4" w:space="0"/>
                    <w:left w:val="single" w:color="auto" w:sz="4" w:space="0"/>
                    <w:bottom w:val="single" w:color="auto" w:sz="4" w:space="0"/>
                    <w:right w:val="single" w:color="auto" w:sz="4" w:space="0"/>
                  </w:tcBorders>
                  <w:noWrap w:val="0"/>
                  <w:vAlign w:val="center"/>
                </w:tcPr>
                <w:p>
                  <w:pPr>
                    <w:autoSpaceDE w:val="0"/>
                    <w:autoSpaceDN w:val="0"/>
                    <w:jc w:val="center"/>
                    <w:rPr>
                      <w:b/>
                      <w:bCs w:val="0"/>
                      <w:color w:val="000000" w:themeColor="text1"/>
                      <w:szCs w:val="21"/>
                      <w:u w:val="single"/>
                      <w14:textFill>
                        <w14:solidFill>
                          <w14:schemeClr w14:val="tx1"/>
                        </w14:solidFill>
                      </w14:textFill>
                    </w:rPr>
                  </w:pPr>
                  <w:r>
                    <w:rPr>
                      <w:rFonts w:hint="eastAsia"/>
                      <w:b/>
                      <w:bCs w:val="0"/>
                      <w:color w:val="000000" w:themeColor="text1"/>
                      <w:szCs w:val="21"/>
                      <w:u w:val="single"/>
                      <w:lang w:val="en-US" w:eastAsia="zh-CN"/>
                      <w14:textFill>
                        <w14:solidFill>
                          <w14:schemeClr w14:val="tx1"/>
                        </w14:solidFill>
                      </w14:textFill>
                    </w:rPr>
                    <w:t>300</w:t>
                  </w:r>
                  <w:r>
                    <w:rPr>
                      <w:b/>
                      <w:bCs w:val="0"/>
                      <w:color w:val="000000" w:themeColor="text1"/>
                      <w:szCs w:val="21"/>
                      <w:u w:val="single"/>
                      <w14:textFill>
                        <w14:solidFill>
                          <w14:schemeClr w14:val="tx1"/>
                        </w14:solidFill>
                      </w14:textFill>
                    </w:rPr>
                    <w:t>t/</w:t>
                  </w:r>
                  <w:r>
                    <w:rPr>
                      <w:rFonts w:hint="eastAsia"/>
                      <w:b/>
                      <w:bCs w:val="0"/>
                      <w:color w:val="000000" w:themeColor="text1"/>
                      <w:szCs w:val="21"/>
                      <w:u w:val="single"/>
                      <w14:textFill>
                        <w14:solidFill>
                          <w14:schemeClr w14:val="tx1"/>
                        </w14:solidFill>
                      </w14:textFill>
                    </w:rPr>
                    <w:t>年</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5、</w:t>
            </w:r>
            <w:r>
              <w:rPr>
                <w:rFonts w:hint="eastAsia" w:ascii="Times New Roman" w:hAnsi="Times New Roman" w:cs="宋体"/>
                <w:b/>
                <w:bCs/>
                <w:color w:val="000000" w:themeColor="text1"/>
                <w:kern w:val="0"/>
                <w:sz w:val="24"/>
                <w:szCs w:val="24"/>
                <w:lang w:val="en-US" w:eastAsia="zh-CN"/>
                <w14:textFill>
                  <w14:solidFill>
                    <w14:schemeClr w14:val="tx1"/>
                  </w14:solidFill>
                </w14:textFill>
              </w:rPr>
              <w:t>主要原辅材料及能源消耗</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eastAsia" w:ascii="Times New Roman" w:hAnsi="Times New Roman" w:eastAsia="宋体" w:cs="Times New Roman"/>
                <w:bCs/>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lang w:val="en-US" w:eastAsia="zh-CN"/>
                <w14:textFill>
                  <w14:solidFill>
                    <w14:schemeClr w14:val="tx1"/>
                  </w14:solidFill>
                </w14:textFill>
              </w:rPr>
              <w:t>本项目主要原辅材料及能源消耗情况见下表。</w:t>
            </w:r>
          </w:p>
          <w:p>
            <w:pPr>
              <w:pStyle w:val="53"/>
              <w:keepNext w:val="0"/>
              <w:keepLines w:val="0"/>
              <w:pageBreakBefore w:val="0"/>
              <w:widowControl w:val="0"/>
              <w:tabs>
                <w:tab w:val="left" w:pos="895"/>
                <w:tab w:val="clear" w:pos="1322"/>
              </w:tabs>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default" w:ascii="Times New Roman" w:hAnsi="Times New Roman" w:eastAsia="宋体" w:cs="Times New Roman"/>
                <w:color w:val="000000" w:themeColor="text1"/>
                <w:sz w:val="21"/>
                <w:szCs w:val="21"/>
                <w:u w:val="none"/>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u w:val="none"/>
                <w:lang w:val="en-US" w:eastAsia="zh-CN"/>
                <w14:textFill>
                  <w14:solidFill>
                    <w14:schemeClr w14:val="tx1"/>
                  </w14:solidFill>
                </w14:textFill>
              </w:rPr>
              <w:t>表2-</w:t>
            </w:r>
            <w:r>
              <w:rPr>
                <w:rFonts w:hint="eastAsia" w:eastAsia="宋体" w:cs="Times New Roman"/>
                <w:color w:val="000000" w:themeColor="text1"/>
                <w:sz w:val="21"/>
                <w:szCs w:val="21"/>
                <w:u w:val="none"/>
                <w:lang w:val="en-US" w:eastAsia="zh-CN"/>
                <w14:textFill>
                  <w14:solidFill>
                    <w14:schemeClr w14:val="tx1"/>
                  </w14:solidFill>
                </w14:textFill>
              </w:rPr>
              <w:t>6</w:t>
            </w:r>
            <w:r>
              <w:rPr>
                <w:rFonts w:hint="eastAsia" w:ascii="Times New Roman" w:hAnsi="Times New Roman" w:eastAsia="宋体" w:cs="Times New Roman"/>
                <w:color w:val="000000" w:themeColor="text1"/>
                <w:sz w:val="21"/>
                <w:szCs w:val="21"/>
                <w:u w:val="none"/>
                <w:lang w:val="en-US" w:eastAsia="zh-CN"/>
                <w14:textFill>
                  <w14:solidFill>
                    <w14:schemeClr w14:val="tx1"/>
                  </w14:solidFill>
                </w14:textFill>
              </w:rPr>
              <w:t xml:space="preserve">  本项目主要原辅材料及能源消耗一览表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426"/>
              <w:gridCol w:w="1133"/>
              <w:gridCol w:w="1294"/>
              <w:gridCol w:w="1282"/>
              <w:gridCol w:w="1152"/>
              <w:gridCol w:w="26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序号</w:t>
                  </w:r>
                </w:p>
              </w:tc>
              <w:tc>
                <w:tcPr>
                  <w:tcW w:w="96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名称</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color w:val="000000" w:themeColor="text1"/>
                      <w:spacing w:val="11"/>
                      <w:kern w:val="2"/>
                      <w:sz w:val="21"/>
                      <w:szCs w:val="21"/>
                      <w:lang w:val="en-US" w:eastAsia="zh-CN" w:bidi="ar-SA"/>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原环评用量</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color w:val="000000" w:themeColor="text1"/>
                      <w:kern w:val="2"/>
                      <w:sz w:val="21"/>
                      <w:szCs w:val="21"/>
                      <w:lang w:val="en-US" w:eastAsia="zh-CN" w:bidi="ar-SA"/>
                      <w14:textFill>
                        <w14:solidFill>
                          <w14:schemeClr w14:val="tx1"/>
                        </w14:solidFill>
                      </w14:textFill>
                    </w:rPr>
                  </w:pPr>
                  <w:r>
                    <w:rPr>
                      <w:rFonts w:hint="eastAsia"/>
                      <w:b/>
                      <w:color w:val="000000" w:themeColor="text1"/>
                      <w:sz w:val="21"/>
                      <w:szCs w:val="21"/>
                      <w:u w:val="none"/>
                      <w:lang w:val="en-US" w:eastAsia="zh-CN"/>
                      <w14:textFill>
                        <w14:solidFill>
                          <w14:schemeClr w14:val="tx1"/>
                        </w14:solidFill>
                      </w14:textFill>
                    </w:rPr>
                    <w:t>重新报批</w:t>
                  </w:r>
                  <w:r>
                    <w:rPr>
                      <w:rFonts w:hint="eastAsia" w:ascii="Times New Roman" w:hAnsi="Times New Roman" w:eastAsia="宋体"/>
                      <w:b/>
                      <w:color w:val="000000" w:themeColor="text1"/>
                      <w:sz w:val="21"/>
                      <w:szCs w:val="21"/>
                      <w:u w:val="none"/>
                      <w:lang w:val="en-US" w:eastAsia="zh-CN"/>
                      <w14:textFill>
                        <w14:solidFill>
                          <w14:schemeClr w14:val="tx1"/>
                        </w14:solidFill>
                      </w14:textFill>
                    </w:rPr>
                    <w:t>用量</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cs="Times New Roman"/>
                      <w:b/>
                      <w:bCs/>
                      <w:color w:val="000000" w:themeColor="text1"/>
                      <w:spacing w:val="0"/>
                      <w:kern w:val="0"/>
                      <w:sz w:val="21"/>
                      <w:szCs w:val="21"/>
                      <w:vertAlign w:val="baseline"/>
                      <w:lang w:val="en-US" w:eastAsia="zh-CN"/>
                      <w14:textFill>
                        <w14:solidFill>
                          <w14:schemeClr w14:val="tx1"/>
                        </w14:solidFill>
                      </w14:textFill>
                    </w:rPr>
                    <w:t>变化量</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w:t>
                  </w:r>
                </w:p>
              </w:tc>
              <w:tc>
                <w:tcPr>
                  <w:tcW w:w="2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原辅材料</w:t>
                  </w: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香菇</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190.06t/a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270</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+79.94</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161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外购，用于生产香菇提取物、木耳及猴头菇等其他菌类提取物，所购原料均已清洗，且为干制原料。香菇符合《香菇》（GB/T 38581-2020）；木耳符合《黑木耳》（GB/T 6192-2019）；</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猴头菇等其他菌类符合</w:t>
                  </w:r>
                  <w:r>
                    <w:rPr>
                      <w:rFonts w:hint="eastAsia"/>
                      <w:color w:val="000000" w:themeColor="text1"/>
                      <w:lang w:val="en-US" w:eastAsia="zh-CN"/>
                      <w14:textFill>
                        <w14:solidFill>
                          <w14:schemeClr w14:val="tx1"/>
                        </w14:solidFill>
                      </w14:textFill>
                    </w:rPr>
                    <w:t>《绿色食品食菌》（NY/T 749-2018）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木耳及猴头菇等其他菌类</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60.059t/a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97.5</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+37.441</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161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3</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蛋白酶</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5.4</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+5.4</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外购，用于酶解工序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4</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纤维酶</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5.4</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+5.4</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t/a</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cs="Times New Roman"/>
                      <w:color w:val="000000" w:themeColor="text1"/>
                      <w:spacing w:val="0"/>
                      <w:kern w:val="0"/>
                      <w:sz w:val="21"/>
                      <w:szCs w:val="21"/>
                      <w:vertAlign w:val="baseline"/>
                      <w:lang w:val="en-US" w:eastAsia="zh-CN"/>
                      <w14:textFill>
                        <w14:solidFill>
                          <w14:schemeClr w14:val="tx1"/>
                        </w14:solidFill>
                      </w14:textFill>
                    </w:rPr>
                    <w:t>外购，用于水沉工序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5</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包装袋</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20t/a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30</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+10</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t/a</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外购，用于产品打包工段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6</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bidi="ar-SA"/>
                      <w14:textFill>
                        <w14:solidFill>
                          <w14:schemeClr w14:val="tx1"/>
                        </w14:solidFill>
                      </w14:textFill>
                    </w:rPr>
                    <w:t>导热油</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178kg</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+178kg</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存储电导热油炉内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7</w:t>
                  </w:r>
                </w:p>
              </w:tc>
              <w:tc>
                <w:tcPr>
                  <w:tcW w:w="2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能源消耗</w:t>
                  </w: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水</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2600.28</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m</w:t>
                  </w:r>
                  <w:r>
                    <w:rPr>
                      <w:rFonts w:hint="eastAsia" w:ascii="Times New Roman" w:hAnsi="Times New Roman" w:eastAsia="宋体" w:cs="Times New Roman"/>
                      <w:color w:val="000000" w:themeColor="text1"/>
                      <w:spacing w:val="0"/>
                      <w:kern w:val="0"/>
                      <w:sz w:val="21"/>
                      <w:szCs w:val="21"/>
                      <w:u w:val="none"/>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4433.28</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m</w:t>
                  </w:r>
                  <w:r>
                    <w:rPr>
                      <w:rFonts w:hint="eastAsia" w:ascii="Times New Roman" w:hAnsi="Times New Roman" w:eastAsia="宋体" w:cs="Times New Roman"/>
                      <w:color w:val="000000" w:themeColor="text1"/>
                      <w:spacing w:val="0"/>
                      <w:kern w:val="0"/>
                      <w:sz w:val="21"/>
                      <w:szCs w:val="21"/>
                      <w:u w:val="none"/>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color w:val="000000" w:themeColor="text1"/>
                      <w:spacing w:val="0"/>
                      <w:kern w:val="0"/>
                      <w:sz w:val="21"/>
                      <w:szCs w:val="21"/>
                      <w:u w:val="none"/>
                      <w:vertAlign w:val="baseline"/>
                      <w:lang w:val="en-US" w:eastAsia="zh-CN"/>
                      <w14:textFill>
                        <w14:solidFill>
                          <w14:schemeClr w14:val="tx1"/>
                        </w14:solidFill>
                      </w14:textFill>
                    </w:rPr>
                  </w:pP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依托河南吉尔木食品有限公司厂区现有自备水井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8</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电</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10万kw</w:t>
                  </w:r>
                  <w:r>
                    <w:rPr>
                      <w:rFonts w:hint="eastAsia" w:ascii="宋体" w:hAnsi="宋体" w:eastAsia="宋体" w:cs="宋体"/>
                      <w:color w:val="000000" w:themeColor="text1"/>
                      <w:spacing w:val="0"/>
                      <w:kern w:val="0"/>
                      <w:sz w:val="21"/>
                      <w:szCs w:val="21"/>
                      <w:u w:val="none"/>
                      <w:vertAlign w:val="baseline"/>
                      <w:lang w:val="en-US" w:eastAsia="zh-CN"/>
                      <w14:textFill>
                        <w14:solidFill>
                          <w14:schemeClr w14:val="tx1"/>
                        </w14:solidFill>
                      </w14:textFill>
                    </w:rPr>
                    <w:t>·</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h/a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w:t>
                  </w: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5</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万kw</w:t>
                  </w:r>
                  <w:r>
                    <w:rPr>
                      <w:rFonts w:hint="eastAsia" w:ascii="宋体" w:hAnsi="宋体" w:eastAsia="宋体" w:cs="宋体"/>
                      <w:color w:val="000000" w:themeColor="text1"/>
                      <w:spacing w:val="0"/>
                      <w:kern w:val="0"/>
                      <w:sz w:val="21"/>
                      <w:szCs w:val="21"/>
                      <w:u w:val="none"/>
                      <w:vertAlign w:val="baseline"/>
                      <w:lang w:val="en-US" w:eastAsia="zh-CN"/>
                      <w14:textFill>
                        <w14:solidFill>
                          <w14:schemeClr w14:val="tx1"/>
                        </w14:solidFill>
                      </w14:textFill>
                    </w:rPr>
                    <w:t>·</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h/a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14:textFill>
                        <w14:solidFill>
                          <w14:schemeClr w14:val="tx1"/>
                        </w14:solidFill>
                      </w14:textFill>
                    </w:rPr>
                    <w:t>+5万kw·h/a</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由当地供电所供给，用于设备生产过程中耗能。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9</w:t>
                  </w:r>
                </w:p>
              </w:tc>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p>
              </w:tc>
              <w:tc>
                <w:tcPr>
                  <w:tcW w:w="7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bidi="ar-SA"/>
                      <w14:textFill>
                        <w14:solidFill>
                          <w14:schemeClr w14:val="tx1"/>
                        </w14:solidFill>
                      </w14:textFill>
                    </w:rPr>
                    <w:t>天然气</w:t>
                  </w:r>
                </w:p>
              </w:tc>
              <w:tc>
                <w:tcPr>
                  <w:tcW w:w="80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54万m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/a</w:t>
                  </w:r>
                </w:p>
              </w:tc>
              <w:tc>
                <w:tcPr>
                  <w:tcW w:w="6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54万</w:t>
                  </w: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highlight w:val="none"/>
                      <w:u w:val="none"/>
                      <w:vertAlign w:val="superscript"/>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/a</w:t>
                  </w:r>
                </w:p>
              </w:tc>
              <w:tc>
                <w:tcPr>
                  <w:tcW w:w="7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0</w:t>
                  </w:r>
                </w:p>
              </w:tc>
              <w:tc>
                <w:tcPr>
                  <w:tcW w:w="16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14:textFill>
                        <w14:solidFill>
                          <w14:schemeClr w14:val="tx1"/>
                        </w14:solidFill>
                      </w14:textFill>
                    </w:rPr>
                    <w:t>外购，</w:t>
                  </w:r>
                  <w:r>
                    <w:rPr>
                      <w:rFonts w:hint="eastAsia" w:cs="Times New Roman"/>
                      <w:color w:val="000000" w:themeColor="text1"/>
                      <w:spacing w:val="0"/>
                      <w:kern w:val="0"/>
                      <w:sz w:val="21"/>
                      <w:szCs w:val="21"/>
                      <w:vertAlign w:val="baseline"/>
                      <w:lang w:val="en-US" w:eastAsia="zh-CN"/>
                      <w14:textFill>
                        <w14:solidFill>
                          <w14:schemeClr w14:val="tx1"/>
                        </w14:solidFill>
                      </w14:textFill>
                    </w:rPr>
                    <w:t>天然气为外购鲁山县南海能源天然气利用有限公司天然气，为西气东输天然气。</w:t>
                  </w: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14:textFill>
                        <w14:solidFill>
                          <w14:schemeClr w14:val="tx1"/>
                        </w14:solidFill>
                      </w14:textFill>
                    </w:rPr>
                    <w:t>用于锅炉房给提取、浓缩工段供热过程中耗能</w:t>
                  </w:r>
                </w:p>
              </w:tc>
            </w:tr>
          </w:tbl>
          <w:p>
            <w:pPr>
              <w:keepNext w:val="0"/>
              <w:keepLines w:val="0"/>
              <w:pageBreakBefore w:val="0"/>
              <w:widowControl w:val="0"/>
              <w:kinsoku/>
              <w:wordWrap/>
              <w:overflowPunct/>
              <w:topLinePunct w:val="0"/>
              <w:autoSpaceDE/>
              <w:autoSpaceDN/>
              <w:bidi w:val="0"/>
              <w:adjustRightInd w:val="0"/>
              <w:snapToGrid w:val="0"/>
              <w:spacing w:line="460" w:lineRule="exact"/>
              <w:jc w:val="left"/>
              <w:textAlignment w:val="auto"/>
              <w:rPr>
                <w:rFonts w:hint="eastAsia" w:ascii="Times New Roman" w:hAnsi="Times New Roman" w:cs="Times New Roman"/>
                <w:b/>
                <w:bCs w:val="0"/>
                <w:color w:val="000000" w:themeColor="text1"/>
                <w:sz w:val="24"/>
                <w:szCs w:val="24"/>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lang w:val="en-US" w:eastAsia="zh-CN"/>
                <w14:textFill>
                  <w14:solidFill>
                    <w14:schemeClr w14:val="tx1"/>
                  </w14:solidFill>
                </w14:textFill>
              </w:rPr>
              <w:t>原辅材料理化性质</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本项目外购蛋白酶、纤维酶满足《食品安全国家标准  食品添加剂 食品工业用酶制剂》（GB1886.174-2016）标准。</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w:t>
            </w:r>
            <w:r>
              <w:rPr>
                <w:rFonts w:hint="eastAsia" w:eastAsia="宋体" w:cs="Times New Roman"/>
                <w:b/>
                <w:bCs w:val="0"/>
                <w:color w:val="000000" w:themeColor="text1"/>
                <w:sz w:val="21"/>
                <w:szCs w:val="21"/>
                <w:u w:val="single"/>
                <w:lang w:val="en-US" w:eastAsia="zh-CN"/>
                <w14:textFill>
                  <w14:solidFill>
                    <w14:schemeClr w14:val="tx1"/>
                  </w14:solidFill>
                </w14:textFill>
              </w:rPr>
              <w:t>7</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 xml:space="preserve">  本项目外购蛋白酶产品出厂检测报告</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9"/>
              <w:gridCol w:w="2535"/>
              <w:gridCol w:w="1917"/>
              <w:gridCol w:w="11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6" w:type="pct"/>
                  <w:gridSpan w:val="2"/>
                  <w:vMerge w:val="restar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检测项目、标准</w:t>
                  </w:r>
                </w:p>
              </w:tc>
              <w:tc>
                <w:tcPr>
                  <w:tcW w:w="1833" w:type="pct"/>
                  <w:gridSpan w:val="2"/>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蛋白酶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6" w:type="pct"/>
                  <w:gridSpan w:val="2"/>
                  <w:vMerge w:val="continue"/>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检测结果</w:t>
                  </w:r>
                </w:p>
              </w:tc>
              <w:tc>
                <w:tcPr>
                  <w:tcW w:w="688"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外观*</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棕黄色或棕灰色粉末、具酶特有的气味</w:t>
                  </w:r>
                </w:p>
              </w:tc>
              <w:tc>
                <w:tcPr>
                  <w:tcW w:w="1144"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棕灰色粉末、具酶特有的气味</w:t>
                  </w:r>
                </w:p>
              </w:tc>
              <w:tc>
                <w:tcPr>
                  <w:tcW w:w="688"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酶活力（万μ/g）*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5.2</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铅（mg/kg）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总砷（mg/kg）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菌落总数（cfu/g）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≤50000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2000</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霉菌酵母菌（cfu/g）</w:t>
                  </w:r>
                </w:p>
              </w:tc>
              <w:tc>
                <w:tcPr>
                  <w:tcW w:w="1512" w:type="pct"/>
                  <w:vAlign w:val="center"/>
                </w:tcPr>
                <w:p>
                  <w:pPr>
                    <w:jc w:val="center"/>
                    <w:rPr>
                      <w:rFonts w:hint="default"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≤100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10</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大肠菌群（cfu/g）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＜10</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大肠埃希氏菌（mpn/g）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沙门氏菌（25g）</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不得检出</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未检出</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净含量</w:t>
                  </w:r>
                </w:p>
              </w:tc>
              <w:tc>
                <w:tcPr>
                  <w:tcW w:w="151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符合规定</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符合规定</w:t>
                  </w:r>
                </w:p>
              </w:tc>
              <w:tc>
                <w:tcPr>
                  <w:tcW w:w="688"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4"/>
                  <w:vAlign w:val="center"/>
                </w:tcPr>
                <w:p>
                  <w:pPr>
                    <w:jc w:val="left"/>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注：标有*为企业内控项目</w:t>
                  </w:r>
                </w:p>
              </w:tc>
            </w:tr>
          </w:tbl>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w:t>
            </w:r>
            <w:r>
              <w:rPr>
                <w:rFonts w:hint="eastAsia" w:eastAsia="宋体" w:cs="Times New Roman"/>
                <w:b/>
                <w:bCs w:val="0"/>
                <w:color w:val="000000" w:themeColor="text1"/>
                <w:sz w:val="21"/>
                <w:szCs w:val="21"/>
                <w:u w:val="single"/>
                <w:lang w:val="en-US" w:eastAsia="zh-CN"/>
                <w14:textFill>
                  <w14:solidFill>
                    <w14:schemeClr w14:val="tx1"/>
                  </w14:solidFill>
                </w14:textFill>
              </w:rPr>
              <w:t>8</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 xml:space="preserve">  本项目外购纤维酶产品出厂检测报告</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7"/>
              <w:gridCol w:w="2535"/>
              <w:gridCol w:w="1917"/>
              <w:gridCol w:w="11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pct"/>
                  <w:gridSpan w:val="2"/>
                  <w:vMerge w:val="restar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检测项目、标准</w:t>
                  </w:r>
                </w:p>
              </w:tc>
              <w:tc>
                <w:tcPr>
                  <w:tcW w:w="1834" w:type="pct"/>
                  <w:gridSpan w:val="2"/>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纤维酶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pct"/>
                  <w:gridSpan w:val="2"/>
                  <w:vMerge w:val="continue"/>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检测结果</w:t>
                  </w:r>
                </w:p>
              </w:tc>
              <w:tc>
                <w:tcPr>
                  <w:tcW w:w="689"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外观*</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浅黄粉末，具有特有的气味</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浅黄粉末，具有特有的气味</w:t>
                  </w:r>
                </w:p>
              </w:tc>
              <w:tc>
                <w:tcPr>
                  <w:tcW w:w="689"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酶活力（万μ/g）*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≥2.0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2.11</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铅（mg/kg）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总砷（mg/kg）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菌落总数（cfu/g）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≤50000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4300</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大肠菌群（cfu/g）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大肠埃希氏菌（mpn/g）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＜3.0</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沙门氏菌（25g）</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不得检出</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未检出</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2"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净含量</w:t>
                  </w:r>
                </w:p>
              </w:tc>
              <w:tc>
                <w:tcPr>
                  <w:tcW w:w="1513"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符合规定</w:t>
                  </w:r>
                </w:p>
              </w:tc>
              <w:tc>
                <w:tcPr>
                  <w:tcW w:w="1144" w:type="pct"/>
                  <w:vAlign w:val="center"/>
                </w:tcPr>
                <w:p>
                  <w:pPr>
                    <w:jc w:val="cente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符合规定</w:t>
                  </w:r>
                </w:p>
              </w:tc>
              <w:tc>
                <w:tcPr>
                  <w:tcW w:w="689" w:type="pct"/>
                  <w:vAlign w:val="center"/>
                </w:tcPr>
                <w:p>
                  <w:pPr>
                    <w:jc w:val="cente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4"/>
                  <w:vAlign w:val="center"/>
                </w:tcPr>
                <w:p>
                  <w:pPr>
                    <w:jc w:val="left"/>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cs="Times New Roman"/>
                      <w:b/>
                      <w:bCs w:val="0"/>
                      <w:color w:val="000000" w:themeColor="text1"/>
                      <w:sz w:val="21"/>
                      <w:szCs w:val="21"/>
                      <w:u w:val="single"/>
                      <w:vertAlign w:val="baseline"/>
                      <w:lang w:val="en-US" w:eastAsia="zh-CN"/>
                      <w14:textFill>
                        <w14:solidFill>
                          <w14:schemeClr w14:val="tx1"/>
                        </w14:solidFill>
                      </w14:textFill>
                    </w:rPr>
                    <w:t>注：标有*为企业内控项目</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宋体" w:hAnsi="宋体" w:eastAsia="宋体" w:cs="宋体"/>
                <w:b/>
                <w:bCs w:val="0"/>
                <w:color w:val="000000" w:themeColor="text1"/>
                <w:kern w:val="0"/>
                <w:sz w:val="24"/>
                <w:szCs w:val="24"/>
                <w:u w:val="single"/>
                <w:lang w:val="en-US" w:eastAsia="zh-CN" w:bidi="ar"/>
                <w14:textFill>
                  <w14:solidFill>
                    <w14:schemeClr w14:val="tx1"/>
                  </w14:solidFill>
                </w14:textFill>
              </w:rPr>
              <w:t>本项目</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导热油为L-QC 320合成型导热油，满足《有机热载体》（GB23971-2009）</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标准。</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w:t>
            </w:r>
            <w:r>
              <w:rPr>
                <w:rFonts w:hint="eastAsia" w:eastAsia="宋体" w:cs="Times New Roman"/>
                <w:b/>
                <w:bCs w:val="0"/>
                <w:color w:val="000000" w:themeColor="text1"/>
                <w:sz w:val="21"/>
                <w:szCs w:val="21"/>
                <w:u w:val="single"/>
                <w:lang w:val="en-US" w:eastAsia="zh-CN"/>
                <w14:textFill>
                  <w14:solidFill>
                    <w14:schemeClr w14:val="tx1"/>
                  </w14:solidFill>
                </w14:textFill>
              </w:rPr>
              <w:t>9</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 xml:space="preserve">  本项目导热油产品质量</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69"/>
              <w:gridCol w:w="2127"/>
              <w:gridCol w:w="1272"/>
              <w:gridCol w:w="17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分析项目</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质量标准</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kern w:val="2"/>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检测结果</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试验方法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热稳定性 最高允许使用温度，℃</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300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kern w:val="2"/>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300</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23800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外观</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清澈透明，无悬浮物</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透明无杂质</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目测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自然点/℃</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不低于</w:t>
                  </w: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300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361</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SH/T  0642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闪点（闭口）/℃</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不低于100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186.0</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闪点（开口）/℃</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不低于180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186</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3536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硫含量（质量分数）/%</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不大于0.2</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0.013</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17040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氯含量/（mg/kg）</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不大于20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1.1000</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附录B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酸值（以KOH计）/（mg/g）</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不大于0.05</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0.02</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4945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铜片腐蚀（100℃，3h）/级</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不大于1</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1b</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5096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水分/（mg/kg）</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不大于500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39</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11133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水溶性酸碱</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无</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无</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倾点/℃</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不高于-9</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-48</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3535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密度（20℃）/（kg/m</w:t>
                  </w:r>
                  <w:r>
                    <w:rPr>
                      <w:rFonts w:hint="default" w:ascii="Times New Roman" w:hAnsi="Times New Roman" w:eastAsia="宋体" w:cs="Times New Roman"/>
                      <w:b/>
                      <w:bCs w:val="0"/>
                      <w:color w:val="000000" w:themeColor="text1"/>
                      <w:sz w:val="21"/>
                      <w:szCs w:val="21"/>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875.0</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SH/T  0604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灰分（质量分数）/%</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0.013</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508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初馏点</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315</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NB/SH/T  0642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馏程</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（2%）/</w:t>
                  </w: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335.5</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6536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残炭（质量分数）</w:t>
                  </w: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不大于0.05</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0.02</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运动黏度</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（0℃）/（mm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2</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/s）</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157.9</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pStyle w:val="4"/>
                    <w:keepLines w:val="0"/>
                    <w:pageBreakBefore w:val="0"/>
                    <w:widowControl w:val="0"/>
                    <w:kinsoku/>
                    <w:wordWrap/>
                    <w:topLinePunct w:val="0"/>
                    <w:autoSpaceDE/>
                    <w:autoSpaceDN/>
                    <w:bidi w:val="0"/>
                    <w:adjustRightInd w:val="0"/>
                    <w:snapToGrid w:val="0"/>
                    <w:spacing w:before="0" w:after="0"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运动黏度</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（40℃）/（mm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2</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/s）</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不大于40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17.79</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pStyle w:val="4"/>
                    <w:keepLines w:val="0"/>
                    <w:pageBreakBefore w:val="0"/>
                    <w:widowControl w:val="0"/>
                    <w:kinsoku/>
                    <w:wordWrap/>
                    <w:topLinePunct w:val="0"/>
                    <w:autoSpaceDE/>
                    <w:autoSpaceDN/>
                    <w:bidi w:val="0"/>
                    <w:adjustRightInd w:val="0"/>
                    <w:snapToGrid w:val="0"/>
                    <w:spacing w:before="0" w:after="0" w:line="240" w:lineRule="auto"/>
                    <w:ind w:left="0" w:firstLine="0"/>
                    <w:jc w:val="both"/>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运动黏度</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（100℃）/（mm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2</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/s）</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报告</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3.546</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GB/T  265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24"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热氧化安定性</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（175℃，72h）</w:t>
                  </w:r>
                </w:p>
                <w:p>
                  <w:pPr>
                    <w:keepLines w:val="0"/>
                    <w:pageBreakBefore w:val="0"/>
                    <w:widowControl w:val="0"/>
                    <w:kinsoku/>
                    <w:wordWrap/>
                    <w:topLinePunct w:val="0"/>
                    <w:autoSpaceDE/>
                    <w:autoSpaceDN/>
                    <w:bidi w:val="0"/>
                    <w:adjustRightInd w:val="0"/>
                    <w:snapToGrid w:val="0"/>
                    <w:spacing w:line="240" w:lineRule="auto"/>
                    <w:ind w:left="0" w:firstLine="0"/>
                    <w:jc w:val="both"/>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40℃</w:t>
                  </w:r>
                  <w:r>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t>年度增长</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w:t>
                  </w:r>
                </w:p>
                <w:p>
                  <w:pPr>
                    <w:keepLines w:val="0"/>
                    <w:pageBreakBefore w:val="0"/>
                    <w:widowControl w:val="0"/>
                    <w:kinsoku/>
                    <w:wordWrap/>
                    <w:topLinePunct w:val="0"/>
                    <w:autoSpaceDE/>
                    <w:autoSpaceDN/>
                    <w:bidi w:val="0"/>
                    <w:adjustRightInd w:val="0"/>
                    <w:snapToGrid w:val="0"/>
                    <w:spacing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t>酸值增加</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/（mgKOH/g）</w:t>
                  </w:r>
                </w:p>
                <w:p>
                  <w:pPr>
                    <w:pStyle w:val="4"/>
                    <w:keepLines w:val="0"/>
                    <w:pageBreakBefore w:val="0"/>
                    <w:widowControl w:val="0"/>
                    <w:kinsoku/>
                    <w:wordWrap/>
                    <w:topLinePunct w:val="0"/>
                    <w:autoSpaceDE/>
                    <w:autoSpaceDN/>
                    <w:bidi w:val="0"/>
                    <w:adjustRightInd w:val="0"/>
                    <w:snapToGrid w:val="0"/>
                    <w:spacing w:before="0" w:after="0" w:line="240" w:lineRule="auto"/>
                    <w:ind w:left="0" w:firstLine="0"/>
                    <w:jc w:val="both"/>
                    <w:textAlignment w:val="auto"/>
                    <w:rPr>
                      <w:rFonts w:hint="default" w:ascii="Times New Roman" w:hAnsi="Times New Roman"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总</w:t>
                  </w:r>
                  <w:r>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沉渣</w:t>
                  </w: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重/</w:t>
                  </w:r>
                  <w:r>
                    <w:rPr>
                      <w:rFonts w:hint="eastAsia" w:ascii="Times New Roman" w:hAnsi="Times New Roman" w:cs="Times New Roman"/>
                      <w:b/>
                      <w:bCs w:val="0"/>
                      <w:color w:val="000000" w:themeColor="text1"/>
                      <w:sz w:val="21"/>
                      <w:szCs w:val="21"/>
                      <w:u w:val="single"/>
                      <w:lang w:val="en-US" w:eastAsia="zh-CN"/>
                      <w14:textFill>
                        <w14:solidFill>
                          <w14:schemeClr w14:val="tx1"/>
                        </w14:solidFill>
                      </w14:textFill>
                    </w:rPr>
                    <w:t>（mg/100g）</w:t>
                  </w:r>
                </w:p>
              </w:tc>
              <w:tc>
                <w:tcPr>
                  <w:tcW w:w="2175"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不大于40</w:t>
                  </w: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不大于0.8</w:t>
                  </w: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b/>
                      <w:bCs w:val="0"/>
                      <w:color w:val="000000" w:themeColor="text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不大于50</w:t>
                  </w:r>
                </w:p>
              </w:tc>
              <w:tc>
                <w:tcPr>
                  <w:tcW w:w="1287"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19.67</w:t>
                  </w: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0.19</w:t>
                  </w:r>
                </w:p>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b/>
                      <w:bCs w:val="0"/>
                      <w:color w:val="000000" w:themeColor="text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8.8</w:t>
                  </w:r>
                </w:p>
              </w:tc>
              <w:tc>
                <w:tcPr>
                  <w:tcW w:w="1733" w:type="dxa"/>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firstLine="0"/>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t>附录C</w:t>
                  </w:r>
                </w:p>
              </w:tc>
            </w:tr>
          </w:tbl>
          <w:p>
            <w:pPr>
              <w:keepNext w:val="0"/>
              <w:keepLines w:val="0"/>
              <w:pageBreakBefore w:val="0"/>
              <w:widowControl/>
              <w:suppressLineNumbers w:val="0"/>
              <w:kinsoku/>
              <w:wordWrap/>
              <w:overflowPunct/>
              <w:topLinePunct w:val="0"/>
              <w:autoSpaceDE/>
              <w:autoSpaceDN/>
              <w:bidi w:val="0"/>
              <w:adjustRightInd/>
              <w:snapToGrid/>
              <w:spacing w:line="360" w:lineRule="auto"/>
              <w:ind w:firstLine="482" w:firstLineChars="200"/>
              <w:jc w:val="left"/>
              <w:textAlignment w:val="auto"/>
              <w:rPr>
                <w:rFonts w:hint="default" w:ascii="宋体" w:hAnsi="宋体" w:eastAsia="宋体" w:cs="宋体"/>
                <w:b/>
                <w:bCs w:val="0"/>
                <w:color w:val="000000" w:themeColor="text1"/>
                <w:kern w:val="0"/>
                <w:sz w:val="24"/>
                <w:szCs w:val="24"/>
                <w:u w:val="single"/>
                <w:lang w:val="en-US" w:eastAsia="zh-CN" w:bidi="ar"/>
                <w14:textFill>
                  <w14:solidFill>
                    <w14:schemeClr w14:val="tx1"/>
                  </w14:solidFill>
                </w14:textFill>
              </w:rPr>
            </w:pPr>
            <w:r>
              <w:rPr>
                <w:rFonts w:hint="eastAsia" w:ascii="宋体" w:hAnsi="宋体" w:eastAsia="宋体" w:cs="宋体"/>
                <w:b/>
                <w:bCs w:val="0"/>
                <w:color w:val="000000" w:themeColor="text1"/>
                <w:kern w:val="0"/>
                <w:sz w:val="24"/>
                <w:szCs w:val="24"/>
                <w:u w:val="single"/>
                <w:lang w:val="en-US" w:eastAsia="zh-CN" w:bidi="ar"/>
                <w14:textFill>
                  <w14:solidFill>
                    <w14:schemeClr w14:val="tx1"/>
                  </w14:solidFill>
                </w14:textFill>
              </w:rPr>
              <w:t>本项目所用天然气气源为鲁山县南海能源天然气利用有限公司天然气，为西气东输天然气。天然气成分分析见表</w:t>
            </w:r>
            <w:r>
              <w:rPr>
                <w:rFonts w:hint="eastAsia" w:ascii="宋体" w:hAnsi="宋体" w:cs="宋体"/>
                <w:b/>
                <w:bCs w:val="0"/>
                <w:color w:val="000000" w:themeColor="text1"/>
                <w:kern w:val="0"/>
                <w:sz w:val="24"/>
                <w:szCs w:val="24"/>
                <w:u w:val="single"/>
                <w:lang w:val="en-US" w:eastAsia="zh-CN" w:bidi="ar"/>
                <w14:textFill>
                  <w14:solidFill>
                    <w14:schemeClr w14:val="tx1"/>
                  </w14:solidFill>
                </w14:textFill>
              </w:rPr>
              <w:t>2-10</w:t>
            </w:r>
          </w:p>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表2-10  天然气成分分析一览表</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5"/>
              <w:gridCol w:w="1503"/>
              <w:gridCol w:w="1404"/>
              <w:gridCol w:w="1326"/>
              <w:gridCol w:w="1485"/>
              <w:gridCol w:w="14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组成</w:t>
                  </w:r>
                </w:p>
              </w:tc>
              <w:tc>
                <w:tcPr>
                  <w:tcW w:w="897"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CH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4</w:t>
                  </w:r>
                </w:p>
              </w:tc>
              <w:tc>
                <w:tcPr>
                  <w:tcW w:w="838"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2</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6</w:t>
                  </w:r>
                </w:p>
              </w:tc>
              <w:tc>
                <w:tcPr>
                  <w:tcW w:w="79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3</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8</w:t>
                  </w:r>
                </w:p>
              </w:tc>
              <w:tc>
                <w:tcPr>
                  <w:tcW w:w="886"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n-C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4</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10</w:t>
                  </w:r>
                </w:p>
              </w:tc>
              <w:tc>
                <w:tcPr>
                  <w:tcW w:w="885"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i-C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4</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V/%</w:t>
                  </w:r>
                </w:p>
              </w:tc>
              <w:tc>
                <w:tcPr>
                  <w:tcW w:w="897"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94.2016</w:t>
                  </w:r>
                </w:p>
              </w:tc>
              <w:tc>
                <w:tcPr>
                  <w:tcW w:w="838"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2.7637</w:t>
                  </w:r>
                </w:p>
              </w:tc>
              <w:tc>
                <w:tcPr>
                  <w:tcW w:w="79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0.5477</w:t>
                  </w:r>
                </w:p>
              </w:tc>
              <w:tc>
                <w:tcPr>
                  <w:tcW w:w="886"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0.0798</w:t>
                  </w:r>
                </w:p>
              </w:tc>
              <w:tc>
                <w:tcPr>
                  <w:tcW w:w="885"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宋体"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0.0672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组成</w:t>
                  </w:r>
                </w:p>
              </w:tc>
              <w:tc>
                <w:tcPr>
                  <w:tcW w:w="897"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n-C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5</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12</w:t>
                  </w:r>
                </w:p>
              </w:tc>
              <w:tc>
                <w:tcPr>
                  <w:tcW w:w="838"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i-C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5</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12</w:t>
                  </w:r>
                </w:p>
              </w:tc>
              <w:tc>
                <w:tcPr>
                  <w:tcW w:w="79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C</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6</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w:t>
                  </w:r>
                </w:p>
              </w:tc>
              <w:tc>
                <w:tcPr>
                  <w:tcW w:w="886"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N</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2</w:t>
                  </w:r>
                </w:p>
              </w:tc>
              <w:tc>
                <w:tcPr>
                  <w:tcW w:w="885"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CO</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V/%</w:t>
                  </w:r>
                </w:p>
              </w:tc>
              <w:tc>
                <w:tcPr>
                  <w:tcW w:w="897"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0.0174</w:t>
                  </w:r>
                </w:p>
              </w:tc>
              <w:tc>
                <w:tcPr>
                  <w:tcW w:w="838"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0.0205</w:t>
                  </w:r>
                </w:p>
              </w:tc>
              <w:tc>
                <w:tcPr>
                  <w:tcW w:w="791"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0.0478</w:t>
                  </w:r>
                </w:p>
              </w:tc>
              <w:tc>
                <w:tcPr>
                  <w:tcW w:w="886"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1.4022</w:t>
                  </w:r>
                </w:p>
              </w:tc>
              <w:tc>
                <w:tcPr>
                  <w:tcW w:w="885" w:type="pct"/>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0.8521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8"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H</w:t>
                  </w:r>
                  <w:r>
                    <w:rPr>
                      <w:rFonts w:hint="eastAsia" w:ascii="Times New Roman" w:hAnsi="Times New Roman" w:cs="Times New Roman"/>
                      <w:b/>
                      <w:bCs w:val="0"/>
                      <w:color w:val="000000" w:themeColor="text1"/>
                      <w:sz w:val="21"/>
                      <w:szCs w:val="21"/>
                      <w:u w:val="single"/>
                      <w:vertAlign w:val="subscript"/>
                      <w:lang w:val="en-US" w:eastAsia="zh-CN"/>
                      <w14:textFill>
                        <w14:solidFill>
                          <w14:schemeClr w14:val="tx1"/>
                        </w14:solidFill>
                      </w14:textFill>
                    </w:rPr>
                    <w:t>2</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S（mg/m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3</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w:t>
                  </w:r>
                </w:p>
              </w:tc>
              <w:tc>
                <w:tcPr>
                  <w:tcW w:w="1629"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高位发热量（MJ/m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3</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w:t>
                  </w:r>
                </w:p>
              </w:tc>
              <w:tc>
                <w:tcPr>
                  <w:tcW w:w="1771"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低位发热量（MJ/m</w:t>
                  </w:r>
                  <w:r>
                    <w:rPr>
                      <w:rFonts w:hint="eastAsia" w:ascii="Times New Roman" w:hAnsi="Times New Roman" w:cs="Times New Roman"/>
                      <w:b/>
                      <w:bCs w:val="0"/>
                      <w:color w:val="000000" w:themeColor="text1"/>
                      <w:sz w:val="21"/>
                      <w:szCs w:val="21"/>
                      <w:u w:val="single"/>
                      <w:vertAlign w:val="superscript"/>
                      <w:lang w:val="en-US" w:eastAsia="zh-CN"/>
                      <w14:textFill>
                        <w14:solidFill>
                          <w14:schemeClr w14:val="tx1"/>
                        </w14:solidFill>
                      </w14:textFill>
                    </w:rPr>
                    <w:t>3</w:t>
                  </w: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98"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1.520</w:t>
                  </w:r>
                </w:p>
              </w:tc>
              <w:tc>
                <w:tcPr>
                  <w:tcW w:w="1629"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37.5900</w:t>
                  </w:r>
                </w:p>
              </w:tc>
              <w:tc>
                <w:tcPr>
                  <w:tcW w:w="1771"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1"/>
                      <w:szCs w:val="21"/>
                      <w:u w:val="single"/>
                      <w:vertAlign w:val="baseline"/>
                      <w:lang w:val="en-US" w:eastAsia="zh-CN"/>
                      <w14:textFill>
                        <w14:solidFill>
                          <w14:schemeClr w14:val="tx1"/>
                        </w14:solidFill>
                      </w14:textFill>
                    </w:rPr>
                    <w:t>33.9023</w:t>
                  </w:r>
                </w:p>
              </w:tc>
            </w:tr>
          </w:tbl>
          <w:p>
            <w:pPr>
              <w:pStyle w:val="53"/>
              <w:pageBreakBefore w:val="0"/>
              <w:tabs>
                <w:tab w:val="left" w:pos="895"/>
                <w:tab w:val="clear" w:pos="1322"/>
              </w:tabs>
              <w:kinsoku/>
              <w:wordWrap/>
              <w:overflowPunct/>
              <w:topLinePunct w:val="0"/>
              <w:autoSpaceDE/>
              <w:autoSpaceDN/>
              <w:bidi w:val="0"/>
              <w:spacing w:line="360" w:lineRule="auto"/>
              <w:ind w:left="0" w:leftChars="0" w:right="0" w:rightChars="0" w:firstLine="0" w:firstLine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表2-</w:t>
            </w:r>
            <w:r>
              <w:rPr>
                <w:rFonts w:hint="eastAsia" w:eastAsia="宋体" w:cs="Times New Roman"/>
                <w:b/>
                <w:bCs w:val="0"/>
                <w:color w:val="000000" w:themeColor="text1"/>
                <w:sz w:val="21"/>
                <w:szCs w:val="21"/>
                <w:u w:val="single"/>
                <w:lang w:val="en-US" w:eastAsia="zh-CN"/>
                <w14:textFill>
                  <w14:solidFill>
                    <w14:schemeClr w14:val="tx1"/>
                  </w14:solidFill>
                </w14:textFill>
              </w:rPr>
              <w:t>11</w:t>
            </w: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 xml:space="preserve">  本项目原辅材料理化性质一览表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1605"/>
              <w:gridCol w:w="2075"/>
              <w:gridCol w:w="1713"/>
              <w:gridCol w:w="22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标识</w:t>
                  </w: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中文名</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天然气，液化天然气</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危险货物编号</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21008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英文名</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LNG</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UN编号</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1972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CAS号</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800-14-2</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危险类别</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第2.1类易燃气体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理化性质</w:t>
                  </w: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外观与性状</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无色无臭液体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火灾危害性</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甲类</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相对密闭（水=1）</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沸点</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-160~-164</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熔点（</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毒性及健康危害</w:t>
                  </w: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侵入途径</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吸入</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毒性</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LD50、LC50均无数据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健康危害</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天然气主要由甲烷组成，其性质与纯甲烷相似。属于“单纯窒息性”气体，高浓度时因缺氧而引起窒息。空气中的甲烷浓度达到25%-30%时出现头晕、呼吸加快、运动失调。液化天然气与皮肤接触会造成灼伤。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急救方法</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应使吸入天然气的患者脱离污染区，安置休息并保暖；当呼吸时失调时进行输氧，如呼吸停止，应先清洗口腔和呼吸道的粘液及呕吐物，然后立即进行口对口人工呼吸，并送医院急救；液体与批复接触时用水冲洗，如产生冻疮，就医诊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燃烧爆炸危险性</w:t>
                  </w: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燃烧性</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易燃</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引燃温度（℃）</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482-632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爆炸上限（V%）</w:t>
                  </w:r>
                </w:p>
              </w:tc>
              <w:tc>
                <w:tcPr>
                  <w:tcW w:w="12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14（室温时）；</w:t>
                  </w:r>
                </w:p>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13（-162℃）</w:t>
                  </w:r>
                </w:p>
              </w:tc>
              <w:tc>
                <w:tcPr>
                  <w:tcW w:w="102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爆炸下限（V%）</w:t>
                  </w:r>
                </w:p>
              </w:tc>
              <w:tc>
                <w:tcPr>
                  <w:tcW w:w="13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5（室温时）；</w:t>
                  </w:r>
                </w:p>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6（-162℃）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危险特性</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极易燃；蒸气能与空气形成爆炸性混合物；当液化天然气由液体蒸发为冷的气体时，其密度与常温下的天然气不同，约比空气重1.5倍，其气体不会立即上升，而是沿着液面或地面扩散，吸收水与地面的热量以及大气与太阳的辐射热，形成白色云团。由雾可察觉冷气的扩散情况，但在可见雾的范围之外，仍有易燃混合物存在。如易燃混合物扩散到火源，就会立即闪回燃着。当冷气温热至-112℃左右，就变得比空气轻开始向上升。液化天然气遇水生产白色冰块，冰块只在低温下保存，温度升高即迅速蒸发，如急剧扰动能猛烈爆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储运条件</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液化天然气应在大气压下稍高于沸点温度（-160℃）下用绝缘槽车或槽式驳船运输；用大型保温气柜在接近大气压并在相应的低温（-160~-164℃）下储存，远离火种、热源，并备有防泄漏的专门仪器；钢瓶应储存在阴凉、通风良好的专用库房内，与五氟化溴、氯气、二氧化氯、三氟化氮、液氧、二氟化氧、氧化剂隔离储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泄漏处理</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切断火源，勿使其燃烧，同时关闭阀门等，制止渗漏；并用雾状水保护阀门人员；操作时必须穿戴防毒面具与手套。对残余废气或钢瓶泄漏出气要用排风机排至空旷地方。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9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灭火方法</w:t>
                  </w:r>
                </w:p>
              </w:tc>
              <w:tc>
                <w:tcPr>
                  <w:tcW w:w="35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用泡沫、雾状水、二氧化碳、干粉。</w:t>
                  </w:r>
                </w:p>
              </w:tc>
            </w:tr>
          </w:tbl>
          <w:p>
            <w:pPr>
              <w:keepNext w:val="0"/>
              <w:keepLines w:val="0"/>
              <w:pageBreakBefore w:val="0"/>
              <w:widowControl w:val="0"/>
              <w:kinsoku/>
              <w:wordWrap/>
              <w:overflowPunct/>
              <w:topLinePunct w:val="0"/>
              <w:autoSpaceDE w:val="0"/>
              <w:autoSpaceDN w:val="0"/>
              <w:bidi w:val="0"/>
              <w:adjustRightInd w:val="0"/>
              <w:snapToGrid w:val="0"/>
              <w:spacing w:before="157" w:beforeLines="50"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6、</w:t>
            </w:r>
            <w:r>
              <w:rPr>
                <w:rFonts w:hint="eastAsia" w:ascii="Times New Roman" w:hAnsi="Times New Roman" w:cs="宋体"/>
                <w:b/>
                <w:bCs/>
                <w:color w:val="000000" w:themeColor="text1"/>
                <w:kern w:val="0"/>
                <w:sz w:val="24"/>
                <w:szCs w:val="24"/>
                <w:lang w:val="en-US" w:eastAsia="zh-CN"/>
                <w14:textFill>
                  <w14:solidFill>
                    <w14:schemeClr w14:val="tx1"/>
                  </w14:solidFill>
                </w14:textFill>
              </w:rPr>
              <w:t>劳动定员及工作制度</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default"/>
                <w:color w:val="000000" w:themeColor="text1"/>
                <w:sz w:val="24"/>
                <w:lang w:val="en-US" w:eastAsia="zh-CN"/>
                <w14:textFill>
                  <w14:solidFill>
                    <w14:schemeClr w14:val="tx1"/>
                  </w14:solidFill>
                </w14:textFill>
              </w:rPr>
            </w:pPr>
            <w:r>
              <w:rPr>
                <w:rFonts w:hint="eastAsia" w:ascii="Times New Roman" w:hAnsi="Times New Roman" w:cs="宋体"/>
                <w:color w:val="000000" w:themeColor="text1"/>
                <w:kern w:val="0"/>
                <w:sz w:val="24"/>
                <w:szCs w:val="24"/>
                <w:lang w:val="en-US" w:eastAsia="zh-CN"/>
                <w14:textFill>
                  <w14:solidFill>
                    <w14:schemeClr w14:val="tx1"/>
                  </w14:solidFill>
                </w14:textFill>
              </w:rPr>
              <w:t>本项目劳动定员</w:t>
            </w:r>
            <w:r>
              <w:rPr>
                <w:rFonts w:hint="eastAsia" w:cs="宋体"/>
                <w:color w:val="000000" w:themeColor="text1"/>
                <w:kern w:val="0"/>
                <w:sz w:val="24"/>
                <w:szCs w:val="24"/>
                <w:lang w:val="en-US" w:eastAsia="zh-CN"/>
                <w14:textFill>
                  <w14:solidFill>
                    <w14:schemeClr w14:val="tx1"/>
                  </w14:solidFill>
                </w14:textFill>
              </w:rPr>
              <w:t>30</w:t>
            </w:r>
            <w:r>
              <w:rPr>
                <w:rFonts w:hint="eastAsia" w:ascii="Times New Roman" w:hAnsi="Times New Roman" w:cs="宋体"/>
                <w:color w:val="000000" w:themeColor="text1"/>
                <w:kern w:val="0"/>
                <w:sz w:val="24"/>
                <w:szCs w:val="24"/>
                <w:lang w:val="en-US" w:eastAsia="zh-CN"/>
                <w14:textFill>
                  <w14:solidFill>
                    <w14:schemeClr w14:val="tx1"/>
                  </w14:solidFill>
                </w14:textFill>
              </w:rPr>
              <w:t>人</w:t>
            </w:r>
            <w:r>
              <w:rPr>
                <w:rFonts w:hint="eastAsia" w:cs="宋体"/>
                <w:color w:val="000000" w:themeColor="text1"/>
                <w:kern w:val="0"/>
                <w:sz w:val="24"/>
                <w:szCs w:val="24"/>
                <w:lang w:val="en-US" w:eastAsia="zh-CN"/>
                <w14:textFill>
                  <w14:solidFill>
                    <w14:schemeClr w14:val="tx1"/>
                  </w14:solidFill>
                </w14:textFill>
              </w:rPr>
              <w:t>，</w:t>
            </w:r>
            <w:r>
              <w:rPr>
                <w:rFonts w:ascii="Times New Roman" w:hAnsi="Times New Roman"/>
                <w:color w:val="000000" w:themeColor="text1"/>
                <w:sz w:val="24"/>
                <w14:textFill>
                  <w14:solidFill>
                    <w14:schemeClr w14:val="tx1"/>
                  </w14:solidFill>
                </w14:textFill>
              </w:rPr>
              <w:t>年生产天数</w:t>
            </w:r>
            <w:r>
              <w:rPr>
                <w:rFonts w:hint="eastAsia" w:cs="Times New Roman"/>
                <w:color w:val="000000" w:themeColor="text1"/>
                <w:sz w:val="24"/>
                <w:lang w:val="en-US" w:eastAsia="zh-CN"/>
                <w14:textFill>
                  <w14:solidFill>
                    <w14:schemeClr w14:val="tx1"/>
                  </w14:solidFill>
                </w14:textFill>
              </w:rPr>
              <w:t>3</w:t>
            </w:r>
            <w:r>
              <w:rPr>
                <w:rFonts w:hint="eastAsia" w:ascii="Times New Roman" w:hAnsi="Times New Roman" w:cs="Times New Roman"/>
                <w:color w:val="000000" w:themeColor="text1"/>
                <w:sz w:val="24"/>
                <w:lang w:val="en-US" w:eastAsia="zh-CN"/>
                <w14:textFill>
                  <w14:solidFill>
                    <w14:schemeClr w14:val="tx1"/>
                  </w14:solidFill>
                </w14:textFill>
              </w:rPr>
              <w:t>00</w:t>
            </w:r>
            <w:r>
              <w:rPr>
                <w:rFonts w:ascii="Times New Roman" w:hAnsi="Times New Roman"/>
                <w:color w:val="000000" w:themeColor="text1"/>
                <w:sz w:val="24"/>
                <w14:textFill>
                  <w14:solidFill>
                    <w14:schemeClr w14:val="tx1"/>
                  </w14:solidFill>
                </w14:textFill>
              </w:rPr>
              <w:t>天</w:t>
            </w:r>
            <w:r>
              <w:rPr>
                <w:rFonts w:hint="eastAsia"/>
                <w:color w:val="000000" w:themeColor="text1"/>
                <w:sz w:val="24"/>
                <w:lang w:eastAsia="zh-CN"/>
                <w14:textFill>
                  <w14:solidFill>
                    <w14:schemeClr w14:val="tx1"/>
                  </w14:solidFill>
                </w14:textFill>
              </w:rPr>
              <w:t>，两班制，每天工作</w:t>
            </w:r>
            <w:r>
              <w:rPr>
                <w:rFonts w:hint="eastAsia"/>
                <w:color w:val="000000" w:themeColor="text1"/>
                <w:sz w:val="24"/>
                <w:lang w:val="en-US" w:eastAsia="zh-CN"/>
                <w14:textFill>
                  <w14:solidFill>
                    <w14:schemeClr w14:val="tx1"/>
                  </w14:solidFill>
                </w14:textFill>
              </w:rPr>
              <w:t>18</w:t>
            </w:r>
            <w:r>
              <w:rPr>
                <w:rFonts w:hint="eastAsia"/>
                <w:color w:val="000000" w:themeColor="text1"/>
                <w:sz w:val="24"/>
                <w:lang w:eastAsia="zh-CN"/>
                <w14:textFill>
                  <w14:solidFill>
                    <w14:schemeClr w14:val="tx1"/>
                  </w14:solidFill>
                </w14:textFill>
              </w:rPr>
              <w:t>小时，均不在厂区食宿，</w:t>
            </w:r>
            <w:r>
              <w:rPr>
                <w:rFonts w:hint="eastAsia"/>
                <w:color w:val="000000" w:themeColor="text1"/>
                <w:sz w:val="24"/>
                <w:lang w:val="en-US" w:eastAsia="zh-CN"/>
                <w14:textFill>
                  <w14:solidFill>
                    <w14:schemeClr w14:val="tx1"/>
                  </w14:solidFill>
                </w14:textFill>
              </w:rPr>
              <w:t>根据生产工艺需求，锅炉每天工作12小时。</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cs="宋体"/>
                <w:b/>
                <w:bCs/>
                <w:color w:val="000000" w:themeColor="text1"/>
                <w:kern w:val="0"/>
                <w:sz w:val="24"/>
                <w:szCs w:val="24"/>
                <w:lang w:val="en-US" w:eastAsia="zh-CN"/>
                <w14:textFill>
                  <w14:solidFill>
                    <w14:schemeClr w14:val="tx1"/>
                  </w14:solidFill>
                </w14:textFill>
              </w:rPr>
              <w:t>7、</w:t>
            </w:r>
            <w:r>
              <w:rPr>
                <w:rFonts w:hint="eastAsia" w:ascii="Times New Roman" w:hAnsi="Times New Roman" w:cs="宋体"/>
                <w:b/>
                <w:bCs/>
                <w:color w:val="000000" w:themeColor="text1"/>
                <w:kern w:val="0"/>
                <w:sz w:val="24"/>
                <w:szCs w:val="24"/>
                <w:lang w:val="en-US" w:eastAsia="zh-CN"/>
                <w14:textFill>
                  <w14:solidFill>
                    <w14:schemeClr w14:val="tx1"/>
                  </w14:solidFill>
                </w14:textFill>
              </w:rPr>
              <w:t>公用工程</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Cs/>
                <w:color w:val="000000" w:themeColor="text1"/>
                <w:sz w:val="24"/>
                <w:szCs w:val="24"/>
                <w:highlight w:val="none"/>
                <w:lang w:val="en-US" w:eastAsia="zh-CN"/>
                <w14:textFill>
                  <w14:solidFill>
                    <w14:schemeClr w14:val="tx1"/>
                  </w14:solidFill>
                </w14:textFill>
              </w:rPr>
            </w:pPr>
            <w:r>
              <w:rPr>
                <w:rFonts w:hint="eastAsia" w:ascii="Times New Roman" w:hAnsi="Times New Roman" w:cs="Times New Roman"/>
                <w:bCs/>
                <w:color w:val="000000" w:themeColor="text1"/>
                <w:sz w:val="24"/>
                <w:szCs w:val="24"/>
                <w:highlight w:val="none"/>
                <w:lang w:val="en-US" w:eastAsia="zh-CN"/>
                <w14:textFill>
                  <w14:solidFill>
                    <w14:schemeClr w14:val="tx1"/>
                  </w14:solidFill>
                </w14:textFill>
              </w:rPr>
              <w:t>（1）供电</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default" w:ascii="Times New Roman" w:hAnsi="Times New Roman" w:cs="Times New Roman"/>
                <w:bCs/>
                <w:color w:val="000000" w:themeColor="text1"/>
                <w:sz w:val="24"/>
                <w:szCs w:val="24"/>
                <w:highlight w:val="none"/>
                <w:lang w:val="en-US" w:eastAsia="zh-CN"/>
                <w14:textFill>
                  <w14:solidFill>
                    <w14:schemeClr w14:val="tx1"/>
                  </w14:solidFill>
                </w14:textFill>
              </w:rPr>
            </w:pPr>
            <w:r>
              <w:rPr>
                <w:rFonts w:hint="eastAsia" w:ascii="Times New Roman" w:hAnsi="Times New Roman" w:cs="Times New Roman"/>
                <w:bCs/>
                <w:color w:val="000000" w:themeColor="text1"/>
                <w:sz w:val="24"/>
                <w:szCs w:val="24"/>
                <w:highlight w:val="none"/>
                <w:lang w:val="en-US" w:eastAsia="zh-CN"/>
                <w14:textFill>
                  <w14:solidFill>
                    <w14:schemeClr w14:val="tx1"/>
                  </w14:solidFill>
                </w14:textFill>
              </w:rPr>
              <w:t>本项目用电由当地供电所供给，用电量为10万kw·h/a，能够满足本项目用电需求。</w:t>
            </w:r>
          </w:p>
          <w:p>
            <w:pPr>
              <w:keepNext w:val="0"/>
              <w:keepLines w:val="0"/>
              <w:pageBreakBefore w:val="0"/>
              <w:widowControl/>
              <w:kinsoku/>
              <w:wordWrap/>
              <w:overflowPunct/>
              <w:topLinePunct w:val="0"/>
              <w:autoSpaceDE/>
              <w:autoSpaceDN/>
              <w:bidi w:val="0"/>
              <w:adjustRightInd w:val="0"/>
              <w:snapToGrid w:val="0"/>
              <w:spacing w:line="360" w:lineRule="auto"/>
              <w:ind w:leftChars="0" w:firstLine="480" w:firstLineChars="200"/>
              <w:textAlignment w:val="auto"/>
              <w:rPr>
                <w:rFonts w:hint="default" w:ascii="Times New Roman" w:hAnsi="Times New Roman" w:eastAsia="宋体" w:cs="Times New Roman"/>
                <w:color w:val="000000" w:themeColor="text1"/>
                <w:kern w:val="0"/>
                <w:sz w:val="24"/>
                <w:szCs w:val="24"/>
                <w14:textFill>
                  <w14:solidFill>
                    <w14:schemeClr w14:val="tx1"/>
                  </w14:solidFill>
                </w14:textFill>
              </w:rPr>
            </w:pPr>
            <w:r>
              <w:rPr>
                <w:rFonts w:hint="default" w:ascii="Times New Roman" w:hAnsi="Times New Roman" w:eastAsia="宋体" w:cs="Times New Roman"/>
                <w:color w:val="000000" w:themeColor="text1"/>
                <w:kern w:val="0"/>
                <w:sz w:val="24"/>
                <w:szCs w:val="24"/>
                <w14:textFill>
                  <w14:solidFill>
                    <w14:schemeClr w14:val="tx1"/>
                  </w14:solidFill>
                </w14:textFill>
              </w:rPr>
              <w:t>（</w:t>
            </w:r>
            <w:r>
              <w:rPr>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t>2</w:t>
            </w:r>
            <w:r>
              <w:rPr>
                <w:rFonts w:hint="default" w:ascii="Times New Roman" w:hAnsi="Times New Roman" w:eastAsia="宋体" w:cs="Times New Roman"/>
                <w:color w:val="000000" w:themeColor="text1"/>
                <w:kern w:val="0"/>
                <w:sz w:val="24"/>
                <w:szCs w:val="24"/>
                <w14:textFill>
                  <w14:solidFill>
                    <w14:schemeClr w14:val="tx1"/>
                  </w14:solidFill>
                </w14:textFill>
              </w:rPr>
              <w:t>）</w:t>
            </w:r>
            <w:r>
              <w:rPr>
                <w:rFonts w:hint="eastAsia" w:ascii="Times New Roman" w:hAnsi="Times New Roman" w:eastAsia="宋体" w:cs="Times New Roman"/>
                <w:color w:val="000000" w:themeColor="text1"/>
                <w:kern w:val="0"/>
                <w:sz w:val="24"/>
                <w:szCs w:val="24"/>
                <w:lang w:val="en-US" w:eastAsia="zh-CN"/>
                <w14:textFill>
                  <w14:solidFill>
                    <w14:schemeClr w14:val="tx1"/>
                  </w14:solidFill>
                </w14:textFill>
              </w:rPr>
              <w:t>供暖、制冷</w:t>
            </w:r>
            <w:r>
              <w:rPr>
                <w:rFonts w:hint="default" w:ascii="Times New Roman" w:hAnsi="Times New Roman" w:eastAsia="宋体" w:cs="Times New Roman"/>
                <w:color w:val="000000" w:themeColor="text1"/>
                <w:kern w:val="0"/>
                <w:sz w:val="24"/>
                <w:szCs w:val="24"/>
                <w14:textFill>
                  <w14:solidFill>
                    <w14:schemeClr w14:val="tx1"/>
                  </w14:solidFill>
                </w14:textFill>
              </w:rPr>
              <w:t>等</w:t>
            </w:r>
          </w:p>
          <w:p>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生产工序提取工序等使用天然气锅炉提供蒸汽加热，喷雾喷淋塔使用电加热导热油炉加热。办公区</w:t>
            </w:r>
            <w:r>
              <w:rPr>
                <w:rFonts w:hint="eastAsia"/>
                <w:color w:val="000000" w:themeColor="text1"/>
                <w:sz w:val="24"/>
                <w14:textFill>
                  <w14:solidFill>
                    <w14:schemeClr w14:val="tx1"/>
                  </w14:solidFill>
                </w14:textFill>
              </w:rPr>
              <w:t>无集中供热和制冷设施，</w:t>
            </w:r>
            <w:r>
              <w:rPr>
                <w:rFonts w:hint="eastAsia"/>
                <w:color w:val="000000" w:themeColor="text1"/>
                <w:sz w:val="24"/>
                <w:lang w:val="en-US" w:eastAsia="zh-CN"/>
                <w14:textFill>
                  <w14:solidFill>
                    <w14:schemeClr w14:val="tx1"/>
                  </w14:solidFill>
                </w14:textFill>
              </w:rPr>
              <w:t>单体</w:t>
            </w:r>
            <w:r>
              <w:rPr>
                <w:rFonts w:hint="eastAsia"/>
                <w:color w:val="000000" w:themeColor="text1"/>
                <w:sz w:val="24"/>
                <w14:textFill>
                  <w14:solidFill>
                    <w14:schemeClr w14:val="tx1"/>
                  </w14:solidFill>
                </w14:textFill>
              </w:rPr>
              <w:t>空调供热和制冷</w:t>
            </w:r>
            <w:r>
              <w:rPr>
                <w:color w:val="000000" w:themeColor="text1"/>
                <w:sz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default" w:ascii="Times New Roman" w:hAnsi="Times New Roman" w:cs="Times New Roman"/>
                <w:b w:val="0"/>
                <w:bCs/>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（3）供水</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项目用水主要为蒸汽锅炉用水、设备清洗</w:t>
            </w:r>
            <w:r>
              <w:rPr>
                <w:rFonts w:hint="eastAsia" w:cs="Times New Roman"/>
                <w:b w:val="0"/>
                <w:bCs/>
                <w:color w:val="000000" w:themeColor="text1"/>
                <w:sz w:val="24"/>
                <w:szCs w:val="24"/>
                <w:highlight w:val="none"/>
                <w:u w:val="none"/>
                <w:lang w:val="en-US" w:eastAsia="zh-CN"/>
                <w14:textFill>
                  <w14:solidFill>
                    <w14:schemeClr w14:val="tx1"/>
                  </w14:solidFill>
                </w14:textFill>
              </w:rPr>
              <w:t>用水</w:t>
            </w: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和员工生活</w:t>
            </w:r>
            <w:r>
              <w:rPr>
                <w:rFonts w:hint="eastAsia" w:cs="Times New Roman"/>
                <w:b w:val="0"/>
                <w:bCs/>
                <w:color w:val="000000" w:themeColor="text1"/>
                <w:sz w:val="24"/>
                <w:szCs w:val="24"/>
                <w:highlight w:val="none"/>
                <w:u w:val="none"/>
                <w:lang w:val="en-US" w:eastAsia="zh-CN"/>
                <w14:textFill>
                  <w14:solidFill>
                    <w14:schemeClr w14:val="tx1"/>
                  </w14:solidFill>
                </w14:textFill>
              </w:rPr>
              <w:t>用水</w:t>
            </w: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，依托河南吉尔木食品有限公司厂区现有自备水井，用水量为</w:t>
            </w:r>
            <w:r>
              <w:rPr>
                <w:rFonts w:hint="eastAsia" w:cs="Times New Roman"/>
                <w:b w:val="0"/>
                <w:bCs/>
                <w:color w:val="000000" w:themeColor="text1"/>
                <w:sz w:val="24"/>
                <w:szCs w:val="24"/>
                <w:highlight w:val="none"/>
                <w:u w:val="none"/>
                <w:lang w:val="en-US" w:eastAsia="zh-CN"/>
                <w14:textFill>
                  <w14:solidFill>
                    <w14:schemeClr w14:val="tx1"/>
                  </w14:solidFill>
                </w14:textFill>
              </w:rPr>
              <w:t>3803.28</w:t>
            </w: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m</w:t>
            </w:r>
            <w:r>
              <w:rPr>
                <w:rFonts w:hint="eastAsia" w:ascii="Times New Roman" w:hAnsi="Times New Roman" w:cs="Times New Roman"/>
                <w:b w:val="0"/>
                <w:bCs/>
                <w:color w:val="000000" w:themeColor="text1"/>
                <w:sz w:val="24"/>
                <w:szCs w:val="24"/>
                <w:highlight w:val="none"/>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sz w:val="24"/>
                <w:szCs w:val="24"/>
                <w:highlight w:val="none"/>
                <w:u w:val="none"/>
                <w:lang w:val="en-US" w:eastAsia="zh-CN"/>
                <w14:textFill>
                  <w14:solidFill>
                    <w14:schemeClr w14:val="tx1"/>
                  </w14:solidFill>
                </w14:textFill>
              </w:rPr>
              <w:t>/a。</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default" w:ascii="Times New Roman" w:hAnsi="Times New Roman" w:cs="Times New Roman"/>
                <w:b/>
                <w:bCs w:val="0"/>
                <w:color w:val="000000" w:themeColor="text1"/>
                <w:sz w:val="24"/>
                <w:szCs w:val="24"/>
                <w:highlight w:val="none"/>
                <w:u w:val="single"/>
                <w:lang w:val="en-US" w:eastAsia="zh-CN"/>
                <w14:textFill>
                  <w14:solidFill>
                    <w14:schemeClr w14:val="tx1"/>
                  </w14:solidFill>
                </w14:textFill>
              </w:rPr>
            </w:pP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现有吉尔木食品有限公司用水量为2003.1m</w:t>
            </w:r>
            <w:r>
              <w:rPr>
                <w:rFonts w:hint="eastAsia" w:ascii="Times New Roman" w:hAnsi="Times New Roman" w:cs="Times New Roman"/>
                <w:b w:val="0"/>
                <w:bCs/>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/a，本项目用水量为</w:t>
            </w:r>
            <w:r>
              <w:rPr>
                <w:rFonts w:hint="eastAsia" w:cs="Times New Roman"/>
                <w:b w:val="0"/>
                <w:bCs/>
                <w:color w:val="000000" w:themeColor="text1"/>
                <w:kern w:val="0"/>
                <w:sz w:val="24"/>
                <w:szCs w:val="24"/>
                <w:u w:val="none"/>
                <w:lang w:val="en-US" w:eastAsia="zh-CN"/>
                <w14:textFill>
                  <w14:solidFill>
                    <w14:schemeClr w14:val="tx1"/>
                  </w14:solidFill>
                </w14:textFill>
              </w:rPr>
              <w:t>3803.28</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m</w:t>
            </w:r>
            <w:r>
              <w:rPr>
                <w:rFonts w:hint="eastAsia" w:ascii="Times New Roman" w:hAnsi="Times New Roman" w:cs="Times New Roman"/>
                <w:b w:val="0"/>
                <w:bCs/>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/a，合计用水量为</w:t>
            </w:r>
            <w:r>
              <w:rPr>
                <w:rFonts w:hint="eastAsia" w:cs="Times New Roman"/>
                <w:b w:val="0"/>
                <w:bCs/>
                <w:color w:val="000000" w:themeColor="text1"/>
                <w:kern w:val="0"/>
                <w:sz w:val="24"/>
                <w:szCs w:val="24"/>
                <w:u w:val="none"/>
                <w:lang w:val="en-US" w:eastAsia="zh-CN"/>
                <w14:textFill>
                  <w14:solidFill>
                    <w14:schemeClr w14:val="tx1"/>
                  </w14:solidFill>
                </w14:textFill>
              </w:rPr>
              <w:t>5806.38</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m</w:t>
            </w:r>
            <w:r>
              <w:rPr>
                <w:rFonts w:hint="eastAsia" w:ascii="Times New Roman" w:hAnsi="Times New Roman" w:cs="Times New Roman"/>
                <w:b w:val="0"/>
                <w:bCs/>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/a，根据企业提供资料，自备井涌水量为0.8m</w:t>
            </w:r>
            <w:r>
              <w:rPr>
                <w:rFonts w:hint="eastAsia" w:ascii="Times New Roman" w:hAnsi="Times New Roman" w:cs="Times New Roman"/>
                <w:b w:val="0"/>
                <w:bCs/>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/h（7008m</w:t>
            </w:r>
            <w:r>
              <w:rPr>
                <w:rFonts w:hint="eastAsia" w:ascii="Times New Roman" w:hAnsi="Times New Roman" w:cs="Times New Roman"/>
                <w:b w:val="0"/>
                <w:bCs/>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cs="Times New Roman"/>
                <w:b w:val="0"/>
                <w:bCs/>
                <w:color w:val="000000" w:themeColor="text1"/>
                <w:kern w:val="0"/>
                <w:sz w:val="24"/>
                <w:szCs w:val="24"/>
                <w:u w:val="none"/>
                <w:lang w:val="en-US" w:eastAsia="zh-CN"/>
                <w14:textFill>
                  <w14:solidFill>
                    <w14:schemeClr w14:val="tx1"/>
                  </w14:solidFill>
                </w14:textFill>
              </w:rPr>
              <w:t>/a），能够满足本项目用水需求，依托河南吉尔木食品有限公司自备水井可行。</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val="en-US" w:eastAsia="zh-CN"/>
                <w14:textFill>
                  <w14:solidFill>
                    <w14:schemeClr w14:val="tx1"/>
                  </w14:solidFill>
                </w14:textFill>
              </w:rPr>
            </w:pPr>
            <w:r>
              <w:rPr>
                <w:rFonts w:hint="eastAsia" w:cs="Times New Roman"/>
                <w:bCs/>
                <w:color w:val="000000" w:themeColor="text1"/>
                <w:sz w:val="24"/>
                <w:szCs w:val="24"/>
                <w:lang w:val="en-US" w:eastAsia="zh-CN"/>
                <w14:textFill>
                  <w14:solidFill>
                    <w14:schemeClr w14:val="tx1"/>
                  </w14:solidFill>
                </w14:textFill>
              </w:rPr>
              <w:t>（4）</w:t>
            </w:r>
            <w:r>
              <w:rPr>
                <w:rFonts w:hint="eastAsia" w:cs="Times New Roman"/>
                <w:b w:val="0"/>
                <w:bCs/>
                <w:color w:val="000000" w:themeColor="text1"/>
                <w:sz w:val="24"/>
                <w:szCs w:val="24"/>
                <w:highlight w:val="none"/>
                <w:u w:val="none"/>
                <w:lang w:val="en-US" w:eastAsia="zh-CN"/>
                <w14:textFill>
                  <w14:solidFill>
                    <w14:schemeClr w14:val="tx1"/>
                  </w14:solidFill>
                </w14:textFill>
              </w:rPr>
              <w:t>排水</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t>①浸泡、蒸煮、浓缩过程</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用水</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t>根据企业提供资料，本项目在多功能提取设备同时生产过程中单台设备用水量为</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1.2</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t/h，合计4.8t/h，本项目每天工作12h，年工作300天，则蒸煮过程中循环用水量为17280m</w:t>
            </w:r>
            <w:r>
              <w:rPr>
                <w:rFonts w:hint="default" w:ascii="Times New Roman" w:hAnsi="Times New Roman" w:eastAsia="宋体" w:cs="Times New Roman"/>
                <w:b/>
                <w:bCs w:val="0"/>
                <w:color w:val="000000" w:themeColor="text1"/>
                <w:sz w:val="24"/>
                <w:szCs w:val="24"/>
                <w:highlight w:val="none"/>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/a，均作为提取液暂存于储液罐内，浓缩后蒸发出来的水主要为蒸馏水，经冷凝后于系统中循环使用，日循环水量为57.6m</w:t>
            </w:r>
            <w:r>
              <w:rPr>
                <w:rFonts w:hint="default" w:ascii="Times New Roman" w:hAnsi="Times New Roman" w:eastAsia="宋体" w:cs="Times New Roman"/>
                <w:b/>
                <w:bCs w:val="0"/>
                <w:color w:val="000000" w:themeColor="text1"/>
                <w:sz w:val="24"/>
                <w:szCs w:val="24"/>
                <w:highlight w:val="none"/>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。本项目蒸发量约占用水量的10%，则蒸发量为1728m</w:t>
            </w:r>
            <w:r>
              <w:rPr>
                <w:rFonts w:hint="default" w:ascii="Times New Roman" w:hAnsi="Times New Roman" w:eastAsia="宋体" w:cs="Times New Roman"/>
                <w:b/>
                <w:bCs w:val="0"/>
                <w:color w:val="000000" w:themeColor="text1"/>
                <w:sz w:val="24"/>
                <w:szCs w:val="24"/>
                <w:highlight w:val="none"/>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/a。项目平均约7天向污水处理站排入一次，废水排放量为每日循环水量的10%，即排入量约为5.76m</w:t>
            </w:r>
            <w:r>
              <w:rPr>
                <w:rFonts w:hint="default" w:ascii="Times New Roman" w:hAnsi="Times New Roman" w:eastAsia="宋体" w:cs="Times New Roman"/>
                <w:b/>
                <w:bCs w:val="0"/>
                <w:color w:val="000000" w:themeColor="text1"/>
                <w:sz w:val="24"/>
                <w:szCs w:val="24"/>
                <w:highlight w:val="none"/>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highlight w:val="none"/>
                <w:u w:val="single"/>
                <w:vertAlign w:val="baseline"/>
                <w:lang w:val="en-US" w:eastAsia="zh-CN"/>
                <w14:textFill>
                  <w14:solidFill>
                    <w14:schemeClr w14:val="tx1"/>
                  </w14:solidFill>
                </w14:textFill>
              </w:rPr>
              <w:t>/次（247.68</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m</w:t>
            </w:r>
            <w:r>
              <w:rPr>
                <w:rFonts w:hint="default" w:ascii="Times New Roman" w:hAnsi="Times New Roman" w:eastAsia="宋体" w:cs="Times New Roman"/>
                <w:b/>
                <w:bCs w:val="0"/>
                <w:color w:val="000000" w:themeColor="text1"/>
                <w:sz w:val="24"/>
                <w:szCs w:val="24"/>
                <w:highlight w:val="none"/>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/a</w:t>
            </w:r>
            <w:r>
              <w:rPr>
                <w:rFonts w:hint="default" w:ascii="Times New Roman" w:hAnsi="Times New Roman" w:eastAsia="宋体" w:cs="Times New Roman"/>
                <w:b/>
                <w:bCs w:val="0"/>
                <w:color w:val="000000" w:themeColor="text1"/>
                <w:sz w:val="24"/>
                <w:szCs w:val="24"/>
                <w:highlight w:val="none"/>
                <w:u w:val="single"/>
                <w:vertAlign w:val="baseline"/>
                <w:lang w:val="en-US" w:eastAsia="zh-CN"/>
                <w14:textFill>
                  <w14:solidFill>
                    <w14:schemeClr w14:val="tx1"/>
                  </w14:solidFill>
                </w14:textFill>
              </w:rPr>
              <w:t>）</w:t>
            </w:r>
            <w:r>
              <w:rPr>
                <w:rFonts w:hint="default" w:ascii="Times New Roman" w:hAnsi="Times New Roman" w:eastAsia="宋体" w:cs="Times New Roman"/>
                <w:b/>
                <w:bCs w:val="0"/>
                <w:color w:val="000000" w:themeColor="text1"/>
                <w:sz w:val="24"/>
                <w:szCs w:val="24"/>
                <w:highlight w:val="none"/>
                <w:u w:val="single"/>
                <w:lang w:val="en-US" w:eastAsia="zh-CN"/>
                <w14:textFill>
                  <w14:solidFill>
                    <w14:schemeClr w14:val="tx1"/>
                  </w14:solidFill>
                </w14:textFill>
              </w:rPr>
              <w:t>，定期排入污水处理站处理后，用于厂区洒水抑尘或绿化，不外排。</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t>②设备清洗用水</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eastAsia="zh-CN"/>
                <w14:textFill>
                  <w14:solidFill>
                    <w14:schemeClr w14:val="tx1"/>
                  </w14:solidFill>
                </w14:textFill>
              </w:rPr>
              <w:t>项目生产设备作业完成后需定期进行清洗，</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类比同类项目，单台设备单次清洗水用量为0.05m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，需清洗设备台数为44台，则清洗水用量为</w:t>
            </w:r>
            <w:bookmarkStart w:id="1" w:name="OLE_LINK1"/>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2.2m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w:t>
            </w:r>
            <w:bookmarkEnd w:id="1"/>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d，根据企业提供资料，项目平均每2天清洗一次，则清洗水用量为1320m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/a，损失量约占用水量的20%，则清洗废水量为1056m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/a。</w:t>
            </w:r>
          </w:p>
          <w:p>
            <w:pPr>
              <w:ind w:firstLine="482"/>
              <w:rPr>
                <w:rFonts w:hint="default" w:ascii="Times New Roman" w:hAnsi="Times New Roman" w:eastAsia="宋体" w:cs="Times New Roman"/>
                <w:b/>
                <w:color w:val="000000" w:themeColor="text1"/>
                <w:sz w:val="24"/>
                <w:szCs w:val="24"/>
                <w:u w:val="single"/>
                <w14:textFill>
                  <w14:solidFill>
                    <w14:schemeClr w14:val="tx1"/>
                  </w14:solidFill>
                </w14:textFill>
              </w:rPr>
            </w:pPr>
            <w:r>
              <w:rPr>
                <w:rFonts w:hint="default" w:ascii="Times New Roman" w:hAnsi="Times New Roman" w:eastAsia="宋体" w:cs="Times New Roman"/>
                <w:bCs/>
                <w:color w:val="000000" w:themeColor="text1"/>
                <w:sz w:val="24"/>
                <w:szCs w:val="24"/>
                <w:lang w:eastAsia="zh-CN"/>
                <w14:textFill>
                  <w14:solidFill>
                    <w14:schemeClr w14:val="tx1"/>
                  </w14:solidFill>
                </w14:textFill>
              </w:rPr>
              <w:t>③</w:t>
            </w:r>
            <w:r>
              <w:rPr>
                <w:rFonts w:hint="default" w:ascii="Times New Roman" w:hAnsi="Times New Roman" w:eastAsia="宋体" w:cs="Times New Roman"/>
                <w:b/>
                <w:color w:val="000000" w:themeColor="text1"/>
                <w:sz w:val="24"/>
                <w:szCs w:val="24"/>
                <w:u w:val="single"/>
                <w14:textFill>
                  <w14:solidFill>
                    <w14:schemeClr w14:val="tx1"/>
                  </w14:solidFill>
                </w14:textFill>
              </w:rPr>
              <w:t>锅炉软水制备排污水</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本项目采用1台2t/h低氮燃气锅炉，补充水全部为软水，锅炉平均软水补水量为5.92m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/d，锅炉全年运营时间为300d，则本项目锅炉补充软水量为710.4m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/a。</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both"/>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锅炉配套软水制备系统反冲洗用水：本项目软水制备采用离子交换树脂工艺，软水制备系统平均每制备24t软水需反冲洗一次，全年反冲洗次数约为300次，每次反冲洗用水量约为6m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，则反冲洗用水量为192m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/a（1.6m</w:t>
            </w:r>
            <w:r>
              <w:rPr>
                <w:rFonts w:hint="default"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t>/d）。</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default" w:ascii="Times New Roman" w:hAnsi="Times New Roman" w:eastAsia="宋体" w:cs="Times New Roman"/>
                <w:bCs/>
                <w:color w:val="000000" w:themeColor="text1"/>
                <w:sz w:val="24"/>
                <w:szCs w:val="24"/>
                <w:lang w:eastAsia="zh-CN"/>
                <w14:textFill>
                  <w14:solidFill>
                    <w14:schemeClr w14:val="tx1"/>
                  </w14:solidFill>
                </w14:textFill>
              </w:rPr>
              <w:t>④生活污水</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default" w:ascii="Times New Roman" w:hAnsi="Times New Roman" w:eastAsia="宋体" w:cs="Times New Roman"/>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lang w:eastAsia="zh-CN"/>
                <w14:textFill>
                  <w14:solidFill>
                    <w14:schemeClr w14:val="tx1"/>
                  </w14:solidFill>
                </w14:textFill>
              </w:rPr>
              <w:t>本项目职工为</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30人，《河南省地方标准-工业与城镇生活用水定额》（DB41/T385-2020）中相关数据，用水定额按100L/（人·d）计，则职工生活用水量为3m</w:t>
            </w:r>
            <w:r>
              <w:rPr>
                <w:rFonts w:hint="default" w:ascii="Times New Roman" w:hAnsi="Times New Roman" w:eastAsia="宋体" w:cs="Times New Roman"/>
                <w:bCs/>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/d（900m</w:t>
            </w:r>
            <w:r>
              <w:rPr>
                <w:rFonts w:hint="default" w:ascii="Times New Roman" w:hAnsi="Times New Roman" w:eastAsia="宋体" w:cs="Times New Roman"/>
                <w:bCs/>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/a），排污系数按0.8计，则职工生活污水排放量为2.4m</w:t>
            </w:r>
            <w:r>
              <w:rPr>
                <w:rFonts w:hint="default" w:ascii="Times New Roman" w:hAnsi="Times New Roman" w:eastAsia="宋体" w:cs="Times New Roman"/>
                <w:bCs/>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/d（720m</w:t>
            </w:r>
            <w:r>
              <w:rPr>
                <w:rFonts w:hint="default" w:ascii="Times New Roman" w:hAnsi="Times New Roman" w:eastAsia="宋体" w:cs="Times New Roman"/>
                <w:bCs/>
                <w:color w:val="000000" w:themeColor="text1"/>
                <w:sz w:val="24"/>
                <w:szCs w:val="24"/>
                <w:vertAlign w:val="superscript"/>
                <w:lang w:val="en-US" w:eastAsia="zh-CN"/>
                <w14:textFill>
                  <w14:solidFill>
                    <w14:schemeClr w14:val="tx1"/>
                  </w14:solidFill>
                </w14:textFill>
              </w:rPr>
              <w:t>3</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/a）。</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default" w:ascii="Times New Roman" w:hAnsi="Times New Roman" w:eastAsia="宋体" w:cs="Times New Roman"/>
                <w:bCs/>
                <w:color w:val="000000" w:themeColor="text1"/>
                <w:sz w:val="24"/>
                <w:szCs w:val="24"/>
                <w:highlight w:val="none"/>
                <w:lang w:val="en-US" w:eastAsia="zh-CN"/>
                <w14:textFill>
                  <w14:solidFill>
                    <w14:schemeClr w14:val="tx1"/>
                  </w14:solidFill>
                </w14:textFill>
              </w:rPr>
            </w:pPr>
            <w:r>
              <w:rPr>
                <w:rFonts w:hint="default" w:ascii="Times New Roman" w:hAnsi="Times New Roman" w:eastAsia="宋体" w:cs="Times New Roman"/>
                <w:bCs/>
                <w:color w:val="000000" w:themeColor="text1"/>
                <w:sz w:val="24"/>
                <w:szCs w:val="24"/>
                <w:highlight w:val="none"/>
                <w:lang w:val="en-US" w:eastAsia="zh-CN"/>
                <w14:textFill>
                  <w14:solidFill>
                    <w14:schemeClr w14:val="tx1"/>
                  </w14:solidFill>
                </w14:textFill>
              </w:rPr>
              <w:t>项目废水主要为软水制备系统排的浓水、设备清洗废水及员工生活污水，</w:t>
            </w:r>
            <w:r>
              <w:rPr>
                <w:rFonts w:hint="eastAsia" w:ascii="Times New Roman" w:hAnsi="Times New Roman" w:eastAsia="宋体" w:cs="Times New Roman"/>
                <w:bCs/>
                <w:color w:val="000000" w:themeColor="text1"/>
                <w:sz w:val="24"/>
                <w:szCs w:val="24"/>
                <w:highlight w:val="none"/>
                <w:lang w:val="en-US" w:eastAsia="zh-CN"/>
                <w14:textFill>
                  <w14:solidFill>
                    <w14:schemeClr w14:val="tx1"/>
                  </w14:solidFill>
                </w14:textFill>
              </w:rPr>
              <w:t>锅炉软水制备排污水</w:t>
            </w:r>
            <w:r>
              <w:rPr>
                <w:rFonts w:hint="default" w:ascii="Times New Roman" w:hAnsi="Times New Roman" w:eastAsia="宋体" w:cs="Times New Roman"/>
                <w:bCs/>
                <w:color w:val="000000" w:themeColor="text1"/>
                <w:sz w:val="24"/>
                <w:szCs w:val="24"/>
                <w:highlight w:val="none"/>
                <w:lang w:val="en-US" w:eastAsia="zh-CN"/>
                <w14:textFill>
                  <w14:solidFill>
                    <w14:schemeClr w14:val="tx1"/>
                  </w14:solidFill>
                </w14:textFill>
              </w:rPr>
              <w:t>及设备清洗废水经收集后用于厂区洒水抑尘或绿化；员工生活污水依托河南吉尔木食品有限公司厂区现有化粪池收集后，定期清掏肥田，不外排。</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both"/>
              <w:textAlignment w:val="auto"/>
              <w:rPr>
                <w:rFonts w:hint="eastAsia" w:ascii="Times New Roman" w:hAnsi="Times New Roman" w:cs="Times New Roman"/>
                <w:bCs/>
                <w:color w:val="000000" w:themeColor="text1"/>
                <w:sz w:val="24"/>
                <w:szCs w:val="24"/>
                <w:lang w:eastAsia="zh-CN"/>
                <w14:textFill>
                  <w14:solidFill>
                    <w14:schemeClr w14:val="tx1"/>
                  </w14:solidFill>
                </w14:textFill>
              </w:rPr>
            </w:pPr>
            <w:r>
              <w:rPr>
                <w:rFonts w:hint="eastAsia" w:ascii="Times New Roman" w:hAnsi="Times New Roman" w:cs="Times New Roman"/>
                <w:bCs/>
                <w:color w:val="000000" w:themeColor="text1"/>
                <w:sz w:val="24"/>
                <w:szCs w:val="24"/>
                <w:lang w:eastAsia="zh-CN"/>
                <w14:textFill>
                  <w14:solidFill>
                    <w14:schemeClr w14:val="tx1"/>
                  </w14:solidFill>
                </w14:textFill>
              </w:rPr>
              <w:t>本项目水平衡图如下：</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object>
                <v:shape id="_x0000_i1025" o:spt="75" type="#_x0000_t75" style="height:362.4pt;width:394.3pt;" o:ole="t" filled="f" o:preferrelative="t" stroked="f" coordsize="21600,21600">
                  <v:path/>
                  <v:fill on="f" focussize="0,0"/>
                  <v:stroke on="f"/>
                  <v:imagedata r:id="rId8" o:title=""/>
                  <o:lock v:ext="edit" aspectratio="f"/>
                  <w10:wrap type="none"/>
                  <w10:anchorlock/>
                </v:shape>
                <o:OLEObject Type="Embed" ProgID="Visio.Drawing.11" ShapeID="_x0000_i1025" DrawAspect="Content" ObjectID="_1468075725" r:id="rId7">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图</w:t>
            </w:r>
            <w:r>
              <w:rPr>
                <w:rFonts w:hint="eastAsia"/>
                <w:b/>
                <w:bCs/>
                <w:color w:val="000000" w:themeColor="text1"/>
                <w:szCs w:val="21"/>
                <w:u w:val="single"/>
                <w14:textFill>
                  <w14:solidFill>
                    <w14:schemeClr w14:val="tx1"/>
                  </w14:solidFill>
                </w14:textFill>
              </w:rPr>
              <w:t>2-1</w:t>
            </w:r>
            <w:r>
              <w:rPr>
                <w:b/>
                <w:bCs/>
                <w:color w:val="000000" w:themeColor="text1"/>
                <w:szCs w:val="21"/>
                <w:u w:val="single"/>
                <w14:textFill>
                  <w14:solidFill>
                    <w14:schemeClr w14:val="tx1"/>
                  </w14:solidFill>
                </w14:textFill>
              </w:rPr>
              <w:t xml:space="preserve">  本项目水平衡图</w:t>
            </w:r>
          </w:p>
          <w:p>
            <w:pPr>
              <w:pStyle w:val="71"/>
              <w:spacing w:line="360" w:lineRule="auto"/>
              <w:jc w:val="left"/>
              <w:rPr>
                <w:rFonts w:hint="eastAsia" w:eastAsia="宋体"/>
                <w:b/>
                <w:color w:val="000000" w:themeColor="text1"/>
                <w:kern w:val="0"/>
                <w:sz w:val="24"/>
                <w:lang w:val="en-US" w:eastAsia="zh-CN"/>
                <w14:textFill>
                  <w14:solidFill>
                    <w14:schemeClr w14:val="tx1"/>
                  </w14:solidFill>
                </w14:textFill>
              </w:rPr>
            </w:pPr>
            <w:r>
              <w:rPr>
                <w:rFonts w:hint="eastAsia" w:cs="Times New Roman"/>
                <w:b/>
                <w:bCs/>
                <w:color w:val="000000" w:themeColor="text1"/>
                <w:sz w:val="24"/>
                <w:lang w:val="en-US" w:eastAsia="zh-CN" w:bidi="ar-SA"/>
                <w14:textFill>
                  <w14:solidFill>
                    <w14:schemeClr w14:val="tx1"/>
                  </w14:solidFill>
                </w14:textFill>
              </w:rPr>
              <w:t>9</w:t>
            </w:r>
            <w:r>
              <w:rPr>
                <w:rFonts w:hint="eastAsia" w:ascii="Times New Roman" w:hAnsi="Times New Roman" w:eastAsia="Calibri" w:cs="Times New Roman"/>
                <w:b/>
                <w:bCs/>
                <w:color w:val="000000" w:themeColor="text1"/>
                <w:sz w:val="24"/>
                <w:lang w:val="en-US" w:bidi="ar-SA"/>
                <w14:textFill>
                  <w14:solidFill>
                    <w14:schemeClr w14:val="tx1"/>
                  </w14:solidFill>
                </w14:textFill>
              </w:rPr>
              <w:t>、</w:t>
            </w:r>
            <w:r>
              <w:rPr>
                <w:rFonts w:hint="eastAsia" w:eastAsia="宋体"/>
                <w:b/>
                <w:color w:val="000000" w:themeColor="text1"/>
                <w:kern w:val="0"/>
                <w:sz w:val="24"/>
                <w:lang w:val="en-US" w:eastAsia="zh-CN"/>
                <w14:textFill>
                  <w14:solidFill>
                    <w14:schemeClr w14:val="tx1"/>
                  </w14:solidFill>
                </w14:textFill>
              </w:rPr>
              <w:t>平面布局图</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both"/>
              <w:textAlignment w:val="auto"/>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本项目租赁河南吉尔木食品有限公司现有食用菌加工车间部分车间进行生产，根据项目厂区平面布置图（见附图</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4</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），项目租赁区域西侧一</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层为产品区、二层为办公室，生产区域</w:t>
            </w:r>
            <w:r>
              <w:rPr>
                <w:rFonts w:hint="eastAsia" w:cs="Times New Roman"/>
                <w:b/>
                <w:bCs w:val="0"/>
                <w:color w:val="000000" w:themeColor="text1"/>
                <w:sz w:val="24"/>
                <w:szCs w:val="24"/>
                <w:u w:val="single"/>
                <w:lang w:val="en-US" w:eastAsia="zh-CN"/>
                <w14:textFill>
                  <w14:solidFill>
                    <w14:schemeClr w14:val="tx1"/>
                  </w14:solidFill>
                </w14:textFill>
              </w:rPr>
              <w:t>北</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侧</w:t>
            </w:r>
            <w:r>
              <w:rPr>
                <w:rFonts w:hint="eastAsia" w:cs="Times New Roman"/>
                <w:b/>
                <w:bCs w:val="0"/>
                <w:color w:val="000000" w:themeColor="text1"/>
                <w:sz w:val="24"/>
                <w:szCs w:val="24"/>
                <w:u w:val="single"/>
                <w:lang w:val="en-US" w:eastAsia="zh-CN"/>
                <w14:textFill>
                  <w14:solidFill>
                    <w14:schemeClr w14:val="tx1"/>
                  </w14:solidFill>
                </w14:textFill>
              </w:rPr>
              <w:t>为原材料存放区、物料提取区；</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生产区域</w:t>
            </w:r>
            <w:r>
              <w:rPr>
                <w:rFonts w:hint="eastAsia" w:cs="Times New Roman"/>
                <w:b/>
                <w:bCs w:val="0"/>
                <w:color w:val="000000" w:themeColor="text1"/>
                <w:sz w:val="24"/>
                <w:szCs w:val="24"/>
                <w:u w:val="single"/>
                <w:lang w:val="en-US" w:eastAsia="zh-CN"/>
                <w14:textFill>
                  <w14:solidFill>
                    <w14:schemeClr w14:val="tx1"/>
                  </w14:solidFill>
                </w14:textFill>
              </w:rPr>
              <w:t>中间区域</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自西向东依次为</w:t>
            </w:r>
            <w:r>
              <w:rPr>
                <w:rFonts w:hint="eastAsia" w:cs="Times New Roman"/>
                <w:b/>
                <w:bCs w:val="0"/>
                <w:color w:val="000000" w:themeColor="text1"/>
                <w:sz w:val="24"/>
                <w:szCs w:val="24"/>
                <w:u w:val="single"/>
                <w:lang w:val="en-US" w:eastAsia="zh-CN"/>
                <w14:textFill>
                  <w14:solidFill>
                    <w14:schemeClr w14:val="tx1"/>
                  </w14:solidFill>
                </w14:textFill>
              </w:rPr>
              <w:t>成品库、喷雾干燥间、离心液暂存区、水沉区、酶解区、真空浓缩区、提取液过滤区、提取液暂存区；</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生产区域</w:t>
            </w:r>
            <w:r>
              <w:rPr>
                <w:rFonts w:hint="eastAsia" w:cs="Times New Roman"/>
                <w:b/>
                <w:bCs w:val="0"/>
                <w:color w:val="000000" w:themeColor="text1"/>
                <w:sz w:val="24"/>
                <w:szCs w:val="24"/>
                <w:u w:val="single"/>
                <w:lang w:val="en-US" w:eastAsia="zh-CN"/>
                <w14:textFill>
                  <w14:solidFill>
                    <w14:schemeClr w14:val="tx1"/>
                  </w14:solidFill>
                </w14:textFill>
              </w:rPr>
              <w:t>南区域</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自西向东依次为包装间、粉碎间、混合间、脱包间等。一般固废暂存间</w:t>
            </w:r>
            <w:r>
              <w:rPr>
                <w:rFonts w:hint="eastAsia" w:cs="Times New Roman"/>
                <w:b/>
                <w:bCs w:val="0"/>
                <w:color w:val="000000" w:themeColor="text1"/>
                <w:sz w:val="24"/>
                <w:szCs w:val="24"/>
                <w:u w:val="single"/>
                <w:lang w:val="en-US" w:eastAsia="zh-CN"/>
                <w14:textFill>
                  <w14:solidFill>
                    <w14:schemeClr w14:val="tx1"/>
                  </w14:solidFill>
                </w14:textFill>
              </w:rPr>
              <w:t>、危险废物暂存间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位于租赁区域</w:t>
            </w:r>
            <w:r>
              <w:rPr>
                <w:rFonts w:hint="eastAsia" w:cs="Times New Roman"/>
                <w:b/>
                <w:bCs w:val="0"/>
                <w:color w:val="000000" w:themeColor="text1"/>
                <w:sz w:val="24"/>
                <w:szCs w:val="24"/>
                <w:u w:val="single"/>
                <w:lang w:val="en-US" w:eastAsia="zh-CN"/>
                <w14:textFill>
                  <w14:solidFill>
                    <w14:schemeClr w14:val="tx1"/>
                  </w14:solidFill>
                </w14:textFill>
              </w:rPr>
              <w:t>东南</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侧。项目原料区、生产区、产品区采用不锈钢隔板整体分隔，设置独立空间，明确各功能分区，且保证工艺运行过程中的流畅性、完整性。</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both"/>
              <w:textAlignment w:val="auto"/>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项目供热设施、天然气储罐、污水处理站（含调节池及清水池）、事故池均位于租赁车间外北侧，天然气储罐</w:t>
            </w:r>
            <w:r>
              <w:rPr>
                <w:rFonts w:hint="eastAsia" w:cs="Times New Roman"/>
                <w:b/>
                <w:bCs w:val="0"/>
                <w:color w:val="000000" w:themeColor="text1"/>
                <w:sz w:val="24"/>
                <w:szCs w:val="24"/>
                <w:u w:val="single"/>
                <w:lang w:val="en-US" w:eastAsia="zh-CN"/>
                <w14:textFill>
                  <w14:solidFill>
                    <w14:schemeClr w14:val="tx1"/>
                  </w14:solidFill>
                </w14:textFill>
              </w:rPr>
              <w:t>22个，单个储罐容积为212L（天然气40m</w:t>
            </w:r>
            <w:r>
              <w:rPr>
                <w:rFonts w:hint="eastAsia" w:cs="Times New Roman"/>
                <w:b/>
                <w:bCs w:val="0"/>
                <w:color w:val="000000" w:themeColor="text1"/>
                <w:sz w:val="24"/>
                <w:szCs w:val="24"/>
                <w:u w:val="single"/>
                <w:vertAlign w:val="superscript"/>
                <w:lang w:val="en-US" w:eastAsia="zh-CN"/>
                <w14:textFill>
                  <w14:solidFill>
                    <w14:schemeClr w14:val="tx1"/>
                  </w14:solidFill>
                </w14:textFill>
              </w:rPr>
              <w:t>3</w:t>
            </w:r>
            <w:r>
              <w:rPr>
                <w:rFonts w:hint="eastAsia" w:cs="Times New Roman"/>
                <w:b/>
                <w:bCs w:val="0"/>
                <w:color w:val="000000" w:themeColor="text1"/>
                <w:sz w:val="24"/>
                <w:szCs w:val="24"/>
                <w:u w:val="single"/>
                <w:lang w:val="en-US" w:eastAsia="zh-CN"/>
                <w14:textFill>
                  <w14:solidFill>
                    <w14:schemeClr w14:val="tx1"/>
                  </w14:solidFill>
                </w14:textFill>
              </w:rPr>
              <w:t>）</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因此项目无防火距离要求。</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2" w:firstLineChars="200"/>
              <w:jc w:val="both"/>
              <w:textAlignment w:val="auto"/>
              <w:outlineLvl w:val="9"/>
              <w:rPr>
                <w:rFonts w:cs="宋体"/>
                <w:color w:val="000000" w:themeColor="text1"/>
                <w:kern w:val="0"/>
                <w:sz w:val="24"/>
                <w14:textFill>
                  <w14:solidFill>
                    <w14:schemeClr w14:val="tx1"/>
                  </w14:solidFill>
                </w14:textFill>
              </w:rPr>
            </w:pP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综上，从总体上讲，本项目厂区从原料存放、运输、加工、成品存放等环节布置较为合理、紧凑，土地利用率较高，</w:t>
            </w:r>
            <w:r>
              <w:rPr>
                <w:rFonts w:hint="eastAsia" w:ascii="Times New Roman" w:hAnsi="Times New Roman" w:cs="宋体"/>
                <w:b/>
                <w:bCs w:val="0"/>
                <w:color w:val="000000" w:themeColor="text1"/>
                <w:kern w:val="0"/>
                <w:sz w:val="24"/>
                <w:szCs w:val="24"/>
                <w:u w:val="single"/>
                <w:lang w:val="en-US" w:eastAsia="zh-CN"/>
                <w14:textFill>
                  <w14:solidFill>
                    <w14:schemeClr w14:val="tx1"/>
                  </w14:solidFill>
                </w14:textFill>
              </w:rPr>
              <w:t>从环境保护角度分析，项目平面布置合理。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23" w:type="dxa"/>
            <w:vAlign w:val="center"/>
          </w:tcPr>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工艺流程和产排污环节</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工艺流程和产排污环节</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工艺流程和产排污环节</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工艺流程和产排污环节</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ascii="Times New Roman" w:hAnsi="Times New Roman" w:cs="宋体"/>
                <w:color w:val="000000" w:themeColor="text1"/>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both"/>
              <w:textAlignment w:val="auto"/>
              <w:rPr>
                <w:rFonts w:ascii="Times New Roman" w:hAnsi="Times New Roman" w:cs="宋体"/>
                <w:color w:val="000000" w:themeColor="text1"/>
                <w:szCs w:val="24"/>
                <w14:textFill>
                  <w14:solidFill>
                    <w14:schemeClr w14:val="tx1"/>
                  </w14:solidFill>
                </w14:textFill>
              </w:rPr>
            </w:pPr>
            <w:r>
              <w:rPr>
                <w:rFonts w:hint="eastAsia" w:ascii="Times New Roman" w:hAnsi="Times New Roman" w:cs="宋体"/>
                <w:color w:val="000000" w:themeColor="text1"/>
                <w:szCs w:val="24"/>
                <w14:textFill>
                  <w14:solidFill>
                    <w14:schemeClr w14:val="tx1"/>
                  </w14:solidFill>
                </w14:textFill>
              </w:rPr>
              <w:t>工艺流程和产排污环节</w:t>
            </w:r>
          </w:p>
        </w:tc>
        <w:tc>
          <w:tcPr>
            <w:tcW w:w="8161" w:type="dxa"/>
          </w:tcPr>
          <w:p>
            <w:pPr>
              <w:autoSpaceDE w:val="0"/>
              <w:autoSpaceDN w:val="0"/>
              <w:adjustRightInd w:val="0"/>
              <w:snapToGrid w:val="0"/>
              <w:spacing w:line="360" w:lineRule="auto"/>
              <w:rPr>
                <w:rFonts w:cs="宋体"/>
                <w:b/>
                <w:bCs/>
                <w:color w:val="000000" w:themeColor="text1"/>
                <w:kern w:val="0"/>
                <w:sz w:val="24"/>
                <w14:textFill>
                  <w14:solidFill>
                    <w14:schemeClr w14:val="tx1"/>
                  </w14:solidFill>
                </w14:textFill>
              </w:rPr>
            </w:pPr>
            <w:r>
              <w:rPr>
                <w:rFonts w:hint="eastAsia" w:cs="宋体"/>
                <w:b/>
                <w:bCs/>
                <w:color w:val="000000" w:themeColor="text1"/>
                <w:kern w:val="0"/>
                <w:sz w:val="24"/>
                <w14:textFill>
                  <w14:solidFill>
                    <w14:schemeClr w14:val="tx1"/>
                  </w14:solidFill>
                </w14:textFill>
              </w:rPr>
              <w:t>1 工艺流程简述</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ascii="Times New Roman" w:hAnsi="Times New Roman" w:cs="宋体"/>
                <w:b/>
                <w:bCs/>
                <w:color w:val="000000" w:themeColor="text1"/>
                <w:kern w:val="0"/>
                <w:sz w:val="24"/>
                <w:szCs w:val="24"/>
                <w:lang w:val="en-US" w:eastAsia="zh-CN"/>
                <w14:textFill>
                  <w14:solidFill>
                    <w14:schemeClr w14:val="tx1"/>
                  </w14:solidFill>
                </w14:textFill>
              </w:rPr>
              <w:t>（一）施工期</w:t>
            </w:r>
          </w:p>
          <w:p>
            <w:pPr>
              <w:keepLines w:val="0"/>
              <w:pageBreakBefore w:val="0"/>
              <w:widowControl w:val="0"/>
              <w:kinsoku/>
              <w:wordWrap/>
              <w:topLinePunct w:val="0"/>
              <w:autoSpaceDE w:val="0"/>
              <w:autoSpaceDN w:val="0"/>
              <w:bidi w:val="0"/>
              <w:adjustRightInd w:val="0"/>
              <w:snapToGrid w:val="0"/>
              <w:spacing w:line="360" w:lineRule="auto"/>
              <w:ind w:left="0" w:firstLine="480" w:firstLineChars="200"/>
              <w:textAlignment w:val="auto"/>
              <w:rPr>
                <w:rFonts w:hint="eastAsia" w:cs="宋体"/>
                <w:color w:val="000000" w:themeColor="text1"/>
                <w:kern w:val="0"/>
                <w:sz w:val="24"/>
                <w:lang w:val="en-US" w:eastAsia="zh-CN"/>
                <w14:textFill>
                  <w14:solidFill>
                    <w14:schemeClr w14:val="tx1"/>
                  </w14:solidFill>
                </w14:textFill>
              </w:rPr>
            </w:pPr>
            <w:r>
              <w:rPr>
                <w:rFonts w:hint="eastAsia" w:ascii="Times New Roman" w:hAnsi="Times New Roman" w:eastAsia="宋体"/>
                <w:b w:val="0"/>
                <w:bCs/>
                <w:color w:val="000000" w:themeColor="text1"/>
                <w:sz w:val="24"/>
                <w:szCs w:val="24"/>
                <w:highlight w:val="none"/>
                <w:lang w:eastAsia="zh-CN"/>
                <w14:textFill>
                  <w14:solidFill>
                    <w14:schemeClr w14:val="tx1"/>
                  </w14:solidFill>
                </w14:textFill>
              </w:rPr>
              <w:t>本项目</w:t>
            </w:r>
            <w:r>
              <w:rPr>
                <w:rFonts w:hint="eastAsia"/>
                <w:b w:val="0"/>
                <w:bCs/>
                <w:color w:val="000000" w:themeColor="text1"/>
                <w:sz w:val="24"/>
                <w:szCs w:val="24"/>
                <w:highlight w:val="none"/>
                <w:lang w:val="en-US" w:eastAsia="zh-CN"/>
                <w14:textFill>
                  <w14:solidFill>
                    <w14:schemeClr w14:val="tx1"/>
                  </w14:solidFill>
                </w14:textFill>
              </w:rPr>
              <w:t>为重新报批项目</w:t>
            </w:r>
            <w:r>
              <w:rPr>
                <w:rFonts w:hint="eastAsia" w:cs="宋体"/>
                <w:color w:val="000000" w:themeColor="text1"/>
                <w:kern w:val="0"/>
                <w:sz w:val="24"/>
                <w14:textFill>
                  <w14:solidFill>
                    <w14:schemeClr w14:val="tx1"/>
                  </w14:solidFill>
                </w14:textFill>
              </w:rPr>
              <w:t>，经现场勘察，</w:t>
            </w:r>
            <w:r>
              <w:rPr>
                <w:rFonts w:hint="eastAsia" w:cs="宋体"/>
                <w:color w:val="000000" w:themeColor="text1"/>
                <w:kern w:val="0"/>
                <w:sz w:val="24"/>
                <w:lang w:val="en-US" w:eastAsia="zh-CN"/>
                <w14:textFill>
                  <w14:solidFill>
                    <w14:schemeClr w14:val="tx1"/>
                  </w14:solidFill>
                </w14:textFill>
              </w:rPr>
              <w:t>本项目已建成，未生产，除尘设备未安装完成，施工期15天。</w:t>
            </w:r>
          </w:p>
          <w:p>
            <w:pPr>
              <w:spacing w:line="520" w:lineRule="exact"/>
              <w:ind w:firstLine="480" w:firstLineChars="200"/>
              <w:jc w:val="left"/>
              <w:rPr>
                <w:rFonts w:hint="eastAsia" w:ascii="宋体" w:hAnsi="宋体"/>
                <w:bCs/>
                <w:color w:val="000000" w:themeColor="text1"/>
                <w:sz w:val="24"/>
                <w14:textFill>
                  <w14:solidFill>
                    <w14:schemeClr w14:val="tx1"/>
                  </w14:solidFill>
                </w14:textFill>
              </w:rPr>
            </w:pPr>
            <w:r>
              <w:rPr>
                <w:rFonts w:hint="eastAsia" w:ascii="宋体" w:hAnsi="宋体"/>
                <w:bCs/>
                <w:color w:val="000000" w:themeColor="text1"/>
                <w:sz w:val="24"/>
                <w14:textFill>
                  <w14:solidFill>
                    <w14:schemeClr w14:val="tx1"/>
                  </w14:solidFill>
                </w14:textFill>
              </w:rPr>
              <w:t>本项目租赁已建成闲置场地进行建设，本项目施工期主要为</w:t>
            </w:r>
            <w:r>
              <w:rPr>
                <w:rFonts w:hint="eastAsia" w:ascii="宋体" w:hAnsi="宋体"/>
                <w:bCs/>
                <w:color w:val="000000" w:themeColor="text1"/>
                <w:sz w:val="24"/>
                <w:lang w:eastAsia="zh-CN"/>
                <w14:textFill>
                  <w14:solidFill>
                    <w14:schemeClr w14:val="tx1"/>
                  </w14:solidFill>
                </w14:textFill>
              </w:rPr>
              <w:t>水稳生产车间的建设、</w:t>
            </w:r>
            <w:r>
              <w:rPr>
                <w:rFonts w:hint="eastAsia" w:ascii="宋体" w:hAnsi="宋体"/>
                <w:bCs/>
                <w:color w:val="000000" w:themeColor="text1"/>
                <w:sz w:val="24"/>
                <w14:textFill>
                  <w14:solidFill>
                    <w14:schemeClr w14:val="tx1"/>
                  </w14:solidFill>
                </w14:textFill>
              </w:rPr>
              <w:t>设备安装与调试以及沉淀循环水池的建设，施工量较小，环境影响较小，随施工期结束而消除。</w:t>
            </w:r>
          </w:p>
          <w:p>
            <w:pPr>
              <w:pStyle w:val="17"/>
              <w:rPr>
                <w:rFonts w:hint="eastAsia" w:cs="宋体"/>
                <w:color w:val="000000" w:themeColor="text1"/>
                <w:kern w:val="0"/>
                <w:sz w:val="24"/>
                <w:lang w:val="en-US" w:eastAsia="zh-CN"/>
                <w14:textFill>
                  <w14:solidFill>
                    <w14:schemeClr w14:val="tx1"/>
                  </w14:solidFill>
                </w14:textFill>
              </w:rPr>
            </w:pPr>
          </w:p>
          <w:p>
            <w:pPr>
              <w:pStyle w:val="17"/>
              <w:rPr>
                <w:rFonts w:hint="eastAsia" w:cs="宋体"/>
                <w:color w:val="000000" w:themeColor="text1"/>
                <w:kern w:val="0"/>
                <w:sz w:val="24"/>
                <w:lang w:val="en-US" w:eastAsia="zh-CN"/>
                <w14:textFill>
                  <w14:solidFill>
                    <w14:schemeClr w14:val="tx1"/>
                  </w14:solidFill>
                </w14:textFill>
              </w:rPr>
            </w:pPr>
          </w:p>
          <w:p>
            <w:pPr>
              <w:pStyle w:val="17"/>
              <w:rPr>
                <w:rFonts w:hint="default" w:cs="宋体"/>
                <w:color w:val="000000" w:themeColor="text1"/>
                <w:kern w:val="0"/>
                <w:sz w:val="24"/>
                <w:lang w:val="en-US"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0" w:firstLine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ascii="Times New Roman" w:hAnsi="Times New Roman" w:cs="宋体"/>
                <w:b/>
                <w:bCs/>
                <w:color w:val="000000" w:themeColor="text1"/>
                <w:kern w:val="0"/>
                <w:sz w:val="24"/>
                <w:szCs w:val="24"/>
                <w:lang w:val="en-US" w:eastAsia="zh-CN"/>
                <w14:textFill>
                  <w14:solidFill>
                    <w14:schemeClr w14:val="tx1"/>
                  </w14:solidFill>
                </w14:textFill>
              </w:rPr>
              <w:t>（二）营运期</w:t>
            </w:r>
          </w:p>
          <w:p>
            <w:pPr>
              <w:keepNext w:val="0"/>
              <w:keepLines w:val="0"/>
              <w:pageBreakBefore w:val="0"/>
              <w:widowControl w:val="0"/>
              <w:kinsoku/>
              <w:wordWrap/>
              <w:overflowPunct/>
              <w:topLinePunct w:val="0"/>
              <w:autoSpaceDE/>
              <w:autoSpaceDN/>
              <w:bidi w:val="0"/>
              <w:adjustRightInd w:val="0"/>
              <w:snapToGrid w:val="0"/>
              <w:spacing w:line="360" w:lineRule="auto"/>
              <w:ind w:left="0" w:firstLine="480" w:firstLineChars="200"/>
              <w:jc w:val="left"/>
              <w:textAlignment w:val="auto"/>
              <w:rPr>
                <w:rFonts w:hint="eastAsia" w:ascii="Times New Roman" w:hAnsi="Times New Roman" w:cs="Times New Roman"/>
                <w:b w:val="0"/>
                <w:bCs/>
                <w:color w:val="000000" w:themeColor="text1"/>
                <w:sz w:val="24"/>
                <w:szCs w:val="24"/>
                <w:u w:val="none"/>
                <w:lang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本项目香菇、木耳</w:t>
            </w:r>
            <w:bookmarkStart w:id="2" w:name="OLE_LINK14"/>
            <w:r>
              <w:rPr>
                <w:rFonts w:hint="eastAsia" w:ascii="Times New Roman" w:hAnsi="Times New Roman" w:cs="Times New Roman"/>
                <w:b w:val="0"/>
                <w:bCs/>
                <w:color w:val="000000" w:themeColor="text1"/>
                <w:sz w:val="24"/>
                <w:szCs w:val="24"/>
                <w:u w:val="none"/>
                <w:lang w:eastAsia="zh-CN"/>
                <w14:textFill>
                  <w14:solidFill>
                    <w14:schemeClr w14:val="tx1"/>
                  </w14:solidFill>
                </w14:textFill>
              </w:rPr>
              <w:t>及猴头菇等其他菌类</w:t>
            </w:r>
            <w:bookmarkEnd w:id="2"/>
            <w:r>
              <w:rPr>
                <w:rFonts w:hint="eastAsia" w:ascii="Times New Roman" w:hAnsi="Times New Roman" w:cs="Times New Roman"/>
                <w:b w:val="0"/>
                <w:bCs/>
                <w:color w:val="000000" w:themeColor="text1"/>
                <w:sz w:val="24"/>
                <w:szCs w:val="24"/>
                <w:u w:val="none"/>
                <w:lang w:eastAsia="zh-CN"/>
                <w14:textFill>
                  <w14:solidFill>
                    <w14:schemeClr w14:val="tx1"/>
                  </w14:solidFill>
                </w14:textFill>
              </w:rPr>
              <w:t>生产线，</w:t>
            </w:r>
            <w:r>
              <w:rPr>
                <w:rFonts w:hint="eastAsia" w:cs="Times New Roman"/>
                <w:b w:val="0"/>
                <w:bCs/>
                <w:color w:val="000000" w:themeColor="text1"/>
                <w:sz w:val="24"/>
                <w:szCs w:val="24"/>
                <w:u w:val="none"/>
                <w:lang w:val="en-US" w:eastAsia="zh-CN"/>
                <w14:textFill>
                  <w14:solidFill>
                    <w14:schemeClr w14:val="tx1"/>
                  </w14:solidFill>
                </w14:textFill>
              </w:rPr>
              <w:t>本项目主要产品为</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香菇提取物（粉状）</w:t>
            </w:r>
            <w:r>
              <w:rPr>
                <w:rFonts w:hint="eastAsia" w:cs="Times New Roman"/>
                <w:b w:val="0"/>
                <w:bCs/>
                <w:color w:val="000000" w:themeColor="text1"/>
                <w:sz w:val="24"/>
                <w:szCs w:val="24"/>
                <w:u w:val="none"/>
                <w:lang w:eastAsia="zh-CN"/>
                <w14:textFill>
                  <w14:solidFill>
                    <w14:schemeClr w14:val="tx1"/>
                  </w14:solidFill>
                </w14:textFill>
              </w:rPr>
              <w:t>、</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香菇提取物（液体）</w:t>
            </w:r>
            <w:r>
              <w:rPr>
                <w:rFonts w:hint="eastAsia" w:cs="Times New Roman"/>
                <w:b w:val="0"/>
                <w:bCs/>
                <w:color w:val="000000" w:themeColor="text1"/>
                <w:sz w:val="24"/>
                <w:szCs w:val="24"/>
                <w:u w:val="none"/>
                <w:lang w:eastAsia="zh-CN"/>
                <w14:textFill>
                  <w14:solidFill>
                    <w14:schemeClr w14:val="tx1"/>
                  </w14:solidFill>
                </w14:textFill>
              </w:rPr>
              <w:t>、</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香菇提取物（膏体）</w:t>
            </w:r>
            <w:r>
              <w:rPr>
                <w:rFonts w:hint="eastAsia" w:cs="Times New Roman"/>
                <w:b w:val="0"/>
                <w:bCs/>
                <w:color w:val="000000" w:themeColor="text1"/>
                <w:sz w:val="24"/>
                <w:szCs w:val="24"/>
                <w:u w:val="none"/>
                <w:lang w:eastAsia="zh-CN"/>
                <w14:textFill>
                  <w14:solidFill>
                    <w14:schemeClr w14:val="tx1"/>
                  </w14:solidFill>
                </w14:textFill>
              </w:rPr>
              <w:t>、</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木耳及猴头菇等其他菌类提取物</w:t>
            </w:r>
            <w:r>
              <w:rPr>
                <w:rFonts w:hint="eastAsia" w:cs="Times New Roman"/>
                <w:b w:val="0"/>
                <w:bCs/>
                <w:color w:val="000000" w:themeColor="text1"/>
                <w:sz w:val="24"/>
                <w:szCs w:val="24"/>
                <w:u w:val="none"/>
                <w:lang w:eastAsia="zh-CN"/>
                <w14:textFill>
                  <w14:solidFill>
                    <w14:schemeClr w14:val="tx1"/>
                  </w14:solidFill>
                </w14:textFill>
              </w:rPr>
              <w:t>、</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食用菌固体饲料</w:t>
            </w:r>
            <w:r>
              <w:rPr>
                <w:rFonts w:hint="eastAsia" w:cs="Times New Roman"/>
                <w:b w:val="0"/>
                <w:bCs/>
                <w:color w:val="000000" w:themeColor="text1"/>
                <w:sz w:val="24"/>
                <w:szCs w:val="24"/>
                <w:u w:val="none"/>
                <w:lang w:eastAsia="zh-CN"/>
                <w14:textFill>
                  <w14:solidFill>
                    <w14:schemeClr w14:val="tx1"/>
                  </w14:solidFill>
                </w14:textFill>
              </w:rPr>
              <w:t>，</w:t>
            </w:r>
            <w:r>
              <w:rPr>
                <w:rFonts w:hint="eastAsia" w:cs="Times New Roman"/>
                <w:b w:val="0"/>
                <w:bCs/>
                <w:color w:val="000000" w:themeColor="text1"/>
                <w:sz w:val="24"/>
                <w:szCs w:val="24"/>
                <w:u w:val="none"/>
                <w:lang w:val="en-US" w:eastAsia="zh-CN"/>
                <w14:textFill>
                  <w14:solidFill>
                    <w14:schemeClr w14:val="tx1"/>
                  </w14:solidFill>
                </w14:textFill>
              </w:rPr>
              <w:t>生产为间续生产，生产一批次后，再生产一批次</w:t>
            </w: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，具体工艺流程及产排污情况如下：</w:t>
            </w:r>
          </w:p>
          <w:p>
            <w:pPr>
              <w:pStyle w:val="4"/>
              <w:keepLines w:val="0"/>
              <w:pageBreakBefore w:val="0"/>
              <w:widowControl w:val="0"/>
              <w:kinsoku/>
              <w:wordWrap/>
              <w:topLinePunct w:val="0"/>
              <w:bidi w:val="0"/>
              <w:snapToGrid w:val="0"/>
              <w:spacing w:before="0" w:after="0" w:line="360" w:lineRule="auto"/>
              <w:ind w:left="0"/>
              <w:textAlignment w:val="auto"/>
              <w:rPr>
                <w:rFonts w:hint="eastAsia" w:ascii="Times New Roman" w:hAnsi="Times New Roman" w:cs="Times New Roman" w:eastAsiaTheme="minorEastAsia"/>
                <w:b w:val="0"/>
                <w:bCs w:val="0"/>
                <w:color w:val="000000" w:themeColor="text1"/>
                <w:sz w:val="24"/>
                <w:szCs w:val="24"/>
                <w:lang w:eastAsia="zh-CN"/>
                <w14:textFill>
                  <w14:solidFill>
                    <w14:schemeClr w14:val="tx1"/>
                  </w14:solidFill>
                </w14:textFill>
              </w:rPr>
            </w:pPr>
            <w:r>
              <w:rPr>
                <w:rFonts w:hint="eastAsia" w:cs="Times New Roman" w:eastAsiaTheme="minorEastAsia"/>
                <w:b w:val="0"/>
                <w:bCs w:val="0"/>
                <w:color w:val="000000" w:themeColor="text1"/>
                <w:sz w:val="24"/>
                <w:szCs w:val="24"/>
                <w:lang w:eastAsia="zh-CN"/>
                <w14:textFill>
                  <w14:solidFill>
                    <w14:schemeClr w14:val="tx1"/>
                  </w14:solidFill>
                </w14:textFill>
              </w:rPr>
              <w:t>（</w:t>
            </w:r>
            <w:r>
              <w:rPr>
                <w:rFonts w:hint="eastAsia" w:cs="Times New Roman" w:eastAsiaTheme="minorEastAsia"/>
                <w:b w:val="0"/>
                <w:bCs w:val="0"/>
                <w:color w:val="000000" w:themeColor="text1"/>
                <w:sz w:val="24"/>
                <w:szCs w:val="24"/>
                <w:lang w:val="en-US" w:eastAsia="zh-CN"/>
                <w14:textFill>
                  <w14:solidFill>
                    <w14:schemeClr w14:val="tx1"/>
                  </w14:solidFill>
                </w14:textFill>
              </w:rPr>
              <w:t>1</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none"/>
                <w:lang w:eastAsia="zh-CN"/>
                <w14:textFill>
                  <w14:solidFill>
                    <w14:schemeClr w14:val="tx1"/>
                  </w14:solidFill>
                </w14:textFill>
              </w:rPr>
              <w:object>
                <v:shape id="_x0000_i1026" o:spt="75" type="#_x0000_t75" style="height:623.65pt;width:421.7pt;" o:ole="t" filled="f" o:preferrelative="t" stroked="f" coordsize="21600,21600">
                  <v:path/>
                  <v:fill on="f" focussize="0,0"/>
                  <v:stroke on="f"/>
                  <v:imagedata r:id="rId10" o:title=""/>
                  <o:lock v:ext="edit" aspectratio="f"/>
                  <w10:wrap type="none"/>
                  <w10:anchorlock/>
                </v:shape>
                <o:OLEObject Type="Embed" ProgID="Visio.Drawing.11" ShapeID="_x0000_i1026" DrawAspect="Content" ObjectID="_1468075726" r:id="rId9">
                  <o:LockedField>false</o:LockedField>
                </o:OLEObject>
              </w:object>
            </w:r>
            <w:r>
              <w:rPr>
                <w:rFonts w:hint="eastAsia" w:ascii="Times New Roman" w:hAnsi="Times New Roman" w:eastAsia="宋体" w:cs="Times New Roman"/>
                <w:b/>
                <w:bCs/>
                <w:color w:val="000000" w:themeColor="text1"/>
                <w:szCs w:val="21"/>
                <w:u w:val="single"/>
                <w:lang w:val="en-US" w:eastAsia="zh-CN"/>
                <w14:textFill>
                  <w14:solidFill>
                    <w14:schemeClr w14:val="tx1"/>
                  </w14:solidFill>
                </w14:textFill>
              </w:rPr>
              <w:t>图2-</w:t>
            </w:r>
            <w:r>
              <w:rPr>
                <w:rFonts w:hint="eastAsia" w:cs="Times New Roman"/>
                <w:b/>
                <w:bCs/>
                <w:color w:val="000000" w:themeColor="text1"/>
                <w:szCs w:val="21"/>
                <w:u w:val="single"/>
                <w:lang w:val="en-US" w:eastAsia="zh-CN"/>
                <w14:textFill>
                  <w14:solidFill>
                    <w14:schemeClr w14:val="tx1"/>
                  </w14:solidFill>
                </w14:textFill>
              </w:rPr>
              <w:t>2</w:t>
            </w:r>
            <w:r>
              <w:rPr>
                <w:rFonts w:hint="eastAsia" w:ascii="Times New Roman" w:hAnsi="Times New Roman" w:eastAsia="宋体" w:cs="Times New Roman"/>
                <w:b/>
                <w:bCs/>
                <w:color w:val="000000" w:themeColor="text1"/>
                <w:szCs w:val="21"/>
                <w:u w:val="single"/>
                <w:lang w:val="en-US" w:eastAsia="zh-CN"/>
                <w14:textFill>
                  <w14:solidFill>
                    <w14:schemeClr w14:val="tx1"/>
                  </w14:solidFill>
                </w14:textFill>
              </w:rPr>
              <w:t xml:space="preserve">  本项目</w:t>
            </w:r>
            <w:r>
              <w:rPr>
                <w:rFonts w:hint="eastAsia" w:cs="Times New Roman"/>
                <w:b/>
                <w:bCs/>
                <w:color w:val="000000" w:themeColor="text1"/>
                <w:szCs w:val="21"/>
                <w:u w:val="single"/>
                <w:lang w:val="en-US" w:eastAsia="zh-CN"/>
                <w14:textFill>
                  <w14:solidFill>
                    <w14:schemeClr w14:val="tx1"/>
                  </w14:solidFill>
                </w14:textFill>
              </w:rPr>
              <w:t>香菇提取物</w:t>
            </w:r>
            <w:r>
              <w:rPr>
                <w:rFonts w:hint="eastAsia" w:ascii="Times New Roman" w:hAnsi="Times New Roman" w:eastAsia="宋体" w:cs="Times New Roman"/>
                <w:b/>
                <w:bCs/>
                <w:color w:val="000000" w:themeColor="text1"/>
                <w:szCs w:val="21"/>
                <w:u w:val="single"/>
                <w:lang w:val="en-US" w:eastAsia="zh-CN"/>
                <w14:textFill>
                  <w14:solidFill>
                    <w14:schemeClr w14:val="tx1"/>
                  </w14:solidFill>
                </w14:textFill>
              </w:rPr>
              <w:t>生产工艺流程及产污环节图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eastAsia" w:ascii="Times New Roman" w:hAnsi="Times New Roman" w:eastAsia="宋体" w:cs="Times New Roman"/>
                <w:b w:val="0"/>
                <w:bCs/>
                <w:color w:val="000000" w:themeColor="text1"/>
                <w:sz w:val="24"/>
                <w:szCs w:val="24"/>
                <w:u w:val="none"/>
                <w:lang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eastAsia="zh-CN"/>
                <w14:textFill>
                  <w14:solidFill>
                    <w14:schemeClr w14:val="tx1"/>
                  </w14:solidFill>
                </w14:textFill>
              </w:rPr>
              <w:t>工艺流程简述：</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①</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投料、浸泡：</w:t>
            </w:r>
            <w:r>
              <w:rPr>
                <w:rFonts w:hint="eastAsia" w:cs="Times New Roman"/>
                <w:b/>
                <w:bCs w:val="0"/>
                <w:color w:val="000000" w:themeColor="text1"/>
                <w:sz w:val="24"/>
                <w:szCs w:val="24"/>
                <w:u w:val="single"/>
                <w:lang w:val="en-US" w:eastAsia="zh-CN"/>
                <w14:textFill>
                  <w14:solidFill>
                    <w14:schemeClr w14:val="tx1"/>
                  </w14:solidFill>
                </w14:textFill>
              </w:rPr>
              <w:t>每次</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投料2吨左右，投进提取罐中，在提取罐浸泡4h，水温控制在50℃之间。</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②</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煮制提取：</w:t>
            </w: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外购香菇经提取设备上料工段进入提取工段，向提取设备内加水，通过蒸汽加热至</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80-100℃进行蒸煮，经蒸煮后的液体通过泵打入提取液储罐。提取后的香菇等原料的残渣进行晾晒或者进行处理</w:t>
            </w:r>
            <w:r>
              <w:rPr>
                <w:rFonts w:hint="eastAsia" w:cs="Times New Roman"/>
                <w:b/>
                <w:bCs w:val="0"/>
                <w:color w:val="000000" w:themeColor="text1"/>
                <w:sz w:val="24"/>
                <w:szCs w:val="24"/>
                <w:u w:val="single"/>
                <w:lang w:val="en-US" w:eastAsia="zh-CN"/>
                <w14:textFill>
                  <w14:solidFill>
                    <w14:schemeClr w14:val="tx1"/>
                  </w14:solidFill>
                </w14:textFill>
              </w:rPr>
              <w:t>后</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放入一般固废暂存间内，定期外售，水分含量较小。蒸汽加热采用锅炉进行加热，能源为天然气；逆流提取设备为全自动提取设备，上料及下料为配套设施。此过程会产生噪声、固废、废水、废气。</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项目提取设备为密闭设备，会减少植物气味产生；项目浸泡、蒸煮提取过程产生的水经冷凝后回用于生产，部分冷凝水定期排放。</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③</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压（过）滤：煮制提取后的原液经压（过）滤机（1台，型号BNT12/520-30）；压（过）滤后，进入滤液储罐（4个，型号1.5米</w:t>
            </w:r>
            <w:r>
              <w:rPr>
                <w:rFonts w:hint="eastAsia" w:cs="Times New Roman"/>
                <w:b/>
                <w:bCs w:val="0"/>
                <w:color w:val="000000" w:themeColor="text1"/>
                <w:sz w:val="24"/>
                <w:szCs w:val="24"/>
                <w:u w:val="single"/>
                <w:lang w:val="en-US" w:eastAsia="zh-CN"/>
                <w14:textFill>
                  <w14:solidFill>
                    <w14:schemeClr w14:val="tx1"/>
                  </w14:solidFill>
                </w14:textFill>
              </w:rPr>
              <w:t>×</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2.6米）储存。</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经提取后的提取液进入板式过滤器内过滤后暂存于储液罐内，其中过滤后的部分滤渣作为固废处置。此过程会产生噪声、固废。</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④</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真空浓缩、离心：把过滤后的原液打入单效浓缩容器（4套；规格型号2000L/h）内进行真空浓缩，负压在0.07-0.08Mpa，温度60-70℃，每次浓缩时间5-6小时。</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浓缩后的物料暂存于储液罐内进行保温储存，蒸发出来的水蒸气经冷却，收集到的馏分主要为蒸馏水。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蒸汽加热采用锅炉进行加热，能源为天然气。</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项目浓缩设备为密闭设备，会减少植物气味产生；项目浓缩过程产生的水经冷凝后回用于生产，部分冷凝水定期排放。</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cs="Times New Roman"/>
                <w:b/>
                <w:bCs w:val="0"/>
                <w:color w:val="000000" w:themeColor="text1"/>
                <w:sz w:val="24"/>
                <w:szCs w:val="24"/>
                <w:u w:val="single"/>
                <w:lang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⑤</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喷雾干燥：浓缩罐内的溶液采用喷雾干燥方式将物料干燥，得到香菇或木耳及猴头菇等其他菌类提取物产品。干燥会对外排放湿热空气，主要为水蒸气。此过程会产生噪声、废气。</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⑥</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酶解：酶解储罐内添加蛋白酶进行酶解，酶解温度约55℃，每次酶解时间4小时。</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酶解</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后的物料暂存于储液罐内进行保温储存，蒸发出来的水蒸气经冷却，收集到的馏分主要为蒸馏水。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蒸汽加热采用锅炉进行加热，能源为天然气。</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⑦</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：水沉：水沉储罐内添加纤维酶进行酶解，水沉温度约60-70℃，每次酶解时间2小时。</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水沉</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后的物料暂存于储液罐内进行保温储存，蒸发出来的水蒸气经冷却，收集到的馏分主要为蒸馏水。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蒸汽加热采用锅炉进行加热，能源为天然气。</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⑧</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粉碎、混合：把喷雾干燥后的半成品入粉碎机（1台）进行粉碎，粉碎至80-100目之间。根据每批次提取原料中多糖指标限量值不同，由质检员抽样检验测试之后，进行混合，混合机（1台，型号：EYH-1000L），送到内包间。</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cs="Times New Roman"/>
                <w:b/>
                <w:bCs w:val="0"/>
                <w:color w:val="000000" w:themeColor="text1"/>
                <w:sz w:val="24"/>
                <w:szCs w:val="24"/>
                <w:u w:val="single"/>
                <w:lang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⑨</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包装、成品入库</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left"/>
              <w:textAlignment w:val="auto"/>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将香菇或木耳及猴头菇等其他菌类提取物通过人工检验，经检验合格后根据客户需求，通过人工方式进行称量打包，并通过封包机封装后放入成品库，外售。此过程会产生噪声、固废。</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ascii="Times New Roman" w:hAnsi="Times New Roman" w:cs="宋体"/>
                <w:b/>
                <w:bCs/>
                <w:color w:val="000000" w:themeColor="text1"/>
                <w:kern w:val="0"/>
                <w:sz w:val="24"/>
                <w:szCs w:val="24"/>
                <w:lang w:val="en-US" w:eastAsia="zh-CN"/>
                <w14:textFill>
                  <w14:solidFill>
                    <w14:schemeClr w14:val="tx1"/>
                  </w14:solidFill>
                </w14:textFill>
              </w:rPr>
              <w:t>2 产排污环节简述</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表2-</w:t>
            </w:r>
            <w:r>
              <w:rPr>
                <w:rFonts w:hint="eastAsia" w:cs="Times New Roman"/>
                <w:b/>
                <w:bCs/>
                <w:color w:val="000000" w:themeColor="text1"/>
                <w:szCs w:val="21"/>
                <w:u w:val="none"/>
                <w:lang w:val="en-US" w:eastAsia="zh-CN"/>
                <w14:textFill>
                  <w14:solidFill>
                    <w14:schemeClr w14:val="tx1"/>
                  </w14:solidFill>
                </w14:textFill>
              </w:rPr>
              <w:t>7</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 xml:space="preserve">  本项目产排污环节分析一览表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737"/>
              <w:gridCol w:w="1627"/>
              <w:gridCol w:w="1736"/>
              <w:gridCol w:w="3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4"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类别</w:t>
                  </w: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产污工序</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主要污染物</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治理设施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运营期</w:t>
                  </w:r>
                </w:p>
              </w:tc>
              <w:tc>
                <w:tcPr>
                  <w:tcW w:w="43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废气</w:t>
                  </w: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提取及浓缩废气</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植物气味</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密闭设备，采用通排风系统，减少植物气味产生。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喷雾干燥废气</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颗粒物</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旋风+布袋除尘器+</w:t>
                  </w:r>
                  <w:r>
                    <w:rPr>
                      <w:rFonts w:hint="eastAsia" w:cs="Times New Roman"/>
                      <w:color w:val="000000" w:themeColor="text1"/>
                      <w:spacing w:val="0"/>
                      <w:kern w:val="0"/>
                      <w:sz w:val="21"/>
                      <w:szCs w:val="21"/>
                      <w:vertAlign w:val="baseline"/>
                      <w:lang w:val="en-US" w:eastAsia="zh-CN"/>
                      <w14:textFill>
                        <w14:solidFill>
                          <w14:schemeClr w14:val="tx1"/>
                        </w14:solidFill>
                      </w14:textFill>
                    </w:rPr>
                    <w:t>20</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m高排气筒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锅炉废气</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颗粒物、SO</w:t>
                  </w:r>
                  <w:r>
                    <w:rPr>
                      <w:rFonts w:hint="eastAsia" w:ascii="Times New Roman" w:hAnsi="Times New Roman" w:eastAsia="宋体" w:cs="Times New Roman"/>
                      <w:color w:val="000000" w:themeColor="text1"/>
                      <w:spacing w:val="0"/>
                      <w:kern w:val="0"/>
                      <w:sz w:val="21"/>
                      <w:szCs w:val="21"/>
                      <w:vertAlign w:val="subscript"/>
                      <w:lang w:val="en-US" w:eastAsia="zh-CN" w:bidi="ar-SA"/>
                      <w14:textFill>
                        <w14:solidFill>
                          <w14:schemeClr w14:val="tx1"/>
                        </w14:solidFill>
                      </w14:textFill>
                    </w:rPr>
                    <w:t>2</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、NOx</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低氮燃烧器+</w:t>
                  </w:r>
                  <w:r>
                    <w:rPr>
                      <w:rFonts w:hint="eastAsia" w:cs="Times New Roman"/>
                      <w:color w:val="000000" w:themeColor="text1"/>
                      <w:spacing w:val="0"/>
                      <w:kern w:val="0"/>
                      <w:sz w:val="21"/>
                      <w:szCs w:val="21"/>
                      <w:vertAlign w:val="baseline"/>
                      <w:lang w:val="en-US" w:eastAsia="zh-CN"/>
                      <w14:textFill>
                        <w14:solidFill>
                          <w14:schemeClr w14:val="tx1"/>
                        </w14:solidFill>
                      </w14:textFill>
                    </w:rPr>
                    <w:t>8</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m高排气筒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污水处理站</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臭气浓度、氨、硫化氢</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周边设置绿化带，定期投加除臭剂。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废水</w:t>
                  </w: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浸泡、蒸煮、浓缩过程冷凝定排水</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COD、SS、BOD</w:t>
                  </w:r>
                  <w:r>
                    <w:rPr>
                      <w:rFonts w:hint="eastAsia" w:ascii="Times New Roman" w:hAnsi="Times New Roman" w:eastAsia="宋体" w:cs="Times New Roman"/>
                      <w:color w:val="000000" w:themeColor="text1"/>
                      <w:spacing w:val="0"/>
                      <w:kern w:val="0"/>
                      <w:sz w:val="21"/>
                      <w:szCs w:val="21"/>
                      <w:vertAlign w:val="subscript"/>
                      <w:lang w:val="en-US" w:eastAsia="zh-CN" w:bidi="ar-SA"/>
                      <w14:textFill>
                        <w14:solidFill>
                          <w14:schemeClr w14:val="tx1"/>
                        </w14:solidFill>
                      </w14:textFill>
                    </w:rPr>
                    <w:t>5</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、氨氮</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定期排入污水处理站处理后，用于厂区洒水抑尘或绿化，不外排。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vertAlign w:val="baseline"/>
                      <w:lang w:val="en-US" w:eastAsia="zh-CN" w:bidi="ar-SA"/>
                      <w14:textFill>
                        <w14:solidFill>
                          <w14:schemeClr w14:val="tx1"/>
                        </w14:solidFill>
                      </w14:textFill>
                    </w:rPr>
                    <w:t>锅炉软水制备排污水</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COD、SS</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经收集后用于厂区洒水抑尘或绿化，不外排。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设备清洗水</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COD、SS、BOD</w:t>
                  </w:r>
                  <w:r>
                    <w:rPr>
                      <w:rFonts w:hint="eastAsia" w:ascii="Times New Roman" w:hAnsi="Times New Roman" w:eastAsia="宋体" w:cs="Times New Roman"/>
                      <w:color w:val="000000" w:themeColor="text1"/>
                      <w:spacing w:val="0"/>
                      <w:kern w:val="0"/>
                      <w:sz w:val="21"/>
                      <w:szCs w:val="21"/>
                      <w:vertAlign w:val="subscript"/>
                      <w:lang w:val="en-US" w:eastAsia="zh-CN" w:bidi="ar-SA"/>
                      <w14:textFill>
                        <w14:solidFill>
                          <w14:schemeClr w14:val="tx1"/>
                        </w14:solidFill>
                      </w14:textFill>
                    </w:rPr>
                    <w:t>5</w:t>
                  </w: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、氨氮</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经收集后进入污水处理站处理后，用于厂区洒水抑尘或绿化，不外排。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生活污水</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subscript"/>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COD、氨氮、SS、粪大肠杆菌、BOD</w:t>
                  </w:r>
                  <w:r>
                    <w:rPr>
                      <w:rFonts w:hint="eastAsia" w:ascii="Times New Roman" w:hAnsi="Times New Roman" w:eastAsia="宋体" w:cs="Times New Roman"/>
                      <w:color w:val="000000" w:themeColor="text1"/>
                      <w:spacing w:val="0"/>
                      <w:kern w:val="0"/>
                      <w:sz w:val="21"/>
                      <w:szCs w:val="21"/>
                      <w:vertAlign w:val="subscript"/>
                      <w:lang w:val="en-US" w:eastAsia="zh-CN" w:bidi="ar-SA"/>
                      <w14:textFill>
                        <w14:solidFill>
                          <w14:schemeClr w14:val="tx1"/>
                        </w14:solidFill>
                      </w14:textFill>
                    </w:rPr>
                    <w:t>5</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经依托河南吉尔木食品有限公司现有化粪池收集后，定期清掏肥田不外排。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噪声</w:t>
                  </w: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设备运行噪声</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等效连续A声级</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基础减振、厂房隔声等治理措施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固废</w:t>
                  </w: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职工办公</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生活垃圾</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交由环卫部门统一处置。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提取、过滤过程</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香菇、木耳及猴头菇等其他菌类</w:t>
                  </w: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残渣</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密闭桶装收集后暂存于一般固废暂存间（1座，5m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），日产日清，及时外售。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除尘器</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收集尘</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经收集后直接作为产品。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软化水过程</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废离子交换树脂</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由厂家更换后直接带走。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污水处理站</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污泥</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经密闭桶收集后由周围村民拉走，作为肥料处置。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43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包装工段</w:t>
                  </w:r>
                </w:p>
              </w:tc>
              <w:tc>
                <w:tcPr>
                  <w:tcW w:w="10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废包装材料</w:t>
                  </w:r>
                </w:p>
              </w:tc>
              <w:tc>
                <w:tcPr>
                  <w:tcW w:w="22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经收集后暂存于一般固废暂存间（1座，5m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），定期外售。</w:t>
                  </w:r>
                </w:p>
              </w:tc>
            </w:tr>
          </w:tbl>
          <w:p>
            <w:pPr>
              <w:autoSpaceDE w:val="0"/>
              <w:autoSpaceDN w:val="0"/>
              <w:adjustRightInd w:val="0"/>
              <w:snapToGrid w:val="0"/>
              <w:spacing w:line="360" w:lineRule="auto"/>
              <w:rPr>
                <w:bCs/>
                <w:color w:val="000000" w:themeColor="text1"/>
                <w:sz w:val="24"/>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99" w:hRule="atLeast"/>
          <w:jc w:val="center"/>
        </w:trPr>
        <w:tc>
          <w:tcPr>
            <w:tcW w:w="823" w:type="dxa"/>
            <w:vAlign w:val="center"/>
          </w:tcPr>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r>
              <w:rPr>
                <w:rFonts w:hint="eastAsia" w:ascii="Times New Roman" w:hAnsi="Times New Roman" w:cs="宋体"/>
                <w:bCs/>
                <w:color w:val="000000" w:themeColor="text1"/>
                <w:kern w:val="2"/>
                <w:szCs w:val="24"/>
                <w14:textFill>
                  <w14:solidFill>
                    <w14:schemeClr w14:val="tx1"/>
                  </w14:solidFill>
                </w14:textFill>
              </w:rPr>
              <w:t>与项目有关的原有环境污染问题</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r>
              <w:rPr>
                <w:rFonts w:hint="eastAsia" w:ascii="Times New Roman" w:hAnsi="Times New Roman" w:cs="宋体"/>
                <w:bCs/>
                <w:color w:val="000000" w:themeColor="text1"/>
                <w:kern w:val="2"/>
                <w:szCs w:val="24"/>
                <w14:textFill>
                  <w14:solidFill>
                    <w14:schemeClr w14:val="tx1"/>
                  </w14:solidFill>
                </w14:textFill>
              </w:rPr>
              <w:t>与项目有关的原有环境污染问题</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r>
              <w:rPr>
                <w:rFonts w:hint="eastAsia" w:ascii="Times New Roman" w:hAnsi="Times New Roman" w:cs="宋体"/>
                <w:bCs/>
                <w:color w:val="000000" w:themeColor="text1"/>
                <w:kern w:val="2"/>
                <w:szCs w:val="24"/>
                <w14:textFill>
                  <w14:solidFill>
                    <w14:schemeClr w14:val="tx1"/>
                  </w14:solidFill>
                </w14:textFill>
              </w:rPr>
              <w:t>与项目有关的原有环境污染问题</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r>
              <w:rPr>
                <w:rFonts w:hint="eastAsia" w:ascii="Times New Roman" w:hAnsi="Times New Roman" w:cs="宋体"/>
                <w:bCs/>
                <w:color w:val="000000" w:themeColor="text1"/>
                <w:kern w:val="2"/>
                <w:szCs w:val="24"/>
                <w14:textFill>
                  <w14:solidFill>
                    <w14:schemeClr w14:val="tx1"/>
                  </w14:solidFill>
                </w14:textFill>
              </w:rPr>
              <w:t>与项目有关的原有环境污染问题</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r>
              <w:rPr>
                <w:rFonts w:hint="eastAsia" w:ascii="Times New Roman" w:hAnsi="Times New Roman" w:cs="宋体"/>
                <w:bCs/>
                <w:color w:val="000000" w:themeColor="text1"/>
                <w:kern w:val="2"/>
                <w:szCs w:val="24"/>
                <w14:textFill>
                  <w14:solidFill>
                    <w14:schemeClr w14:val="tx1"/>
                  </w14:solidFill>
                </w14:textFill>
              </w:rPr>
              <w:t>与项目有关的原有环境污染问题</w:t>
            </w: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rPr>
                <w:rFonts w:hint="eastAsia" w:ascii="Times New Roman" w:hAnsi="Times New Roman" w:cs="宋体"/>
                <w:bCs/>
                <w:color w:val="000000" w:themeColor="text1"/>
                <w:kern w:val="2"/>
                <w:szCs w:val="24"/>
                <w14:textFill>
                  <w14:solidFill>
                    <w14:schemeClr w14:val="tx1"/>
                  </w14:solidFill>
                </w14:textFill>
              </w:rPr>
            </w:pPr>
          </w:p>
          <w:p>
            <w:pPr>
              <w:pStyle w:val="23"/>
              <w:keepNext w:val="0"/>
              <w:keepLines w:val="0"/>
              <w:pageBreakBefore w:val="0"/>
              <w:widowControl/>
              <w:kinsoku/>
              <w:wordWrap/>
              <w:overflowPunct/>
              <w:topLinePunct w:val="0"/>
              <w:autoSpaceDE/>
              <w:autoSpaceDN/>
              <w:bidi w:val="0"/>
              <w:adjustRightInd w:val="0"/>
              <w:snapToGrid w:val="0"/>
              <w:spacing w:before="0" w:beforeAutospacing="0" w:after="0" w:afterAutospacing="0"/>
              <w:jc w:val="both"/>
              <w:textAlignment w:val="auto"/>
              <w:rPr>
                <w:rFonts w:hint="eastAsia" w:ascii="Times New Roman" w:hAnsi="Times New Roman" w:cs="宋体"/>
                <w:bCs/>
                <w:color w:val="000000" w:themeColor="text1"/>
                <w:kern w:val="2"/>
                <w:szCs w:val="24"/>
                <w14:textFill>
                  <w14:solidFill>
                    <w14:schemeClr w14:val="tx1"/>
                  </w14:solidFill>
                </w14:textFill>
              </w:rPr>
            </w:pPr>
          </w:p>
        </w:tc>
        <w:tc>
          <w:tcPr>
            <w:tcW w:w="8161" w:type="dxa"/>
            <w:vAlign w:val="top"/>
          </w:tcPr>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eastAsia" w:ascii="Times New Roman" w:hAnsi="Times New Roman" w:cs="Times New Roman"/>
                <w:bCs/>
                <w:color w:val="000000" w:themeColor="text1"/>
                <w:sz w:val="24"/>
                <w:szCs w:val="24"/>
                <w:lang w:eastAsia="zh-CN"/>
                <w14:textFill>
                  <w14:solidFill>
                    <w14:schemeClr w14:val="tx1"/>
                  </w14:solidFill>
                </w14:textFill>
              </w:rPr>
              <w:t>本次重新报批项目位于平顶山市鲁山县库区乡平岭街01号，租赁河南吉尔木食品有限公司现有食用菌加工车间进行生产，</w:t>
            </w:r>
            <w:r>
              <w:rPr>
                <w:rFonts w:hint="default" w:ascii="Times New Roman" w:hAnsi="Times New Roman" w:eastAsia="宋体" w:cs="Times New Roman"/>
                <w:bCs/>
                <w:color w:val="000000" w:themeColor="text1"/>
                <w:sz w:val="24"/>
                <w:szCs w:val="24"/>
                <w:lang w:eastAsia="zh-CN"/>
                <w14:textFill>
                  <w14:solidFill>
                    <w14:schemeClr w14:val="tx1"/>
                  </w14:solidFill>
                </w14:textFill>
              </w:rPr>
              <w:t>《河南吉尔木食品有限公司库区乡食用菌标准化基地扶贫项目环境影响报告表》由鲁山县环境保护局于2020年12月11日予以审批，审批文号为鲁环监表[2020]52号；于2021年9月8日取得排污许可证，证书编号为：914104230572325074001U；于2021年11月5日完成验收。</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b w:val="0"/>
                <w:bCs w:val="0"/>
                <w:color w:val="000000" w:themeColor="text1"/>
                <w:sz w:val="24"/>
                <w:szCs w:val="24"/>
                <w:lang w:val="en-US" w:eastAsia="zh-CN"/>
                <w14:textFill>
                  <w14:solidFill>
                    <w14:schemeClr w14:val="tx1"/>
                  </w14:solidFill>
                </w14:textFill>
              </w:rPr>
            </w:pPr>
            <w:r>
              <w:rPr>
                <w:rFonts w:hint="eastAsia"/>
                <w:b w:val="0"/>
                <w:bCs w:val="0"/>
                <w:color w:val="000000" w:themeColor="text1"/>
                <w:sz w:val="24"/>
                <w:szCs w:val="24"/>
                <w:lang w:val="en-US" w:eastAsia="zh-CN"/>
                <w14:textFill>
                  <w14:solidFill>
                    <w14:schemeClr w14:val="tx1"/>
                  </w14:solidFill>
                </w14:textFill>
              </w:rPr>
              <w:t>所租赁车间区域现有建设内容及污染等情况进行分析，具体如下：</w:t>
            </w:r>
          </w:p>
          <w:p>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b/>
                <w:bCs w:val="0"/>
                <w:color w:val="000000" w:themeColor="text1"/>
                <w:sz w:val="24"/>
                <w:szCs w:val="24"/>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lang w:val="en-US" w:eastAsia="zh-CN"/>
                <w14:textFill>
                  <w14:solidFill>
                    <w14:schemeClr w14:val="tx1"/>
                  </w14:solidFill>
                </w14:textFill>
              </w:rPr>
              <w:t>1、河南素兴生物科技有限公司香菇、木耳等菌类深加工项目基本情况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eastAsia="宋体" w:cs="Times New Roman"/>
                <w:bCs/>
                <w:color w:val="000000" w:themeColor="text1"/>
                <w:sz w:val="24"/>
                <w:szCs w:val="24"/>
                <w:lang w:eastAsia="zh-CN"/>
                <w14:textFill>
                  <w14:solidFill>
                    <w14:schemeClr w14:val="tx1"/>
                  </w14:solidFill>
                </w14:textFill>
              </w:rPr>
            </w:pPr>
            <w:r>
              <w:rPr>
                <w:rFonts w:hint="eastAsia"/>
                <w:b w:val="0"/>
                <w:bCs w:val="0"/>
                <w:color w:val="000000" w:themeColor="text1"/>
                <w:sz w:val="24"/>
                <w:szCs w:val="24"/>
                <w:lang w:val="en-US" w:eastAsia="zh-CN"/>
                <w14:textFill>
                  <w14:solidFill>
                    <w14:schemeClr w14:val="tx1"/>
                  </w14:solidFill>
                </w14:textFill>
              </w:rPr>
              <w:t>河南素兴生物科技有限公司2022年7月委托郑州正宁环保科技有限公司编制完成《河南素兴生物科技有限公司香菇、木耳等菌类深加工项目环境影响报告表》，该项目于2022年7月8日取得平顶山市生态环境局鲁山分局批复（平鲁环监表[2022]08号）。</w:t>
            </w:r>
          </w:p>
          <w:p>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default" w:ascii="Times New Roman" w:hAnsi="Times New Roman" w:eastAsia="宋体" w:cs="Times New Roman"/>
                <w:b/>
                <w:bCs w:val="0"/>
                <w:color w:val="000000" w:themeColor="text1"/>
                <w:sz w:val="24"/>
                <w:szCs w:val="24"/>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lang w:val="en-US" w:eastAsia="zh-CN"/>
                <w14:textFill>
                  <w14:solidFill>
                    <w14:schemeClr w14:val="tx1"/>
                  </w14:solidFill>
                </w14:textFill>
              </w:rPr>
              <w:t>2、河南素兴生物科技有限公司香菇、木耳等菌类深加工项目建设内容</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eastAsia="宋体" w:cs="Times New Roman"/>
                <w:b/>
                <w:bCs/>
                <w:color w:val="000000" w:themeColor="text1"/>
                <w:szCs w:val="21"/>
                <w:u w:val="none"/>
                <w:lang w:eastAsia="zh-CN"/>
                <w14:textFill>
                  <w14:solidFill>
                    <w14:schemeClr w14:val="tx1"/>
                  </w14:solidFill>
                </w14:textFill>
              </w:rPr>
              <w:t>表</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2-</w:t>
            </w:r>
            <w:r>
              <w:rPr>
                <w:rFonts w:hint="eastAsia" w:cs="Times New Roman"/>
                <w:b/>
                <w:bCs/>
                <w:color w:val="000000" w:themeColor="text1"/>
                <w:szCs w:val="21"/>
                <w:u w:val="none"/>
                <w:lang w:val="en-US" w:eastAsia="zh-CN"/>
                <w14:textFill>
                  <w14:solidFill>
                    <w14:schemeClr w14:val="tx1"/>
                  </w14:solidFill>
                </w14:textFill>
              </w:rPr>
              <w:t>8</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 xml:space="preserve">  河南素兴生物科技有限公司香菇、木耳等菌类深加工项目建设情况一览表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7"/>
              <w:gridCol w:w="1081"/>
              <w:gridCol w:w="5523"/>
              <w:gridCol w:w="1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分类</w:t>
                  </w:r>
                </w:p>
              </w:tc>
              <w:tc>
                <w:tcPr>
                  <w:tcW w:w="394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建设内容</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主体工程</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生产车间</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1F，建筑面积1500m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，钢结构，位于河南吉尔木食品有限公司现有食用菌加工车间北侧，主要包括原料库、进料间、提取生产线、喷雾干燥工段、半成品暂存区、浓缩工段等</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锅炉房</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1F，砖混结构，位于河南吉尔木食品有限公司现有食用菌加工车间外北侧，主要用于燃气锅炉存放。</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辅助工程</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办公室</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建筑面积500m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，钢结构，位于河南吉尔木食品有限公司现有食用菌加工车间西侧2楼。</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公用工程</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供水</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依托河南吉尔木食品有限公司厂区现有自备水井。</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供电</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由当地供电所供给。</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环保工程</w:t>
                  </w:r>
                </w:p>
              </w:tc>
              <w:tc>
                <w:tcPr>
                  <w:tcW w:w="64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废气治理</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提取及浓缩过程产生的植物气味采用车间通排风+密闭设备进行治理后排放。</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锅炉加热过程中产生的废气采用低氮燃烧器处理后，由1根15m高排气筒排放。</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喷雾及干燥工序产生的废气采用冷凝器+袋式除尘器处理后，由1根15m高排气筒排放。</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污水处理站废气采用周边设置绿化带，定期投加除臭剂，无组织排放。</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废水治理</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浸泡、蒸煮、浓缩过程冷凝定排水定期排入厂区污水处理站处理后，用于厂区洒水抑尘或绿化。</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设备清洗废水经收集后排入厂区污水处理站处理后，用于厂区洒水抑尘或绿化。</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生活污水依托河南吉尔木食品有限公司现有化粪池处理后，定期清掏肥田。</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依托现有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highlight w:val="none"/>
                      <w:vertAlign w:val="baseline"/>
                      <w:lang w:val="en-US" w:eastAsia="zh-CN" w:bidi="ar-SA"/>
                      <w14:textFill>
                        <w14:solidFill>
                          <w14:schemeClr w14:val="tx1"/>
                        </w14:solidFill>
                      </w14:textFill>
                    </w:rPr>
                    <w:t>锅炉软水制备排污水</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经收集后，用于车间洒水抑尘或绿化。</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噪声治理</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采取基础减振、厂房隔声等措施。</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固废治理</w:t>
                  </w: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提取、过滤过程产生的香菇、木耳及猴头菇等其他菌类残渣经密闭桶装收集后暂存于一般固废暂存间（1座，5m</w:t>
                  </w:r>
                  <w:r>
                    <w:rPr>
                      <w:rFonts w:hint="default" w:ascii="Times New Roman" w:hAnsi="Times New Roman" w:eastAsia="宋体" w:cs="Times New Roman"/>
                      <w:color w:val="000000" w:themeColor="text1"/>
                      <w:spacing w:val="0"/>
                      <w:kern w:val="0"/>
                      <w:sz w:val="21"/>
                      <w:szCs w:val="21"/>
                      <w:highlight w:val="none"/>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），日产日清，直接外售。</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除尘器收集尘经收集后直接作为产品。</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废离子交换树脂由厂家更换直接带走。</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污泥经密闭桶收集后由周围村民拉走，作为肥料处置。</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废包装材料经收集后暂存于一般固废暂存间（1座5m</w:t>
                  </w:r>
                  <w:r>
                    <w:rPr>
                      <w:rFonts w:hint="default" w:ascii="Times New Roman" w:hAnsi="Times New Roman" w:eastAsia="宋体" w:cs="Times New Roman"/>
                      <w:color w:val="000000" w:themeColor="text1"/>
                      <w:spacing w:val="0"/>
                      <w:kern w:val="0"/>
                      <w:sz w:val="21"/>
                      <w:szCs w:val="21"/>
                      <w:highlight w:val="none"/>
                      <w:vertAlign w:val="superscript"/>
                      <w:lang w:val="en-US" w:eastAsia="zh-CN" w:bidi="ar-SA"/>
                      <w14:textFill>
                        <w14:solidFill>
                          <w14:schemeClr w14:val="tx1"/>
                        </w14:solidFill>
                      </w14:textFill>
                    </w:rPr>
                    <w:t>2</w:t>
                  </w: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），定期外售。</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64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p>
              </w:tc>
              <w:tc>
                <w:tcPr>
                  <w:tcW w:w="32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bidi="ar-SA"/>
                      <w14:textFill>
                        <w14:solidFill>
                          <w14:schemeClr w14:val="tx1"/>
                        </w14:solidFill>
                      </w14:textFill>
                    </w:rPr>
                    <w:t>职工生活垃圾经垃圾桶收集后定期交由环卫部门统一清运处置。</w:t>
                  </w:r>
                </w:p>
              </w:tc>
              <w:tc>
                <w:tcPr>
                  <w:tcW w:w="6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highlight w:val="none"/>
                      <w:vertAlign w:val="baseline"/>
                      <w:lang w:val="en-US" w:eastAsia="zh-CN"/>
                      <w14:textFill>
                        <w14:solidFill>
                          <w14:schemeClr w14:val="tx1"/>
                        </w14:solidFill>
                      </w14:textFill>
                    </w:rPr>
                    <w:t>新建</w:t>
                  </w:r>
                </w:p>
              </w:tc>
            </w:tr>
          </w:tbl>
          <w:p>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default" w:ascii="Times New Roman" w:hAnsi="Times New Roman" w:eastAsia="宋体" w:cs="Times New Roman"/>
                <w:b w:val="0"/>
                <w:bCs w:val="0"/>
                <w:color w:val="000000" w:themeColor="text1"/>
                <w:sz w:val="24"/>
                <w:szCs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none"/>
                <w:lang w:val="en-US" w:eastAsia="zh-CN"/>
                <w14:textFill>
                  <w14:solidFill>
                    <w14:schemeClr w14:val="tx1"/>
                  </w14:solidFill>
                </w14:textFill>
              </w:rPr>
              <w:t>3、</w:t>
            </w:r>
            <w:r>
              <w:rPr>
                <w:rFonts w:hint="eastAsia" w:ascii="Times New Roman" w:hAnsi="Times New Roman" w:cs="Times New Roman"/>
                <w:b/>
                <w:bCs w:val="0"/>
                <w:color w:val="000000" w:themeColor="text1"/>
                <w:sz w:val="24"/>
                <w:szCs w:val="24"/>
                <w:lang w:val="en-US" w:eastAsia="zh-CN"/>
                <w14:textFill>
                  <w14:solidFill>
                    <w14:schemeClr w14:val="tx1"/>
                  </w14:solidFill>
                </w14:textFill>
              </w:rPr>
              <w:t>河南素兴生物科技有限公司香菇、木耳等菌类深加工项目</w:t>
            </w:r>
            <w:r>
              <w:rPr>
                <w:rFonts w:hint="eastAsia" w:ascii="Times New Roman" w:hAnsi="Times New Roman" w:cs="Times New Roman"/>
                <w:b/>
                <w:bCs w:val="0"/>
                <w:color w:val="000000" w:themeColor="text1"/>
                <w:sz w:val="24"/>
                <w:szCs w:val="24"/>
                <w:u w:val="none"/>
                <w:lang w:val="en-US" w:eastAsia="zh-CN"/>
                <w14:textFill>
                  <w14:solidFill>
                    <w14:schemeClr w14:val="tx1"/>
                  </w14:solidFill>
                </w14:textFill>
              </w:rPr>
              <w:t>产品方案</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表2-</w:t>
            </w:r>
            <w:r>
              <w:rPr>
                <w:rFonts w:hint="eastAsia" w:cs="Times New Roman"/>
                <w:b/>
                <w:bCs/>
                <w:color w:val="000000" w:themeColor="text1"/>
                <w:szCs w:val="21"/>
                <w:u w:val="none"/>
                <w:lang w:val="en-US" w:eastAsia="zh-CN"/>
                <w14:textFill>
                  <w14:solidFill>
                    <w14:schemeClr w14:val="tx1"/>
                  </w14:solidFill>
                </w14:textFill>
              </w:rPr>
              <w:t>9</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 xml:space="preserve">  河南素兴生物科技有限公司香菇、木耳等菌类深加工项目产品方案一览表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70"/>
              <w:gridCol w:w="1955"/>
              <w:gridCol w:w="1985"/>
              <w:gridCol w:w="24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产品名称</w:t>
                  </w:r>
                </w:p>
              </w:tc>
              <w:tc>
                <w:tcPr>
                  <w:tcW w:w="116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纯度</w:t>
                  </w:r>
                </w:p>
              </w:tc>
              <w:tc>
                <w:tcPr>
                  <w:tcW w:w="11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none"/>
                      <w:vertAlign w:val="baseline"/>
                      <w:lang w:val="en-US" w:eastAsia="zh-CN"/>
                      <w14:textFill>
                        <w14:solidFill>
                          <w14:schemeClr w14:val="tx1"/>
                        </w14:solidFill>
                      </w14:textFill>
                    </w:rPr>
                    <w:t>产量（t/a）</w:t>
                  </w:r>
                </w:p>
              </w:tc>
              <w:tc>
                <w:tcPr>
                  <w:tcW w:w="147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cs="Times New Roman"/>
                      <w:b/>
                      <w:bCs/>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highlight w:val="none"/>
                      <w:u w:val="none"/>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香菇提取物</w:t>
                  </w:r>
                </w:p>
              </w:tc>
              <w:tc>
                <w:tcPr>
                  <w:tcW w:w="116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30%</w:t>
                  </w:r>
                </w:p>
              </w:tc>
              <w:tc>
                <w:tcPr>
                  <w:tcW w:w="11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150</w:t>
                  </w:r>
                </w:p>
              </w:tc>
              <w:tc>
                <w:tcPr>
                  <w:tcW w:w="1471"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t>均为粉状物料，用于出口食品香料、保健品原料等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木耳及猴头菇等其他菌类提取物</w:t>
                  </w:r>
                </w:p>
              </w:tc>
              <w:tc>
                <w:tcPr>
                  <w:tcW w:w="116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20%</w:t>
                  </w:r>
                </w:p>
              </w:tc>
              <w:tc>
                <w:tcPr>
                  <w:tcW w:w="11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bidi="ar-SA"/>
                      <w14:textFill>
                        <w14:solidFill>
                          <w14:schemeClr w14:val="tx1"/>
                        </w14:solidFill>
                      </w14:textFill>
                    </w:rPr>
                    <w:t>50</w:t>
                  </w:r>
                </w:p>
              </w:tc>
              <w:tc>
                <w:tcPr>
                  <w:tcW w:w="147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both"/>
                    <w:textAlignment w:val="auto"/>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highlight w:val="none"/>
                      <w:u w:val="none"/>
                      <w:vertAlign w:val="baseline"/>
                      <w:lang w:val="en-US" w:eastAsia="zh-CN"/>
                      <w14:textFill>
                        <w14:solidFill>
                          <w14:schemeClr w14:val="tx1"/>
                        </w14:solidFill>
                      </w14:textFill>
                    </w:rPr>
                    <w:t>注：项目包装袋规格型号分为200g、1kg、10kg、20kg，根据客户不同需求进行包装。</w:t>
                  </w:r>
                </w:p>
              </w:tc>
            </w:tr>
          </w:tbl>
          <w:p>
            <w:pPr>
              <w:pStyle w:val="2"/>
              <w:rPr>
                <w:rFonts w:hint="eastAsia"/>
                <w:color w:val="000000" w:themeColor="text1"/>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460" w:lineRule="exact"/>
              <w:jc w:val="left"/>
              <w:textAlignment w:val="auto"/>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none"/>
                <w:lang w:val="en-US" w:eastAsia="zh-CN"/>
                <w14:textFill>
                  <w14:solidFill>
                    <w14:schemeClr w14:val="tx1"/>
                  </w14:solidFill>
                </w14:textFill>
              </w:rPr>
              <w:t>4、河南素兴生物科技有限公司香菇、木耳等菌类深加工项目原辅材料</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表2-</w:t>
            </w:r>
            <w:r>
              <w:rPr>
                <w:rFonts w:hint="eastAsia" w:cs="Times New Roman"/>
                <w:b/>
                <w:bCs/>
                <w:color w:val="000000" w:themeColor="text1"/>
                <w:szCs w:val="21"/>
                <w:u w:val="none"/>
                <w:lang w:val="en-US" w:eastAsia="zh-CN"/>
                <w14:textFill>
                  <w14:solidFill>
                    <w14:schemeClr w14:val="tx1"/>
                  </w14:solidFill>
                </w14:textFill>
              </w:rPr>
              <w:t>10</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 xml:space="preserve">  河南素兴生物科技有限公司香菇、木耳等菌类深加工项目原辅材料情况一览表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0"/>
              <w:gridCol w:w="426"/>
              <w:gridCol w:w="1478"/>
              <w:gridCol w:w="1282"/>
              <w:gridCol w:w="45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序号</w:t>
                  </w:r>
                </w:p>
              </w:tc>
              <w:tc>
                <w:tcPr>
                  <w:tcW w:w="1136"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名称</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用量</w:t>
                  </w:r>
                </w:p>
              </w:tc>
              <w:tc>
                <w:tcPr>
                  <w:tcW w:w="26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w:t>
                  </w:r>
                </w:p>
              </w:tc>
              <w:tc>
                <w:tcPr>
                  <w:tcW w:w="25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原辅材料</w:t>
                  </w: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香菇</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190.06t/a</w:t>
                  </w:r>
                </w:p>
              </w:tc>
              <w:tc>
                <w:tcPr>
                  <w:tcW w:w="268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外购，用于生产香菇提取物、木耳及猴头菇等其他菌类提取物，所购原料均已清洗，且为干制原料。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w:t>
                  </w:r>
                </w:p>
              </w:tc>
              <w:tc>
                <w:tcPr>
                  <w:tcW w:w="2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木耳及猴头菇等其他菌类</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60.059t/a</w:t>
                  </w:r>
                </w:p>
              </w:tc>
              <w:tc>
                <w:tcPr>
                  <w:tcW w:w="268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3</w:t>
                  </w:r>
                </w:p>
              </w:tc>
              <w:tc>
                <w:tcPr>
                  <w:tcW w:w="2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包装袋</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20t/a</w:t>
                  </w:r>
                </w:p>
              </w:tc>
              <w:tc>
                <w:tcPr>
                  <w:tcW w:w="26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外购，用于产品打包工段，</w:t>
                  </w:r>
                  <w:bookmarkStart w:id="3" w:name="OLE_LINK12"/>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包装袋规格型号分为200g、1kg、10kg、20kg。</w:t>
                  </w:r>
                  <w:bookmarkEnd w:id="3"/>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4</w:t>
                  </w:r>
                </w:p>
              </w:tc>
              <w:tc>
                <w:tcPr>
                  <w:tcW w:w="25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能源消耗</w:t>
                  </w: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水</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2600.28m</w:t>
                  </w:r>
                  <w:r>
                    <w:rPr>
                      <w:rFonts w:hint="eastAsia" w:ascii="Times New Roman" w:hAnsi="Times New Roman" w:eastAsia="宋体" w:cs="Times New Roman"/>
                      <w:color w:val="000000" w:themeColor="text1"/>
                      <w:spacing w:val="0"/>
                      <w:kern w:val="0"/>
                      <w:sz w:val="21"/>
                      <w:szCs w:val="21"/>
                      <w:u w:val="none"/>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/a</w:t>
                  </w:r>
                </w:p>
              </w:tc>
              <w:tc>
                <w:tcPr>
                  <w:tcW w:w="26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依托河南吉尔木食品有限公司厂区现有自备水井。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5</w:t>
                  </w:r>
                </w:p>
              </w:tc>
              <w:tc>
                <w:tcPr>
                  <w:tcW w:w="2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电</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10万kw</w:t>
                  </w:r>
                  <w:r>
                    <w:rPr>
                      <w:rFonts w:hint="eastAsia" w:ascii="宋体" w:hAnsi="宋体" w:eastAsia="宋体" w:cs="宋体"/>
                      <w:color w:val="000000" w:themeColor="text1"/>
                      <w:spacing w:val="0"/>
                      <w:kern w:val="0"/>
                      <w:sz w:val="21"/>
                      <w:szCs w:val="21"/>
                      <w:u w:val="none"/>
                      <w:vertAlign w:val="baseline"/>
                      <w:lang w:val="en-US" w:eastAsia="zh-CN"/>
                      <w14:textFill>
                        <w14:solidFill>
                          <w14:schemeClr w14:val="tx1"/>
                        </w14:solidFill>
                      </w14:textFill>
                    </w:rPr>
                    <w:t>·</w:t>
                  </w: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h/a</w:t>
                  </w:r>
                </w:p>
              </w:tc>
              <w:tc>
                <w:tcPr>
                  <w:tcW w:w="26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由当地供电所供给，用于设备生产过程中耗能。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t>6</w:t>
                  </w:r>
                </w:p>
              </w:tc>
              <w:tc>
                <w:tcPr>
                  <w:tcW w:w="2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val="0"/>
                      <w:bCs w:val="0"/>
                      <w:color w:val="000000" w:themeColor="text1"/>
                      <w:spacing w:val="0"/>
                      <w:kern w:val="0"/>
                      <w:sz w:val="21"/>
                      <w:szCs w:val="21"/>
                      <w:u w:val="none"/>
                      <w:vertAlign w:val="baseline"/>
                      <w:lang w:val="en-US" w:eastAsia="zh-CN" w:bidi="ar-SA"/>
                      <w14:textFill>
                        <w14:solidFill>
                          <w14:schemeClr w14:val="tx1"/>
                        </w14:solidFill>
                      </w14:textFill>
                    </w:rPr>
                  </w:pPr>
                </w:p>
              </w:tc>
              <w:tc>
                <w:tcPr>
                  <w:tcW w:w="88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val="0"/>
                      <w:bCs w:val="0"/>
                      <w:color w:val="000000" w:themeColor="text1"/>
                      <w:spacing w:val="0"/>
                      <w:kern w:val="0"/>
                      <w:sz w:val="21"/>
                      <w:szCs w:val="21"/>
                      <w:highlight w:val="none"/>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bidi="ar-SA"/>
                      <w14:textFill>
                        <w14:solidFill>
                          <w14:schemeClr w14:val="tx1"/>
                        </w14:solidFill>
                      </w14:textFill>
                    </w:rPr>
                    <w:t>天然气</w:t>
                  </w:r>
                </w:p>
              </w:tc>
              <w:tc>
                <w:tcPr>
                  <w:tcW w:w="76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864m</w:t>
                  </w:r>
                  <w:r>
                    <w:rPr>
                      <w:rFonts w:hint="eastAsia" w:ascii="Times New Roman" w:hAnsi="Times New Roman" w:eastAsia="宋体" w:cs="Times New Roman"/>
                      <w:b w:val="0"/>
                      <w:bCs w:val="0"/>
                      <w:color w:val="000000" w:themeColor="text1"/>
                      <w:spacing w:val="0"/>
                      <w:kern w:val="0"/>
                      <w:sz w:val="21"/>
                      <w:szCs w:val="21"/>
                      <w:highlight w:val="none"/>
                      <w:u w:val="none"/>
                      <w:vertAlign w:val="superscript"/>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u w:val="none"/>
                      <w:vertAlign w:val="baseline"/>
                      <w:lang w:val="en-US" w:eastAsia="zh-CN"/>
                      <w14:textFill>
                        <w14:solidFill>
                          <w14:schemeClr w14:val="tx1"/>
                        </w14:solidFill>
                      </w14:textFill>
                    </w:rPr>
                    <w:t>/a</w:t>
                  </w:r>
                </w:p>
              </w:tc>
              <w:tc>
                <w:tcPr>
                  <w:tcW w:w="268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val="0"/>
                      <w:bCs w:val="0"/>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u w:val="none"/>
                      <w:vertAlign w:val="baseline"/>
                      <w:lang w:val="en-US" w:eastAsia="zh-CN"/>
                      <w14:textFill>
                        <w14:solidFill>
                          <w14:schemeClr w14:val="tx1"/>
                        </w14:solidFill>
                      </w14:textFill>
                    </w:rPr>
                    <w:t>外购，为液化天然气，用于锅炉房给提取、浓缩工段供热过程中耗能。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5"/>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both"/>
                    <w:textAlignment w:val="auto"/>
                    <w:rPr>
                      <w:rFonts w:hint="default" w:ascii="Times New Roman" w:hAnsi="Times New Roman" w:eastAsia="宋体" w:cs="Times New Roman"/>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注：经查阅相关资料，2吨锅炉天然气燃烧量为150m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/h，则项目天然气用量约为54万m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/a，根据相关资料，气化天然气与液化天然气体积比例为1：625，则液化天然气用量为864m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/a。</w:t>
                  </w:r>
                </w:p>
              </w:tc>
            </w:tr>
          </w:tbl>
          <w:p>
            <w:pPr>
              <w:keepNext w:val="0"/>
              <w:keepLines w:val="0"/>
              <w:pageBreakBefore w:val="0"/>
              <w:widowControl w:val="0"/>
              <w:kinsoku/>
              <w:wordWrap/>
              <w:overflowPunct/>
              <w:topLinePunct w:val="0"/>
              <w:autoSpaceDE/>
              <w:autoSpaceDN/>
              <w:bidi w:val="0"/>
              <w:adjustRightInd w:val="0"/>
              <w:snapToGrid w:val="0"/>
              <w:spacing w:line="460" w:lineRule="exact"/>
              <w:jc w:val="left"/>
              <w:textAlignment w:val="auto"/>
              <w:rPr>
                <w:rFonts w:hint="default" w:ascii="Times New Roman" w:hAnsi="Times New Roman" w:eastAsia="宋体"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t>5、河南素兴生物科技有限公司香菇、木耳等菌类深加工项目设备清单</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宋体" w:cs="Times New Roman"/>
                <w:b/>
                <w:bCs/>
                <w:color w:val="000000" w:themeColor="text1"/>
                <w:szCs w:val="21"/>
                <w:u w:val="none"/>
                <w:lang w:val="en-US" w:eastAsia="zh-CN"/>
                <w14:textFill>
                  <w14:solidFill>
                    <w14:schemeClr w14:val="tx1"/>
                  </w14:solidFill>
                </w14:textFill>
              </w:rPr>
            </w:pP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表2-1</w:t>
            </w:r>
            <w:r>
              <w:rPr>
                <w:rFonts w:hint="eastAsia" w:cs="Times New Roman"/>
                <w:b/>
                <w:bCs/>
                <w:color w:val="000000" w:themeColor="text1"/>
                <w:szCs w:val="21"/>
                <w:u w:val="none"/>
                <w:lang w:val="en-US" w:eastAsia="zh-CN"/>
                <w14:textFill>
                  <w14:solidFill>
                    <w14:schemeClr w14:val="tx1"/>
                  </w14:solidFill>
                </w14:textFill>
              </w:rPr>
              <w:t>1</w:t>
            </w:r>
            <w:r>
              <w:rPr>
                <w:rFonts w:hint="eastAsia" w:ascii="Times New Roman" w:hAnsi="Times New Roman" w:eastAsia="宋体" w:cs="Times New Roman"/>
                <w:b/>
                <w:bCs/>
                <w:color w:val="000000" w:themeColor="text1"/>
                <w:szCs w:val="21"/>
                <w:u w:val="none"/>
                <w:lang w:val="en-US" w:eastAsia="zh-CN"/>
                <w14:textFill>
                  <w14:solidFill>
                    <w14:schemeClr w14:val="tx1"/>
                  </w14:solidFill>
                </w14:textFill>
              </w:rPr>
              <w:t xml:space="preserve">  主要生产设备一览表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2"/>
              <w:gridCol w:w="1600"/>
              <w:gridCol w:w="1773"/>
              <w:gridCol w:w="826"/>
              <w:gridCol w:w="34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序号</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设备名称</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规格型号</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数量</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逆流提取设备</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直径0.5m，长25m</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用于香菇提取物提取工段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多功能提取罐</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6吨</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用于木耳及猴头菇等其他菌类提取物提取工段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3</w:t>
                  </w:r>
                </w:p>
              </w:tc>
              <w:tc>
                <w:tcPr>
                  <w:tcW w:w="95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储液罐</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5吨</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6台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菌类提取后用于提取液暂存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95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1吨</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2台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提取液过滤后用于保温储存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4</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膜浓缩设备</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1000L</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2台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用于浓缩工段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5</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喷雾干燥塔</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300型</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用于干燥工段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6</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板框过滤器</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用于提取后提取液过滤工段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7</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封包机</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GK9-350型</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2台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用于产品打包封装工段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8</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冷凝器</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3台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用于水蒸汽冷却工段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9</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锅炉</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2吨</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用于供热设施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10</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天然气罐</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20m</w:t>
                  </w:r>
                  <w:r>
                    <w:rPr>
                      <w:rFonts w:hint="eastAsia"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用于天然气储存，单次充气量约占罐体容积为80%，约5天补充一次。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11</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污水处理站</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10m</w:t>
                  </w:r>
                  <w:r>
                    <w:rPr>
                      <w:rFonts w:hint="eastAsia" w:ascii="Times New Roman" w:hAnsi="Times New Roman" w:eastAsia="宋体" w:cs="Times New Roman"/>
                      <w:color w:val="000000" w:themeColor="text1"/>
                      <w:spacing w:val="0"/>
                      <w:kern w:val="0"/>
                      <w:sz w:val="21"/>
                      <w:szCs w:val="21"/>
                      <w:u w:val="none"/>
                      <w:vertAlign w:val="superscript"/>
                      <w:lang w:val="en-US" w:eastAsia="zh-CN" w:bidi="ar-SA"/>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/d</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1台</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用于厂区废水处理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12</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事故池</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cs="Times New Roman"/>
                      <w:color w:val="000000" w:themeColor="text1"/>
                      <w:spacing w:val="0"/>
                      <w:kern w:val="0"/>
                      <w:sz w:val="21"/>
                      <w:szCs w:val="21"/>
                      <w:u w:val="none"/>
                      <w:vertAlign w:val="baseline"/>
                      <w:lang w:val="en-US" w:eastAsia="zh-CN" w:bidi="ar-SA"/>
                      <w14:textFill>
                        <w14:solidFill>
                          <w14:schemeClr w14:val="tx1"/>
                        </w14:solidFill>
                      </w14:textFill>
                    </w:rPr>
                    <w:t>230</w:t>
                  </w: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m</w:t>
                  </w:r>
                  <w:r>
                    <w:rPr>
                      <w:rFonts w:hint="eastAsia" w:ascii="Times New Roman" w:hAnsi="Times New Roman" w:eastAsia="宋体" w:cs="Times New Roman"/>
                      <w:color w:val="000000" w:themeColor="text1"/>
                      <w:spacing w:val="0"/>
                      <w:kern w:val="0"/>
                      <w:sz w:val="21"/>
                      <w:szCs w:val="21"/>
                      <w:u w:val="none"/>
                      <w:vertAlign w:val="superscript"/>
                      <w:lang w:val="en-US" w:eastAsia="zh-CN" w:bidi="ar-SA"/>
                      <w14:textFill>
                        <w14:solidFill>
                          <w14:schemeClr w14:val="tx1"/>
                        </w14:solidFill>
                      </w14:textFill>
                    </w:rPr>
                    <w:t>3</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1座</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污水处理站配套设施，用于事故状态下，事故废水收集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13</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调节池</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10m</w:t>
                  </w:r>
                  <w:r>
                    <w:rPr>
                      <w:rFonts w:hint="eastAsia" w:ascii="Times New Roman" w:hAnsi="Times New Roman" w:eastAsia="宋体" w:cs="Times New Roman"/>
                      <w:color w:val="000000" w:themeColor="text1"/>
                      <w:spacing w:val="0"/>
                      <w:kern w:val="0"/>
                      <w:sz w:val="21"/>
                      <w:szCs w:val="21"/>
                      <w:u w:val="none"/>
                      <w:vertAlign w:val="superscript"/>
                      <w:lang w:val="en-US" w:eastAsia="zh-CN" w:bidi="ar-SA"/>
                      <w14:textFill>
                        <w14:solidFill>
                          <w14:schemeClr w14:val="tx1"/>
                        </w14:solidFill>
                      </w14:textFill>
                    </w:rPr>
                    <w:t>3</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1座</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污水处理站配套设施，用于废水处理前收集暂存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14</w:t>
                  </w:r>
                </w:p>
              </w:tc>
              <w:tc>
                <w:tcPr>
                  <w:tcW w:w="95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清水池</w:t>
                  </w:r>
                </w:p>
              </w:tc>
              <w:tc>
                <w:tcPr>
                  <w:tcW w:w="105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bidi="ar-SA"/>
                      <w14:textFill>
                        <w14:solidFill>
                          <w14:schemeClr w14:val="tx1"/>
                        </w14:solidFill>
                      </w14:textFill>
                    </w:rPr>
                    <w:t>20m</w:t>
                  </w:r>
                  <w:r>
                    <w:rPr>
                      <w:rFonts w:hint="eastAsia" w:ascii="Times New Roman" w:hAnsi="Times New Roman" w:eastAsia="宋体" w:cs="Times New Roman"/>
                      <w:color w:val="000000" w:themeColor="text1"/>
                      <w:spacing w:val="0"/>
                      <w:kern w:val="0"/>
                      <w:sz w:val="21"/>
                      <w:szCs w:val="21"/>
                      <w:u w:val="none"/>
                      <w:vertAlign w:val="superscript"/>
                      <w:lang w:val="en-US" w:eastAsia="zh-CN" w:bidi="ar-SA"/>
                      <w14:textFill>
                        <w14:solidFill>
                          <w14:schemeClr w14:val="tx1"/>
                        </w14:solidFill>
                      </w14:textFill>
                    </w:rPr>
                    <w:t>3</w:t>
                  </w:r>
                </w:p>
              </w:tc>
              <w:tc>
                <w:tcPr>
                  <w:tcW w:w="49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1座</w:t>
                  </w:r>
                </w:p>
              </w:tc>
              <w:tc>
                <w:tcPr>
                  <w:tcW w:w="204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u w:val="none"/>
                      <w:vertAlign w:val="baseline"/>
                      <w:lang w:val="en-US" w:eastAsia="zh-CN"/>
                      <w14:textFill>
                        <w14:solidFill>
                          <w14:schemeClr w14:val="tx1"/>
                        </w14:solidFill>
                      </w14:textFill>
                    </w:rPr>
                    <w:t>用于雨天等特殊情况下废水处理后收集暂存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5"/>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both"/>
                    <w:textAlignment w:val="auto"/>
                    <w:rPr>
                      <w:rFonts w:hint="default"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注：本项目液化天然气用量为864m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/a，约5天补充一次，年补充气量约60次，单次充气量约14.4m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，单次充气量约占罐体容积的80%，因此项目设置天然气罐20m</w:t>
                  </w:r>
                  <w:r>
                    <w:rPr>
                      <w:rFonts w:hint="eastAsia" w:ascii="Times New Roman" w:hAnsi="Times New Roman" w:eastAsia="宋体" w:cs="Times New Roman"/>
                      <w:color w:val="000000" w:themeColor="text1"/>
                      <w:spacing w:val="0"/>
                      <w:kern w:val="0"/>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pacing w:val="0"/>
                      <w:kern w:val="0"/>
                      <w:sz w:val="21"/>
                      <w:szCs w:val="21"/>
                      <w:vertAlign w:val="baseline"/>
                      <w:lang w:val="en-US" w:eastAsia="zh-CN"/>
                      <w14:textFill>
                        <w14:solidFill>
                          <w14:schemeClr w14:val="tx1"/>
                        </w14:solidFill>
                      </w14:textFill>
                    </w:rPr>
                    <w:t>满足需求。</w:t>
                  </w:r>
                </w:p>
              </w:tc>
            </w:tr>
          </w:tbl>
          <w:p>
            <w:pPr>
              <w:keepNext w:val="0"/>
              <w:keepLines w:val="0"/>
              <w:pageBreakBefore w:val="0"/>
              <w:widowControl w:val="0"/>
              <w:kinsoku/>
              <w:wordWrap/>
              <w:overflowPunct/>
              <w:topLinePunct w:val="0"/>
              <w:autoSpaceDE/>
              <w:autoSpaceDN/>
              <w:bidi w:val="0"/>
              <w:adjustRightInd w:val="0"/>
              <w:snapToGrid w:val="0"/>
              <w:spacing w:line="460" w:lineRule="exact"/>
              <w:jc w:val="left"/>
              <w:textAlignment w:val="auto"/>
              <w:rPr>
                <w:rFonts w:hint="default" w:ascii="Times New Roman" w:hAnsi="Times New Roman" w:eastAsia="宋体" w:cs="Times New Roman"/>
                <w:b/>
                <w:bCs w:val="0"/>
                <w:color w:val="000000" w:themeColor="text1"/>
                <w:sz w:val="24"/>
                <w:szCs w:val="24"/>
                <w:u w:val="no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t>6、河南素兴生物科技有限公司香菇、木耳等菌类深加工项目产排污及治理措施情况：</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①废气</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提取及浓缩过程产生的植物气味采用车间通排风+密闭设备进行治理后排放。锅炉加热过程中产生的废气采用低氮燃烧器处理后，由1根15m高排气筒排放。喷雾及干燥工序产生的废气采用冷凝器+袋式除尘器处理后，由1根15m高排气筒排放。污水处理站废气采用周边设置绿化带，定期投加除臭剂，无组织排放。</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②废水</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浸泡、蒸煮、浓缩过程冷凝定排水定期排入厂区污水处理站处理后，用于厂区洒水抑尘或绿化。设备清洗废水经收集后排入厂区污水处理站处理后，用于厂区洒水抑尘或绿化。生活污水依托河南吉尔木食品有限公司现有化粪池处理后，定期清掏肥田。</w:t>
            </w:r>
            <w:r>
              <w:rPr>
                <w:rFonts w:hint="eastAsia" w:cs="Times New Roman"/>
                <w:b w:val="0"/>
                <w:bCs/>
                <w:color w:val="000000" w:themeColor="text1"/>
                <w:sz w:val="24"/>
                <w:szCs w:val="24"/>
                <w:u w:val="none"/>
                <w:lang w:val="en-US" w:eastAsia="zh-CN"/>
                <w14:textFill>
                  <w14:solidFill>
                    <w14:schemeClr w14:val="tx1"/>
                  </w14:solidFill>
                </w14:textFill>
              </w:rPr>
              <w:t>锅炉软水制备排污水</w:t>
            </w: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经收集后，用于车间洒水抑尘或绿化。</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③噪声</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车间采用厂房隔声、基础减振等措施减少噪声影响。</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④固体废物</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default" w:ascii="Times New Roman" w:hAnsi="Times New Roman" w:cs="Times New Roman"/>
                <w:b w:val="0"/>
                <w:bCs/>
                <w:color w:val="000000" w:themeColor="text1"/>
                <w:sz w:val="24"/>
                <w:szCs w:val="24"/>
                <w:u w:val="none"/>
                <w14:textFill>
                  <w14:solidFill>
                    <w14:schemeClr w14:val="tx1"/>
                  </w14:solidFill>
                </w14:textFill>
              </w:rPr>
            </w:pP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提取、过滤过程产生的香菇、木耳及猴头菇等其他菌类残渣经密闭桶装收集后暂存于一般固废暂存间（1座，5m</w:t>
            </w:r>
            <w:r>
              <w:rPr>
                <w:rFonts w:hint="eastAsia" w:ascii="Times New Roman" w:hAnsi="Times New Roman" w:cs="Times New Roman"/>
                <w:b w:val="0"/>
                <w:bCs/>
                <w:color w:val="000000" w:themeColor="text1"/>
                <w:sz w:val="24"/>
                <w:szCs w:val="24"/>
                <w:u w:val="none"/>
                <w:vertAlign w:val="superscript"/>
                <w:lang w:val="en-US" w:eastAsia="zh-CN"/>
                <w14:textFill>
                  <w14:solidFill>
                    <w14:schemeClr w14:val="tx1"/>
                  </w14:solidFill>
                </w14:textFill>
              </w:rPr>
              <w:t>2</w:t>
            </w: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），日产日清，直接外售。除尘器收集尘经收集后直接作为产品。废离子交换树脂由厂家更换直接带走。污泥经密闭桶收集后由周围村民拉走，作为肥料处置。废包装材料经收集后暂存于一般固废暂存间（1座5m</w:t>
            </w:r>
            <w:r>
              <w:rPr>
                <w:rFonts w:hint="eastAsia" w:ascii="Times New Roman" w:hAnsi="Times New Roman" w:cs="Times New Roman"/>
                <w:b w:val="0"/>
                <w:bCs/>
                <w:color w:val="000000" w:themeColor="text1"/>
                <w:sz w:val="24"/>
                <w:szCs w:val="24"/>
                <w:u w:val="none"/>
                <w:vertAlign w:val="superscript"/>
                <w:lang w:val="en-US" w:eastAsia="zh-CN"/>
                <w14:textFill>
                  <w14:solidFill>
                    <w14:schemeClr w14:val="tx1"/>
                  </w14:solidFill>
                </w14:textFill>
              </w:rPr>
              <w:t>2</w:t>
            </w:r>
            <w:r>
              <w:rPr>
                <w:rFonts w:hint="eastAsia" w:ascii="Times New Roman" w:hAnsi="Times New Roman" w:cs="Times New Roman"/>
                <w:b w:val="0"/>
                <w:bCs/>
                <w:color w:val="000000" w:themeColor="text1"/>
                <w:sz w:val="24"/>
                <w:szCs w:val="24"/>
                <w:u w:val="none"/>
                <w:lang w:val="en-US" w:eastAsia="zh-CN"/>
                <w14:textFill>
                  <w14:solidFill>
                    <w14:schemeClr w14:val="tx1"/>
                  </w14:solidFill>
                </w14:textFill>
              </w:rPr>
              <w:t>），定期外售。职工生活垃圾经垃圾桶收集后定期交由环卫部门统一清运处置。</w:t>
            </w:r>
          </w:p>
          <w:p>
            <w:pPr>
              <w:keepNext w:val="0"/>
              <w:keepLines w:val="0"/>
              <w:pageBreakBefore w:val="0"/>
              <w:widowControl w:val="0"/>
              <w:kinsoku/>
              <w:wordWrap/>
              <w:overflowPunct/>
              <w:topLinePunct w:val="0"/>
              <w:autoSpaceDE/>
              <w:autoSpaceDN/>
              <w:bidi w:val="0"/>
              <w:adjustRightInd w:val="0"/>
              <w:snapToGrid w:val="0"/>
              <w:spacing w:line="460" w:lineRule="exact"/>
              <w:textAlignment w:val="auto"/>
              <w:rPr>
                <w:rFonts w:hint="default" w:ascii="Times New Roman" w:hAnsi="Times New Roman" w:eastAsia="宋体" w:cs="Times New Roman"/>
                <w:b/>
                <w:bCs/>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t>7、河南素兴生物科技有限公司香菇、木耳等菌类深加工项目</w:t>
            </w:r>
            <w:r>
              <w:rPr>
                <w:rFonts w:hint="eastAsia" w:ascii="Times New Roman" w:hAnsi="Times New Roman" w:eastAsia="宋体" w:cs="Times New Roman"/>
                <w:b/>
                <w:bCs/>
                <w:color w:val="000000" w:themeColor="text1"/>
                <w:kern w:val="0"/>
                <w:sz w:val="24"/>
                <w:szCs w:val="24"/>
                <w:vertAlign w:val="baseline"/>
                <w:lang w:val="en-US" w:eastAsia="zh-CN"/>
                <w14:textFill>
                  <w14:solidFill>
                    <w14:schemeClr w14:val="tx1"/>
                  </w14:solidFill>
                </w14:textFill>
              </w:rPr>
              <w:t>总量控制</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（1）废气总量控制</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本项目运营期废气主要为提取及浓缩过程产生的植物气味、锅炉加热过程中产生的废气、喷雾及干燥工序产生的废气、污水处理站恶臭。</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提取及浓缩过程产生的植物气味采用车间通排风+密闭设备处理；锅炉加热过程中所用燃料为天然气，主要污染因子为颗粒物、SO</w:t>
            </w:r>
            <w:r>
              <w:rPr>
                <w:rFonts w:hint="eastAsia" w:ascii="Times New Roman" w:hAnsi="Times New Roman" w:eastAsia="宋体" w:cs="Times New Roman"/>
                <w:color w:val="000000" w:themeColor="text1"/>
                <w:kern w:val="0"/>
                <w:sz w:val="24"/>
                <w:szCs w:val="24"/>
                <w:vertAlign w:val="subscript"/>
                <w:lang w:val="en-US" w:eastAsia="zh-CN"/>
                <w14:textFill>
                  <w14:solidFill>
                    <w14:schemeClr w14:val="tx1"/>
                  </w14:solidFill>
                </w14:textFill>
              </w:rPr>
              <w:t>2</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、NOx，采用低氮燃烧器治理后，由1根15m高排气筒排放；喷雾及干燥工序产生的颗粒物采用冷凝器+袋式除尘器+15m高排气筒处理后排放；污水处理站恶臭采用周边设置绿化带，定期投加除臭剂进行处理。</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因此，本项目设置废气总量控制指标为：颗粒物0.281t/a、SO</w:t>
            </w:r>
            <w:r>
              <w:rPr>
                <w:rFonts w:hint="eastAsia" w:ascii="Times New Roman" w:hAnsi="Times New Roman" w:eastAsia="宋体" w:cs="Times New Roman"/>
                <w:color w:val="000000" w:themeColor="text1"/>
                <w:kern w:val="0"/>
                <w:sz w:val="24"/>
                <w:szCs w:val="24"/>
                <w:vertAlign w:val="subscript"/>
                <w:lang w:val="en-US" w:eastAsia="zh-CN"/>
                <w14:textFill>
                  <w14:solidFill>
                    <w14:schemeClr w14:val="tx1"/>
                  </w14:solidFill>
                </w14:textFill>
              </w:rPr>
              <w:t>2</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 xml:space="preserve"> 0.324t/a、NOx 0.972t/a。</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（2）废水总量控制</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本项目运营期废水主要为浸泡、蒸煮、浓缩过程冷凝定排水、设备清洗废水、</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、职工生活污水。</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浸泡、蒸煮、浓缩过程冷凝定排水定期排入厂区污水处理站处理后，用于厂区洒水抑尘或绿化；设备清洗废水经收集后排入污水处理站，用于厂区洒水抑尘或绿化；</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经收集后用于厂区洒水抑尘或绿化；职工生活污水依托河南吉尔木食品有限公司现有化粪池收集后，定期清掏肥田，综合利用。</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因此，本项目运营期废水均不外排，不设置废水总量控制指标。</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综上所述，本项目总量控制指标为颗粒物0.281t/a、SO</w:t>
            </w:r>
            <w:r>
              <w:rPr>
                <w:rFonts w:hint="eastAsia" w:ascii="Times New Roman" w:hAnsi="Times New Roman" w:eastAsia="宋体" w:cs="Times New Roman"/>
                <w:color w:val="000000" w:themeColor="text1"/>
                <w:kern w:val="0"/>
                <w:sz w:val="24"/>
                <w:szCs w:val="24"/>
                <w:vertAlign w:val="subscript"/>
                <w:lang w:val="en-US" w:eastAsia="zh-CN"/>
                <w14:textFill>
                  <w14:solidFill>
                    <w14:schemeClr w14:val="tx1"/>
                  </w14:solidFill>
                </w14:textFill>
              </w:rPr>
              <w:t>2</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 xml:space="preserve"> 0.324t/a、NOx 0.972t/a</w:t>
            </w:r>
            <w:r>
              <w:rPr>
                <w:rFonts w:hint="eastAsia" w:cs="Times New Roman"/>
                <w:color w:val="000000" w:themeColor="text1"/>
                <w:kern w:val="0"/>
                <w:sz w:val="24"/>
                <w:szCs w:val="24"/>
                <w:vertAlign w:val="baseline"/>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460" w:lineRule="exact"/>
              <w:textAlignment w:val="auto"/>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none"/>
                <w:lang w:val="en-US" w:eastAsia="zh-CN"/>
                <w14:textFill>
                  <w14:solidFill>
                    <w14:schemeClr w14:val="tx1"/>
                  </w14:solidFill>
                </w14:textFill>
              </w:rPr>
              <w:t>8、</w:t>
            </w:r>
            <w:r>
              <w:rPr>
                <w:rFonts w:hint="eastAsia" w:ascii="Times New Roman" w:hAnsi="Times New Roman" w:eastAsia="宋体" w:cs="Times New Roman"/>
                <w:b/>
                <w:bCs w:val="0"/>
                <w:color w:val="000000" w:themeColor="text1"/>
                <w:sz w:val="24"/>
                <w:szCs w:val="24"/>
                <w:u w:val="none"/>
                <w:lang w:val="en-US" w:eastAsia="zh-CN"/>
                <w14:textFill>
                  <w14:solidFill>
                    <w14:schemeClr w14:val="tx1"/>
                  </w14:solidFill>
                </w14:textFill>
              </w:rPr>
              <w:t>现有工程存在的环保问题及整改措施</w:t>
            </w:r>
          </w:p>
          <w:p>
            <w:pPr>
              <w:spacing w:line="360" w:lineRule="auto"/>
              <w:ind w:firstLine="480" w:firstLineChars="200"/>
              <w:rPr>
                <w:rFonts w:eastAsia="宋体"/>
                <w:color w:val="000000" w:themeColor="text1"/>
                <w:sz w:val="24"/>
                <w14:textFill>
                  <w14:solidFill>
                    <w14:schemeClr w14:val="tx1"/>
                  </w14:solidFill>
                </w14:textFill>
              </w:rPr>
            </w:pPr>
            <w:r>
              <w:rPr>
                <w:rFonts w:eastAsia="宋体"/>
                <w:color w:val="000000" w:themeColor="text1"/>
                <w:sz w:val="24"/>
                <w14:textFill>
                  <w14:solidFill>
                    <w14:schemeClr w14:val="tx1"/>
                  </w14:solidFill>
                </w14:textFill>
              </w:rPr>
              <w:t>根据现场调查，本项目已建设施现存的环保问题及整改建议见表</w:t>
            </w:r>
            <w:r>
              <w:rPr>
                <w:rFonts w:hint="eastAsia" w:eastAsia="宋体"/>
                <w:color w:val="000000" w:themeColor="text1"/>
                <w:sz w:val="24"/>
                <w:lang w:val="en-US" w:eastAsia="zh-CN"/>
                <w14:textFill>
                  <w14:solidFill>
                    <w14:schemeClr w14:val="tx1"/>
                  </w14:solidFill>
                </w14:textFill>
              </w:rPr>
              <w:t>2-12</w:t>
            </w:r>
            <w:r>
              <w:rPr>
                <w:rFonts w:eastAsia="宋体"/>
                <w:color w:val="000000" w:themeColor="text1"/>
                <w:sz w:val="24"/>
                <w14:textFill>
                  <w14:solidFill>
                    <w14:schemeClr w14:val="tx1"/>
                  </w14:solidFill>
                </w14:textFill>
              </w:rPr>
              <w:t>。</w:t>
            </w:r>
          </w:p>
          <w:p>
            <w:pPr>
              <w:adjustRightInd w:val="0"/>
              <w:snapToGrid w:val="0"/>
              <w:spacing w:line="480" w:lineRule="exact"/>
              <w:jc w:val="center"/>
              <w:textAlignment w:val="baseline"/>
              <w:rPr>
                <w:rFonts w:eastAsia="宋体"/>
                <w:b/>
                <w:bCs/>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表</w:t>
            </w:r>
            <w:r>
              <w:rPr>
                <w:rFonts w:hint="eastAsia" w:eastAsia="宋体"/>
                <w:b/>
                <w:bCs/>
                <w:color w:val="000000" w:themeColor="text1"/>
                <w:sz w:val="24"/>
                <w:lang w:val="en-US" w:eastAsia="zh-CN"/>
                <w14:textFill>
                  <w14:solidFill>
                    <w14:schemeClr w14:val="tx1"/>
                  </w14:solidFill>
                </w14:textFill>
              </w:rPr>
              <w:t>2-12</w:t>
            </w:r>
            <w:r>
              <w:rPr>
                <w:rFonts w:eastAsia="宋体"/>
                <w:b/>
                <w:bCs/>
                <w:color w:val="000000" w:themeColor="text1"/>
                <w:sz w:val="24"/>
                <w14:textFill>
                  <w14:solidFill>
                    <w14:schemeClr w14:val="tx1"/>
                  </w14:solidFill>
                </w14:textFill>
              </w:rPr>
              <w:t xml:space="preserve">  本项目存在的环保问题及整改措施</w:t>
            </w:r>
          </w:p>
          <w:tbl>
            <w:tblPr>
              <w:tblStyle w:val="2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1"/>
              <w:gridCol w:w="3288"/>
              <w:gridCol w:w="42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0" w:hRule="atLeast"/>
              </w:trPr>
              <w:tc>
                <w:tcPr>
                  <w:tcW w:w="841" w:type="dxa"/>
                  <w:noWrap w:val="0"/>
                  <w:vAlign w:val="center"/>
                </w:tcPr>
                <w:p>
                  <w:pPr>
                    <w:adjustRightInd w:val="0"/>
                    <w:snapToGrid w:val="0"/>
                    <w:jc w:val="center"/>
                    <w:rPr>
                      <w:rFonts w:eastAsia="宋体"/>
                      <w:b/>
                      <w:bCs/>
                      <w:color w:val="000000" w:themeColor="text1"/>
                      <w:szCs w:val="21"/>
                      <w14:textFill>
                        <w14:solidFill>
                          <w14:schemeClr w14:val="tx1"/>
                        </w14:solidFill>
                      </w14:textFill>
                    </w:rPr>
                  </w:pPr>
                  <w:r>
                    <w:rPr>
                      <w:rFonts w:eastAsia="宋体"/>
                      <w:b/>
                      <w:bCs/>
                      <w:color w:val="000000" w:themeColor="text1"/>
                      <w:szCs w:val="21"/>
                      <w14:textFill>
                        <w14:solidFill>
                          <w14:schemeClr w14:val="tx1"/>
                        </w14:solidFill>
                      </w14:textFill>
                    </w:rPr>
                    <w:t>序号</w:t>
                  </w:r>
                </w:p>
              </w:tc>
              <w:tc>
                <w:tcPr>
                  <w:tcW w:w="3288" w:type="dxa"/>
                  <w:noWrap w:val="0"/>
                  <w:vAlign w:val="center"/>
                </w:tcPr>
                <w:p>
                  <w:pPr>
                    <w:adjustRightInd w:val="0"/>
                    <w:snapToGrid w:val="0"/>
                    <w:jc w:val="center"/>
                    <w:rPr>
                      <w:rFonts w:eastAsia="宋体"/>
                      <w:b/>
                      <w:bCs/>
                      <w:color w:val="000000" w:themeColor="text1"/>
                      <w:szCs w:val="21"/>
                      <w14:textFill>
                        <w14:solidFill>
                          <w14:schemeClr w14:val="tx1"/>
                        </w14:solidFill>
                      </w14:textFill>
                    </w:rPr>
                  </w:pPr>
                  <w:r>
                    <w:rPr>
                      <w:rFonts w:eastAsia="宋体"/>
                      <w:b/>
                      <w:bCs/>
                      <w:color w:val="000000" w:themeColor="text1"/>
                      <w:szCs w:val="21"/>
                      <w14:textFill>
                        <w14:solidFill>
                          <w14:schemeClr w14:val="tx1"/>
                        </w14:solidFill>
                      </w14:textFill>
                    </w:rPr>
                    <w:t>现存问题</w:t>
                  </w:r>
                </w:p>
              </w:tc>
              <w:tc>
                <w:tcPr>
                  <w:tcW w:w="4251" w:type="dxa"/>
                  <w:noWrap w:val="0"/>
                  <w:vAlign w:val="center"/>
                </w:tcPr>
                <w:p>
                  <w:pPr>
                    <w:adjustRightInd w:val="0"/>
                    <w:snapToGrid w:val="0"/>
                    <w:jc w:val="center"/>
                    <w:rPr>
                      <w:rFonts w:eastAsia="宋体"/>
                      <w:b/>
                      <w:bCs/>
                      <w:color w:val="000000" w:themeColor="text1"/>
                      <w:szCs w:val="21"/>
                      <w14:textFill>
                        <w14:solidFill>
                          <w14:schemeClr w14:val="tx1"/>
                        </w14:solidFill>
                      </w14:textFill>
                    </w:rPr>
                  </w:pPr>
                  <w:r>
                    <w:rPr>
                      <w:rFonts w:eastAsia="宋体"/>
                      <w:b/>
                      <w:bCs/>
                      <w:color w:val="000000" w:themeColor="text1"/>
                      <w:szCs w:val="21"/>
                      <w14:textFill>
                        <w14:solidFill>
                          <w14:schemeClr w14:val="tx1"/>
                        </w14:solidFill>
                      </w14:textFill>
                    </w:rPr>
                    <w:t>整改措施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41" w:type="dxa"/>
                  <w:noWrap w:val="0"/>
                  <w:vAlign w:val="center"/>
                </w:tcPr>
                <w:p>
                  <w:pPr>
                    <w:adjustRightInd w:val="0"/>
                    <w:snapToGrid w:val="0"/>
                    <w:ind w:firstLine="210" w:firstLineChars="100"/>
                    <w:rPr>
                      <w:rFonts w:eastAsia="宋体"/>
                      <w:bCs/>
                      <w:color w:val="000000" w:themeColor="text1"/>
                      <w:szCs w:val="21"/>
                      <w14:textFill>
                        <w14:solidFill>
                          <w14:schemeClr w14:val="tx1"/>
                        </w14:solidFill>
                      </w14:textFill>
                    </w:rPr>
                  </w:pPr>
                  <w:r>
                    <w:rPr>
                      <w:rFonts w:eastAsia="宋体"/>
                      <w:bCs/>
                      <w:color w:val="000000" w:themeColor="text1"/>
                      <w:szCs w:val="21"/>
                      <w14:textFill>
                        <w14:solidFill>
                          <w14:schemeClr w14:val="tx1"/>
                        </w14:solidFill>
                      </w14:textFill>
                    </w:rPr>
                    <w:t>1</w:t>
                  </w:r>
                </w:p>
              </w:tc>
              <w:tc>
                <w:tcPr>
                  <w:tcW w:w="3288" w:type="dxa"/>
                  <w:noWrap w:val="0"/>
                  <w:vAlign w:val="center"/>
                </w:tcPr>
                <w:p>
                  <w:pPr>
                    <w:adjustRightInd w:val="0"/>
                    <w:snapToGrid w:val="0"/>
                    <w:jc w:val="center"/>
                    <w:rPr>
                      <w:rFonts w:hint="default" w:eastAsia="宋体"/>
                      <w:bCs/>
                      <w:color w:val="000000" w:themeColor="text1"/>
                      <w:szCs w:val="21"/>
                      <w:lang w:val="en-US" w:eastAsia="zh-CN"/>
                      <w14:textFill>
                        <w14:solidFill>
                          <w14:schemeClr w14:val="tx1"/>
                        </w14:solidFill>
                      </w14:textFill>
                    </w:rPr>
                  </w:pPr>
                  <w:r>
                    <w:rPr>
                      <w:rFonts w:hint="eastAsia" w:eastAsia="宋体"/>
                      <w:bCs/>
                      <w:color w:val="000000" w:themeColor="text1"/>
                      <w:szCs w:val="21"/>
                      <w:lang w:val="en-US" w:eastAsia="zh-CN"/>
                      <w14:textFill>
                        <w14:solidFill>
                          <w14:schemeClr w14:val="tx1"/>
                        </w14:solidFill>
                      </w14:textFill>
                    </w:rPr>
                    <w:t>喷雾干燥未设布袋除尘器，排气筒不合规</w:t>
                  </w:r>
                </w:p>
              </w:tc>
              <w:tc>
                <w:tcPr>
                  <w:tcW w:w="4251" w:type="dxa"/>
                  <w:noWrap w:val="0"/>
                  <w:vAlign w:val="center"/>
                </w:tcPr>
                <w:p>
                  <w:pPr>
                    <w:adjustRightInd w:val="0"/>
                    <w:snapToGrid w:val="0"/>
                    <w:jc w:val="center"/>
                    <w:rPr>
                      <w:rFonts w:hint="default" w:eastAsia="宋体"/>
                      <w:bCs/>
                      <w:color w:val="000000" w:themeColor="text1"/>
                      <w:szCs w:val="21"/>
                      <w:lang w:val="en-US" w:eastAsia="zh-CN"/>
                      <w14:textFill>
                        <w14:solidFill>
                          <w14:schemeClr w14:val="tx1"/>
                        </w14:solidFill>
                      </w14:textFill>
                    </w:rPr>
                  </w:pPr>
                  <w:r>
                    <w:rPr>
                      <w:rFonts w:hint="eastAsia" w:eastAsia="宋体"/>
                      <w:bCs/>
                      <w:color w:val="000000" w:themeColor="text1"/>
                      <w:szCs w:val="21"/>
                      <w:lang w:val="en-US" w:eastAsia="zh-CN"/>
                      <w14:textFill>
                        <w14:solidFill>
                          <w14:schemeClr w14:val="tx1"/>
                        </w14:solidFill>
                      </w14:textFill>
                    </w:rPr>
                    <w:t>安装布袋除尘器，排气筒增加到20m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41" w:type="dxa"/>
                  <w:noWrap w:val="0"/>
                  <w:vAlign w:val="center"/>
                </w:tcPr>
                <w:p>
                  <w:pPr>
                    <w:adjustRightInd w:val="0"/>
                    <w:snapToGrid w:val="0"/>
                    <w:ind w:firstLine="210" w:firstLineChars="100"/>
                    <w:rPr>
                      <w:rFonts w:eastAsia="宋体"/>
                      <w:bCs/>
                      <w:color w:val="000000" w:themeColor="text1"/>
                      <w:szCs w:val="21"/>
                      <w14:textFill>
                        <w14:solidFill>
                          <w14:schemeClr w14:val="tx1"/>
                        </w14:solidFill>
                      </w14:textFill>
                    </w:rPr>
                  </w:pPr>
                  <w:r>
                    <w:rPr>
                      <w:rFonts w:eastAsia="宋体"/>
                      <w:bCs/>
                      <w:color w:val="000000" w:themeColor="text1"/>
                      <w:szCs w:val="21"/>
                      <w14:textFill>
                        <w14:solidFill>
                          <w14:schemeClr w14:val="tx1"/>
                        </w14:solidFill>
                      </w14:textFill>
                    </w:rPr>
                    <w:t>2</w:t>
                  </w:r>
                </w:p>
              </w:tc>
              <w:tc>
                <w:tcPr>
                  <w:tcW w:w="3288" w:type="dxa"/>
                  <w:noWrap w:val="0"/>
                  <w:vAlign w:val="center"/>
                </w:tcPr>
                <w:p>
                  <w:pPr>
                    <w:adjustRightInd w:val="0"/>
                    <w:snapToGrid w:val="0"/>
                    <w:jc w:val="center"/>
                    <w:rPr>
                      <w:rFonts w:hint="default" w:eastAsia="宋体"/>
                      <w:bCs/>
                      <w:color w:val="000000" w:themeColor="text1"/>
                      <w:szCs w:val="21"/>
                      <w:lang w:val="en-US" w:eastAsia="zh-CN"/>
                      <w14:textFill>
                        <w14:solidFill>
                          <w14:schemeClr w14:val="tx1"/>
                        </w14:solidFill>
                      </w14:textFill>
                    </w:rPr>
                  </w:pPr>
                  <w:r>
                    <w:rPr>
                      <w:rFonts w:hint="eastAsia" w:eastAsia="宋体"/>
                      <w:bCs/>
                      <w:color w:val="000000" w:themeColor="text1"/>
                      <w:szCs w:val="21"/>
                      <w:lang w:val="en-US" w:eastAsia="zh-CN"/>
                      <w14:textFill>
                        <w14:solidFill>
                          <w14:schemeClr w14:val="tx1"/>
                        </w14:solidFill>
                      </w14:textFill>
                    </w:rPr>
                    <w:t>消防事故池容积不能满足要求</w:t>
                  </w:r>
                </w:p>
              </w:tc>
              <w:tc>
                <w:tcPr>
                  <w:tcW w:w="4251" w:type="dxa"/>
                  <w:noWrap w:val="0"/>
                  <w:vAlign w:val="center"/>
                </w:tcPr>
                <w:p>
                  <w:pPr>
                    <w:adjustRightInd w:val="0"/>
                    <w:snapToGrid w:val="0"/>
                    <w:jc w:val="center"/>
                    <w:rPr>
                      <w:rFonts w:eastAsia="宋体"/>
                      <w:bCs/>
                      <w:color w:val="000000" w:themeColor="text1"/>
                      <w:szCs w:val="21"/>
                      <w14:textFill>
                        <w14:solidFill>
                          <w14:schemeClr w14:val="tx1"/>
                        </w14:solidFill>
                      </w14:textFill>
                    </w:rPr>
                  </w:pPr>
                  <w:r>
                    <w:rPr>
                      <w:rFonts w:hint="eastAsia" w:eastAsia="宋体"/>
                      <w:bCs/>
                      <w:color w:val="000000" w:themeColor="text1"/>
                      <w:szCs w:val="21"/>
                      <w14:textFill>
                        <w14:solidFill>
                          <w14:schemeClr w14:val="tx1"/>
                        </w14:solidFill>
                      </w14:textFill>
                    </w:rPr>
                    <w:t>设置1座230m</w:t>
                  </w:r>
                  <w:r>
                    <w:rPr>
                      <w:rFonts w:hint="eastAsia" w:eastAsia="宋体"/>
                      <w:bCs/>
                      <w:color w:val="000000" w:themeColor="text1"/>
                      <w:szCs w:val="21"/>
                      <w:vertAlign w:val="superscript"/>
                      <w14:textFill>
                        <w14:solidFill>
                          <w14:schemeClr w14:val="tx1"/>
                        </w14:solidFill>
                      </w14:textFill>
                    </w:rPr>
                    <w:t>3</w:t>
                  </w:r>
                  <w:r>
                    <w:rPr>
                      <w:rFonts w:hint="eastAsia" w:eastAsia="宋体"/>
                      <w:bCs/>
                      <w:color w:val="000000" w:themeColor="text1"/>
                      <w:szCs w:val="21"/>
                      <w14:textFill>
                        <w14:solidFill>
                          <w14:schemeClr w14:val="tx1"/>
                        </w14:solidFill>
                      </w14:textFill>
                    </w:rPr>
                    <w:t>事故池并设置导流沟</w:t>
                  </w:r>
                </w:p>
              </w:tc>
            </w:tr>
          </w:tbl>
          <w:p>
            <w:pPr>
              <w:pStyle w:val="13"/>
              <w:keepNext w:val="0"/>
              <w:keepLines w:val="0"/>
              <w:pageBreakBefore w:val="0"/>
              <w:kinsoku/>
              <w:wordWrap/>
              <w:overflowPunct/>
              <w:topLinePunct w:val="0"/>
              <w:autoSpaceDE/>
              <w:autoSpaceDN/>
              <w:bidi w:val="0"/>
              <w:adjustRightInd/>
              <w:spacing w:before="0" w:after="0" w:line="360" w:lineRule="auto"/>
              <w:jc w:val="both"/>
              <w:textAlignment w:val="auto"/>
              <w:outlineLvl w:val="9"/>
              <w:rPr>
                <w:rFonts w:hint="default" w:eastAsia="宋体" w:cs="宋体"/>
                <w:color w:val="000000" w:themeColor="text1"/>
                <w:kern w:val="0"/>
                <w:sz w:val="24"/>
                <w:lang w:val="en-US" w:eastAsia="zh-CN"/>
                <w14:textFill>
                  <w14:solidFill>
                    <w14:schemeClr w14:val="tx1"/>
                  </w14:solidFill>
                </w14:textFill>
              </w:rPr>
            </w:pPr>
          </w:p>
        </w:tc>
      </w:tr>
    </w:tbl>
    <w:p>
      <w:pPr>
        <w:pStyle w:val="23"/>
        <w:adjustRightInd w:val="0"/>
        <w:snapToGrid w:val="0"/>
        <w:spacing w:before="0" w:beforeAutospacing="0" w:after="0" w:afterAutospacing="0" w:line="14" w:lineRule="auto"/>
        <w:jc w:val="center"/>
        <w:outlineLvl w:val="0"/>
        <w:rPr>
          <w:rFonts w:ascii="Times New Roman" w:hAnsi="Times New Roman"/>
          <w:snapToGrid w:val="0"/>
          <w:color w:val="000000" w:themeColor="text1"/>
          <w:sz w:val="30"/>
          <w:szCs w:val="30"/>
          <w14:textFill>
            <w14:solidFill>
              <w14:schemeClr w14:val="tx1"/>
            </w14:solidFill>
          </w14:textFill>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p>
      <w:pPr>
        <w:pStyle w:val="23"/>
        <w:jc w:val="center"/>
        <w:outlineLvl w:val="0"/>
        <w:rPr>
          <w:rFonts w:ascii="Times New Roman" w:hAnsi="Times New Roman"/>
          <w:b/>
          <w:bCs/>
          <w:snapToGrid w:val="0"/>
          <w:color w:val="000000" w:themeColor="text1"/>
          <w:sz w:val="30"/>
          <w:szCs w:val="30"/>
          <w14:textFill>
            <w14:solidFill>
              <w14:schemeClr w14:val="tx1"/>
            </w14:solidFill>
          </w14:textFill>
        </w:rPr>
      </w:pPr>
      <w:r>
        <w:rPr>
          <w:rFonts w:hint="eastAsia" w:ascii="Times New Roman" w:hAnsi="Times New Roman"/>
          <w:b/>
          <w:bCs/>
          <w:snapToGrid w:val="0"/>
          <w:color w:val="000000" w:themeColor="text1"/>
          <w:sz w:val="30"/>
          <w:szCs w:val="30"/>
          <w14:textFill>
            <w14:solidFill>
              <w14:schemeClr w14:val="tx1"/>
            </w14:solidFill>
          </w14:textFill>
        </w:rPr>
        <w:t>三、区域环境质量现状、环境保护目标及评价标准</w:t>
      </w:r>
    </w:p>
    <w:tbl>
      <w:tblPr>
        <w:tblStyle w:val="26"/>
        <w:tblW w:w="899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90"/>
        <w:gridCol w:w="820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06" w:hRule="atLeast"/>
          <w:jc w:val="center"/>
        </w:trPr>
        <w:tc>
          <w:tcPr>
            <w:tcW w:w="800" w:type="dxa"/>
            <w:vAlign w:val="center"/>
          </w:tcPr>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区域</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环境</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质量</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现状</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25"/>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区域</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环境</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质量</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r>
              <w:rPr>
                <w:rFonts w:hint="eastAsia"/>
                <w:color w:val="000000" w:themeColor="text1"/>
                <w14:textFill>
                  <w14:solidFill>
                    <w14:schemeClr w14:val="tx1"/>
                  </w14:solidFill>
                </w14:textFill>
              </w:rPr>
              <w:t>现状</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pStyle w:val="4"/>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ind w:left="0" w:right="0" w:firstLine="0" w:firstLineChars="0"/>
              <w:jc w:val="center"/>
              <w:textAlignment w:val="auto"/>
              <w:rPr>
                <w:color w:val="000000" w:themeColor="text1"/>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left="0" w:right="0" w:firstLine="0" w:firstLineChars="0"/>
              <w:jc w:val="center"/>
              <w:textAlignment w:val="auto"/>
              <w:rPr>
                <w:color w:val="000000" w:themeColor="text1"/>
                <w14:textFill>
                  <w14:solidFill>
                    <w14:schemeClr w14:val="tx1"/>
                  </w14:solidFill>
                </w14:textFill>
              </w:rPr>
            </w:pPr>
          </w:p>
          <w:p>
            <w:pPr>
              <w:pStyle w:val="16"/>
              <w:ind w:left="0" w:leftChars="0" w:firstLine="0" w:firstLineChars="0"/>
              <w:rPr>
                <w:color w:val="000000" w:themeColor="text1"/>
                <w14:textFill>
                  <w14:solidFill>
                    <w14:schemeClr w14:val="tx1"/>
                  </w14:solidFill>
                </w14:textFill>
              </w:rPr>
            </w:pPr>
          </w:p>
        </w:tc>
        <w:tc>
          <w:tcPr>
            <w:tcW w:w="8190"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textAlignment w:val="auto"/>
              <w:rPr>
                <w:rFonts w:cs="宋体"/>
                <w:b/>
                <w:bCs/>
                <w:color w:val="000000" w:themeColor="text1"/>
                <w:kern w:val="0"/>
                <w:sz w:val="24"/>
                <w14:textFill>
                  <w14:solidFill>
                    <w14:schemeClr w14:val="tx1"/>
                  </w14:solidFill>
                </w14:textFill>
              </w:rPr>
            </w:pPr>
            <w:r>
              <w:rPr>
                <w:rFonts w:hint="eastAsia" w:cs="宋体"/>
                <w:b/>
                <w:bCs/>
                <w:color w:val="000000" w:themeColor="text1"/>
                <w:kern w:val="0"/>
                <w:sz w:val="24"/>
                <w14:textFill>
                  <w14:solidFill>
                    <w14:schemeClr w14:val="tx1"/>
                  </w14:solidFill>
                </w14:textFill>
              </w:rPr>
              <w:t>1 环境空气质量现状</w:t>
            </w:r>
          </w:p>
          <w:p>
            <w:pPr>
              <w:pStyle w:val="85"/>
              <w:keepNext w:val="0"/>
              <w:keepLines w:val="0"/>
              <w:pageBreakBefore w:val="0"/>
              <w:widowControl w:val="0"/>
              <w:kinsoku/>
              <w:wordWrap/>
              <w:overflowPunct/>
              <w:topLinePunct w:val="0"/>
              <w:bidi w:val="0"/>
              <w:snapToGrid w:val="0"/>
              <w:spacing w:line="360" w:lineRule="auto"/>
              <w:ind w:firstLine="480"/>
              <w:textAlignment w:val="auto"/>
              <w:rPr>
                <w:rFonts w:hint="default" w:ascii="Times New Roman" w:hAnsi="Times New Roman" w:cs="Times New Roman"/>
                <w:b/>
                <w:bCs/>
                <w:color w:val="000000" w:themeColor="text1"/>
                <w:u w:val="single"/>
                <w14:textFill>
                  <w14:solidFill>
                    <w14:schemeClr w14:val="tx1"/>
                  </w14:solidFill>
                </w14:textFill>
              </w:rPr>
            </w:pPr>
            <w:r>
              <w:rPr>
                <w:rFonts w:hint="default" w:ascii="Times New Roman" w:hAnsi="Times New Roman" w:cs="Times New Roman"/>
                <w:b/>
                <w:bCs/>
                <w:color w:val="000000" w:themeColor="text1"/>
                <w:u w:val="single"/>
                <w14:textFill>
                  <w14:solidFill>
                    <w14:schemeClr w14:val="tx1"/>
                  </w14:solidFill>
                </w14:textFill>
              </w:rPr>
              <w:t>本项目选址位于</w:t>
            </w:r>
            <w:r>
              <w:rPr>
                <w:rFonts w:hint="eastAsia" w:ascii="Times New Roman" w:hAnsi="Times New Roman" w:cs="Times New Roman"/>
                <w:b/>
                <w:bCs/>
                <w:color w:val="000000" w:themeColor="text1"/>
                <w:u w:val="single"/>
                <w:lang w:eastAsia="zh-CN"/>
                <w14:textFill>
                  <w14:solidFill>
                    <w14:schemeClr w14:val="tx1"/>
                  </w14:solidFill>
                </w14:textFill>
              </w:rPr>
              <w:t>平顶山市鲁山县库区乡环湖路平岭街01号</w:t>
            </w:r>
            <w:r>
              <w:rPr>
                <w:rFonts w:hint="default" w:ascii="Times New Roman" w:hAnsi="Times New Roman" w:cs="Times New Roman"/>
                <w:b/>
                <w:bCs/>
                <w:color w:val="000000" w:themeColor="text1"/>
                <w:u w:val="single"/>
                <w14:textFill>
                  <w14:solidFill>
                    <w14:schemeClr w14:val="tx1"/>
                  </w14:solidFill>
                </w14:textFill>
              </w:rPr>
              <w:t>，根据当地环境功能区划，本项目所在区域环境空气执行《环境空气质量标准》（GB3095-2012）二级标准。</w:t>
            </w:r>
            <w:r>
              <w:rPr>
                <w:rFonts w:ascii="Times New Roman" w:hAnsi="Times New Roman" w:eastAsia="宋体"/>
                <w:b/>
                <w:bCs/>
                <w:color w:val="000000" w:themeColor="text1"/>
                <w:sz w:val="24"/>
                <w:szCs w:val="24"/>
                <w:u w:val="single"/>
                <w14:textFill>
                  <w14:solidFill>
                    <w14:schemeClr w14:val="tx1"/>
                  </w14:solidFill>
                </w14:textFill>
              </w:rPr>
              <w:t>本次环境空气质量现状引用</w:t>
            </w:r>
            <w:r>
              <w:rPr>
                <w:rFonts w:hint="eastAsia" w:ascii="Times New Roman" w:hAnsi="Times New Roman"/>
                <w:b/>
                <w:bCs/>
                <w:color w:val="000000" w:themeColor="text1"/>
                <w:sz w:val="24"/>
                <w:szCs w:val="24"/>
                <w:u w:val="single"/>
                <w:lang w:eastAsia="zh-CN"/>
                <w14:textFill>
                  <w14:solidFill>
                    <w14:schemeClr w14:val="tx1"/>
                  </w14:solidFill>
                </w14:textFill>
              </w:rPr>
              <w:t>《鲁山县2022年环境质量公报》</w:t>
            </w:r>
            <w:r>
              <w:rPr>
                <w:rFonts w:ascii="Times New Roman" w:hAnsi="Times New Roman" w:eastAsia="宋体"/>
                <w:b/>
                <w:bCs/>
                <w:color w:val="000000" w:themeColor="text1"/>
                <w:sz w:val="24"/>
                <w:szCs w:val="24"/>
                <w:u w:val="single"/>
                <w14:textFill>
                  <w14:solidFill>
                    <w14:schemeClr w14:val="tx1"/>
                  </w14:solidFill>
                </w14:textFill>
              </w:rPr>
              <w:t>，监测时间为202</w:t>
            </w:r>
            <w:r>
              <w:rPr>
                <w:rFonts w:hint="eastAsia" w:ascii="Times New Roman" w:hAnsi="Times New Roman"/>
                <w:b/>
                <w:bCs/>
                <w:color w:val="000000" w:themeColor="text1"/>
                <w:sz w:val="24"/>
                <w:szCs w:val="24"/>
                <w:u w:val="single"/>
                <w:lang w:val="en-US" w:eastAsia="zh-CN"/>
                <w14:textFill>
                  <w14:solidFill>
                    <w14:schemeClr w14:val="tx1"/>
                  </w14:solidFill>
                </w14:textFill>
              </w:rPr>
              <w:t>2</w:t>
            </w:r>
            <w:r>
              <w:rPr>
                <w:rFonts w:ascii="Times New Roman" w:hAnsi="Times New Roman" w:eastAsia="宋体"/>
                <w:b/>
                <w:bCs/>
                <w:color w:val="000000" w:themeColor="text1"/>
                <w:sz w:val="24"/>
                <w:szCs w:val="24"/>
                <w:u w:val="single"/>
                <w14:textFill>
                  <w14:solidFill>
                    <w14:schemeClr w14:val="tx1"/>
                  </w14:solidFill>
                </w14:textFill>
              </w:rPr>
              <w:t>年全年，</w:t>
            </w:r>
            <w:r>
              <w:rPr>
                <w:rFonts w:hint="eastAsia" w:ascii="Times New Roman" w:hAnsi="Times New Roman" w:cs="Times New Roman"/>
                <w:b/>
                <w:bCs/>
                <w:color w:val="000000" w:themeColor="text1"/>
                <w:u w:val="single"/>
                <w:lang w:eastAsia="zh-CN"/>
                <w14:textFill>
                  <w14:solidFill>
                    <w14:schemeClr w14:val="tx1"/>
                  </w14:solidFill>
                </w14:textFill>
              </w:rPr>
              <w:t>监</w:t>
            </w:r>
            <w:r>
              <w:rPr>
                <w:rFonts w:hint="default" w:ascii="Times New Roman" w:hAnsi="Times New Roman" w:cs="Times New Roman"/>
                <w:b/>
                <w:bCs/>
                <w:color w:val="000000" w:themeColor="text1"/>
                <w:u w:val="single"/>
                <w14:textFill>
                  <w14:solidFill>
                    <w14:schemeClr w14:val="tx1"/>
                  </w14:solidFill>
                </w14:textFill>
              </w:rPr>
              <w:t>测因子为SO</w:t>
            </w:r>
            <w:r>
              <w:rPr>
                <w:rFonts w:hint="default" w:ascii="Times New Roman" w:hAnsi="Times New Roman" w:cs="Times New Roman"/>
                <w:b/>
                <w:bCs/>
                <w:color w:val="000000" w:themeColor="text1"/>
                <w:u w:val="single"/>
                <w:vertAlign w:val="subscript"/>
                <w14:textFill>
                  <w14:solidFill>
                    <w14:schemeClr w14:val="tx1"/>
                  </w14:solidFill>
                </w14:textFill>
              </w:rPr>
              <w:t>2</w:t>
            </w:r>
            <w:r>
              <w:rPr>
                <w:rFonts w:hint="default" w:ascii="Times New Roman" w:hAnsi="Times New Roman" w:cs="Times New Roman"/>
                <w:b/>
                <w:bCs/>
                <w:color w:val="000000" w:themeColor="text1"/>
                <w:u w:val="single"/>
                <w14:textFill>
                  <w14:solidFill>
                    <w14:schemeClr w14:val="tx1"/>
                  </w14:solidFill>
                </w14:textFill>
              </w:rPr>
              <w:t>、NO</w:t>
            </w:r>
            <w:r>
              <w:rPr>
                <w:rFonts w:hint="default" w:ascii="Times New Roman" w:hAnsi="Times New Roman" w:cs="Times New Roman"/>
                <w:b/>
                <w:bCs/>
                <w:color w:val="000000" w:themeColor="text1"/>
                <w:u w:val="single"/>
                <w:vertAlign w:val="subscript"/>
                <w14:textFill>
                  <w14:solidFill>
                    <w14:schemeClr w14:val="tx1"/>
                  </w14:solidFill>
                </w14:textFill>
              </w:rPr>
              <w:t>2</w:t>
            </w:r>
            <w:r>
              <w:rPr>
                <w:rFonts w:hint="default" w:ascii="Times New Roman" w:hAnsi="Times New Roman" w:cs="Times New Roman"/>
                <w:b/>
                <w:bCs/>
                <w:color w:val="000000" w:themeColor="text1"/>
                <w:u w:val="single"/>
                <w14:textFill>
                  <w14:solidFill>
                    <w14:schemeClr w14:val="tx1"/>
                  </w14:solidFill>
                </w14:textFill>
              </w:rPr>
              <w:t>、PM</w:t>
            </w:r>
            <w:r>
              <w:rPr>
                <w:rFonts w:hint="default" w:ascii="Times New Roman" w:hAnsi="Times New Roman" w:cs="Times New Roman"/>
                <w:b/>
                <w:bCs/>
                <w:color w:val="000000" w:themeColor="text1"/>
                <w:u w:val="single"/>
                <w:vertAlign w:val="subscript"/>
                <w14:textFill>
                  <w14:solidFill>
                    <w14:schemeClr w14:val="tx1"/>
                  </w14:solidFill>
                </w14:textFill>
              </w:rPr>
              <w:t>10</w:t>
            </w:r>
            <w:r>
              <w:rPr>
                <w:rFonts w:hint="default" w:ascii="Times New Roman" w:hAnsi="Times New Roman" w:cs="Times New Roman"/>
                <w:b/>
                <w:bCs/>
                <w:color w:val="000000" w:themeColor="text1"/>
                <w:u w:val="single"/>
                <w14:textFill>
                  <w14:solidFill>
                    <w14:schemeClr w14:val="tx1"/>
                  </w14:solidFill>
                </w14:textFill>
              </w:rPr>
              <w:t>、PM</w:t>
            </w:r>
            <w:r>
              <w:rPr>
                <w:rFonts w:hint="eastAsia" w:ascii="Times New Roman" w:hAnsi="Times New Roman" w:cs="Times New Roman"/>
                <w:b/>
                <w:bCs/>
                <w:color w:val="000000" w:themeColor="text1"/>
                <w:u w:val="single"/>
                <w:vertAlign w:val="subscript"/>
                <w:lang w:val="en-US" w:eastAsia="zh-CN"/>
                <w14:textFill>
                  <w14:solidFill>
                    <w14:schemeClr w14:val="tx1"/>
                  </w14:solidFill>
                </w14:textFill>
              </w:rPr>
              <w:t>2.5</w:t>
            </w:r>
            <w:r>
              <w:rPr>
                <w:rFonts w:hint="default" w:ascii="Times New Roman" w:hAnsi="Times New Roman" w:cs="Times New Roman"/>
                <w:b/>
                <w:bCs/>
                <w:color w:val="000000" w:themeColor="text1"/>
                <w:u w:val="single"/>
                <w14:textFill>
                  <w14:solidFill>
                    <w14:schemeClr w14:val="tx1"/>
                  </w14:solidFill>
                </w14:textFill>
              </w:rPr>
              <w:t>、CO、O</w:t>
            </w:r>
            <w:r>
              <w:rPr>
                <w:rFonts w:hint="default" w:ascii="Times New Roman" w:hAnsi="Times New Roman" w:cs="Times New Roman"/>
                <w:b/>
                <w:bCs/>
                <w:color w:val="000000" w:themeColor="text1"/>
                <w:u w:val="single"/>
                <w:vertAlign w:val="subscript"/>
                <w14:textFill>
                  <w14:solidFill>
                    <w14:schemeClr w14:val="tx1"/>
                  </w14:solidFill>
                </w14:textFill>
              </w:rPr>
              <w:t>3</w:t>
            </w:r>
            <w:r>
              <w:rPr>
                <w:rFonts w:hint="default" w:ascii="Times New Roman" w:hAnsi="Times New Roman" w:cs="Times New Roman"/>
                <w:b/>
                <w:bCs/>
                <w:color w:val="000000" w:themeColor="text1"/>
                <w:u w:val="single"/>
                <w14:textFill>
                  <w14:solidFill>
                    <w14:schemeClr w14:val="tx1"/>
                  </w14:solidFill>
                </w14:textFill>
              </w:rPr>
              <w:t>共6项基本因子，</w:t>
            </w:r>
            <w:r>
              <w:rPr>
                <w:rFonts w:hint="eastAsia" w:ascii="Times New Roman" w:hAnsi="Times New Roman" w:cs="Times New Roman"/>
                <w:b/>
                <w:bCs/>
                <w:color w:val="000000" w:themeColor="text1"/>
                <w:u w:val="single"/>
                <w:lang w:eastAsia="zh-CN"/>
                <w14:textFill>
                  <w14:solidFill>
                    <w14:schemeClr w14:val="tx1"/>
                  </w14:solidFill>
                </w14:textFill>
              </w:rPr>
              <w:t>鲁山</w:t>
            </w:r>
            <w:r>
              <w:rPr>
                <w:rFonts w:hint="default" w:ascii="Times New Roman" w:hAnsi="Times New Roman" w:cs="Times New Roman"/>
                <w:b/>
                <w:bCs/>
                <w:color w:val="000000" w:themeColor="text1"/>
                <w:u w:val="single"/>
                <w14:textFill>
                  <w14:solidFill>
                    <w14:schemeClr w14:val="tx1"/>
                  </w14:solidFill>
                </w14:textFill>
              </w:rPr>
              <w:t>县环境空气质量达标情况见</w:t>
            </w:r>
            <w:r>
              <w:rPr>
                <w:rFonts w:hint="eastAsia" w:ascii="Times New Roman" w:hAnsi="Times New Roman" w:cs="Times New Roman"/>
                <w:b/>
                <w:bCs/>
                <w:color w:val="000000" w:themeColor="text1"/>
                <w:u w:val="single"/>
                <w:lang w:eastAsia="zh-CN"/>
                <w14:textFill>
                  <w14:solidFill>
                    <w14:schemeClr w14:val="tx1"/>
                  </w14:solidFill>
                </w14:textFill>
              </w:rPr>
              <w:t>下</w:t>
            </w:r>
            <w:r>
              <w:rPr>
                <w:rFonts w:hint="default" w:ascii="Times New Roman" w:hAnsi="Times New Roman" w:cs="Times New Roman"/>
                <w:b/>
                <w:bCs/>
                <w:color w:val="000000" w:themeColor="text1"/>
                <w:u w:val="single"/>
                <w14:textFill>
                  <w14:solidFill>
                    <w14:schemeClr w14:val="tx1"/>
                  </w14:solidFill>
                </w14:textFill>
              </w:rPr>
              <w:t>表</w:t>
            </w:r>
            <w:r>
              <w:rPr>
                <w:rFonts w:hint="eastAsia" w:ascii="Times New Roman" w:hAnsi="Times New Roman" w:cs="Times New Roman"/>
                <w:b/>
                <w:bCs/>
                <w:color w:val="000000" w:themeColor="text1"/>
                <w:u w:val="single"/>
                <w:lang w:val="en-US" w:eastAsia="zh-CN"/>
                <w14:textFill>
                  <w14:solidFill>
                    <w14:schemeClr w14:val="tx1"/>
                  </w14:solidFill>
                </w14:textFill>
              </w:rPr>
              <w:t>3-1</w:t>
            </w:r>
            <w:r>
              <w:rPr>
                <w:rFonts w:hint="default" w:ascii="Times New Roman" w:hAnsi="Times New Roman" w:cs="Times New Roman"/>
                <w:b/>
                <w:bCs/>
                <w:color w:val="000000" w:themeColor="text1"/>
                <w:u w:val="single"/>
                <w14:textFill>
                  <w14:solidFill>
                    <w14:schemeClr w14:val="tx1"/>
                  </w14:solidFill>
                </w14:textFill>
              </w:rPr>
              <w:t>。</w:t>
            </w:r>
          </w:p>
          <w:p>
            <w:pPr>
              <w:autoSpaceDE w:val="0"/>
              <w:autoSpaceDN w:val="0"/>
              <w:adjustRightInd w:val="0"/>
              <w:spacing w:line="240" w:lineRule="auto"/>
              <w:jc w:val="center"/>
              <w:rPr>
                <w:rFonts w:hint="default" w:ascii="Times New Roman" w:hAnsi="Times New Roman" w:eastAsia="宋体" w:cs="Times New Roman"/>
                <w:b/>
                <w:bCs/>
                <w:color w:val="000000" w:themeColor="text1"/>
                <w:sz w:val="22"/>
                <w:szCs w:val="22"/>
                <w:u w:val="single"/>
                <w14:textFill>
                  <w14:solidFill>
                    <w14:schemeClr w14:val="tx1"/>
                  </w14:solidFill>
                </w14:textFill>
              </w:rPr>
            </w:pPr>
            <w:r>
              <w:rPr>
                <w:rFonts w:hint="default" w:ascii="Times New Roman" w:hAnsi="Times New Roman" w:eastAsia="宋体" w:cs="Times New Roman"/>
                <w:b/>
                <w:bCs/>
                <w:color w:val="000000" w:themeColor="text1"/>
                <w:sz w:val="22"/>
                <w:szCs w:val="22"/>
                <w:u w:val="single"/>
                <w14:textFill>
                  <w14:solidFill>
                    <w14:schemeClr w14:val="tx1"/>
                  </w14:solidFill>
                </w14:textFill>
              </w:rPr>
              <w:t>表3-</w:t>
            </w:r>
            <w:r>
              <w:rPr>
                <w:rFonts w:hint="eastAsia" w:cs="Times New Roman"/>
                <w:b/>
                <w:bCs/>
                <w:color w:val="000000" w:themeColor="text1"/>
                <w:sz w:val="22"/>
                <w:szCs w:val="22"/>
                <w:u w:val="single"/>
                <w:lang w:val="en-US" w:eastAsia="zh-CN"/>
                <w14:textFill>
                  <w14:solidFill>
                    <w14:schemeClr w14:val="tx1"/>
                  </w14:solidFill>
                </w14:textFill>
              </w:rPr>
              <w:t>1</w:t>
            </w:r>
            <w:r>
              <w:rPr>
                <w:rFonts w:hint="default" w:ascii="Times New Roman" w:hAnsi="Times New Roman" w:eastAsia="宋体" w:cs="Times New Roman"/>
                <w:b/>
                <w:bCs/>
                <w:color w:val="000000" w:themeColor="text1"/>
                <w:sz w:val="22"/>
                <w:szCs w:val="22"/>
                <w:u w:val="single"/>
                <w14:textFill>
                  <w14:solidFill>
                    <w14:schemeClr w14:val="tx1"/>
                  </w14:solidFill>
                </w14:textFill>
              </w:rPr>
              <w:t xml:space="preserve">  </w:t>
            </w:r>
            <w:r>
              <w:rPr>
                <w:rFonts w:hint="eastAsia" w:ascii="Times New Roman" w:hAnsi="Times New Roman" w:eastAsia="宋体" w:cs="Times New Roman"/>
                <w:b/>
                <w:bCs/>
                <w:color w:val="000000" w:themeColor="text1"/>
                <w:sz w:val="22"/>
                <w:szCs w:val="22"/>
                <w:u w:val="single"/>
                <w:lang w:eastAsia="zh-CN"/>
                <w14:textFill>
                  <w14:solidFill>
                    <w14:schemeClr w14:val="tx1"/>
                  </w14:solidFill>
                </w14:textFill>
              </w:rPr>
              <w:t>鲁山</w:t>
            </w:r>
            <w:r>
              <w:rPr>
                <w:rFonts w:hint="default" w:ascii="Times New Roman" w:hAnsi="Times New Roman" w:eastAsia="宋体" w:cs="Times New Roman"/>
                <w:b/>
                <w:bCs/>
                <w:color w:val="000000" w:themeColor="text1"/>
                <w:sz w:val="22"/>
                <w:szCs w:val="22"/>
                <w:u w:val="single"/>
                <w14:textFill>
                  <w14:solidFill>
                    <w14:schemeClr w14:val="tx1"/>
                  </w14:solidFill>
                </w14:textFill>
              </w:rPr>
              <w:t>县环境空气质量达标情况一览表</w:t>
            </w:r>
          </w:p>
          <w:tbl>
            <w:tblPr>
              <w:tblStyle w:val="2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2"/>
              <w:gridCol w:w="721"/>
              <w:gridCol w:w="2671"/>
              <w:gridCol w:w="1260"/>
              <w:gridCol w:w="1153"/>
              <w:gridCol w:w="11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监测点位</w:t>
                  </w:r>
                </w:p>
              </w:tc>
              <w:tc>
                <w:tcPr>
                  <w:tcW w:w="2127" w:type="pct"/>
                  <w:gridSpan w:val="2"/>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监测项目</w:t>
                  </w:r>
                </w:p>
              </w:tc>
              <w:tc>
                <w:tcPr>
                  <w:tcW w:w="790"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监测结果</w:t>
                  </w:r>
                </w:p>
              </w:tc>
              <w:tc>
                <w:tcPr>
                  <w:tcW w:w="723"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标准</w:t>
                  </w:r>
                </w:p>
              </w:tc>
              <w:tc>
                <w:tcPr>
                  <w:tcW w:w="69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vMerge w:val="restar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鲁山县</w:t>
                  </w:r>
                </w:p>
              </w:tc>
              <w:tc>
                <w:tcPr>
                  <w:tcW w:w="45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SO</w:t>
                  </w:r>
                  <w:r>
                    <w:rPr>
                      <w:rFonts w:hint="default" w:ascii="Times New Roman" w:hAnsi="Times New Roman" w:cs="Times New Roman"/>
                      <w:b/>
                      <w:bCs/>
                      <w:color w:val="000000" w:themeColor="text1"/>
                      <w:szCs w:val="21"/>
                      <w:u w:val="single"/>
                      <w:vertAlign w:val="subscript"/>
                      <w14:textFill>
                        <w14:solidFill>
                          <w14:schemeClr w14:val="tx1"/>
                        </w14:solidFill>
                      </w14:textFill>
                    </w:rPr>
                    <w:t>2</w:t>
                  </w:r>
                </w:p>
              </w:tc>
              <w:tc>
                <w:tcPr>
                  <w:tcW w:w="1675"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年平均质量浓度</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12</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60</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vMerge w:val="continue"/>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p>
              </w:tc>
              <w:tc>
                <w:tcPr>
                  <w:tcW w:w="45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N</w:t>
                  </w:r>
                  <w:r>
                    <w:rPr>
                      <w:rFonts w:hint="eastAsia" w:ascii="Times New Roman" w:hAnsi="Times New Roman" w:cs="Times New Roman"/>
                      <w:b/>
                      <w:bCs/>
                      <w:color w:val="000000" w:themeColor="text1"/>
                      <w:szCs w:val="21"/>
                      <w:u w:val="single"/>
                      <w:lang w:val="en-US" w:eastAsia="zh-CN"/>
                      <w14:textFill>
                        <w14:solidFill>
                          <w14:schemeClr w14:val="tx1"/>
                        </w14:solidFill>
                      </w14:textFill>
                    </w:rPr>
                    <w:t>O</w:t>
                  </w:r>
                  <w:r>
                    <w:rPr>
                      <w:rFonts w:hint="default" w:ascii="Times New Roman" w:hAnsi="Times New Roman" w:cs="Times New Roman"/>
                      <w:b/>
                      <w:bCs/>
                      <w:color w:val="000000" w:themeColor="text1"/>
                      <w:szCs w:val="21"/>
                      <w:u w:val="single"/>
                      <w:vertAlign w:val="subscript"/>
                      <w14:textFill>
                        <w14:solidFill>
                          <w14:schemeClr w14:val="tx1"/>
                        </w14:solidFill>
                      </w14:textFill>
                    </w:rPr>
                    <w:t>2</w:t>
                  </w:r>
                </w:p>
              </w:tc>
              <w:tc>
                <w:tcPr>
                  <w:tcW w:w="1675"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年平均质量浓度</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21</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40</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666" w:type="pct"/>
                  <w:vMerge w:val="continue"/>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p>
              </w:tc>
              <w:tc>
                <w:tcPr>
                  <w:tcW w:w="452"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eastAsia="zh-CN"/>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CO</w:t>
                  </w:r>
                </w:p>
              </w:tc>
              <w:tc>
                <w:tcPr>
                  <w:tcW w:w="1675"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eastAsia="zh-CN"/>
                      <w14:textFill>
                        <w14:solidFill>
                          <w14:schemeClr w14:val="tx1"/>
                        </w14:solidFill>
                      </w14:textFill>
                    </w:rPr>
                  </w:pPr>
                  <w:r>
                    <w:rPr>
                      <w:b/>
                      <w:bCs/>
                      <w:color w:val="000000" w:themeColor="text1"/>
                      <w:szCs w:val="21"/>
                      <w:u w:val="single"/>
                      <w14:textFill>
                        <w14:solidFill>
                          <w14:schemeClr w14:val="tx1"/>
                        </w14:solidFill>
                      </w14:textFill>
                    </w:rPr>
                    <w:t>24小时平均浓度第95百分位数</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0.6m</w:t>
                  </w:r>
                  <w:r>
                    <w:rPr>
                      <w:rFonts w:ascii="Times New Roman" w:hAnsi="Times New Roman" w:eastAsia="宋体"/>
                      <w:b/>
                      <w:bCs/>
                      <w:color w:val="000000" w:themeColor="text1"/>
                      <w:szCs w:val="21"/>
                      <w:u w:val="single"/>
                      <w:lang w:bidi="ar"/>
                      <w14:textFill>
                        <w14:solidFill>
                          <w14:schemeClr w14:val="tx1"/>
                        </w14:solidFill>
                      </w14:textFill>
                    </w:rPr>
                    <w:t>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4m</w:t>
                  </w:r>
                  <w:r>
                    <w:rPr>
                      <w:rFonts w:ascii="Times New Roman" w:hAnsi="Times New Roman" w:eastAsia="宋体"/>
                      <w:b/>
                      <w:bCs/>
                      <w:color w:val="000000" w:themeColor="text1"/>
                      <w:szCs w:val="21"/>
                      <w:u w:val="single"/>
                      <w:lang w:bidi="ar"/>
                      <w14:textFill>
                        <w14:solidFill>
                          <w14:schemeClr w14:val="tx1"/>
                        </w14:solidFill>
                      </w14:textFill>
                    </w:rPr>
                    <w:t>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val="en-US" w:eastAsia="zh-CN"/>
                      <w14:textFill>
                        <w14:solidFill>
                          <w14:schemeClr w14:val="tx1"/>
                        </w14:solidFill>
                      </w14:textFill>
                    </w:rPr>
                  </w:pPr>
                  <w:r>
                    <w:rPr>
                      <w:rFonts w:hint="eastAsia" w:cs="Times New Roman"/>
                      <w:b/>
                      <w:bCs/>
                      <w:color w:val="000000" w:themeColor="text1"/>
                      <w:szCs w:val="21"/>
                      <w:u w:val="single"/>
                      <w:lang w:val="en-US" w:eastAsia="zh-CN"/>
                      <w14:textFill>
                        <w14:solidFill>
                          <w14:schemeClr w14:val="tx1"/>
                        </w14:solidFill>
                      </w14:textFill>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vMerge w:val="continue"/>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p>
              </w:tc>
              <w:tc>
                <w:tcPr>
                  <w:tcW w:w="45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O</w:t>
                  </w:r>
                  <w:r>
                    <w:rPr>
                      <w:rFonts w:hint="default" w:ascii="Times New Roman" w:hAnsi="Times New Roman" w:cs="Times New Roman"/>
                      <w:b/>
                      <w:bCs/>
                      <w:color w:val="000000" w:themeColor="text1"/>
                      <w:szCs w:val="21"/>
                      <w:u w:val="single"/>
                      <w:vertAlign w:val="subscript"/>
                      <w14:textFill>
                        <w14:solidFill>
                          <w14:schemeClr w14:val="tx1"/>
                        </w14:solidFill>
                      </w14:textFill>
                    </w:rPr>
                    <w:t>3</w:t>
                  </w:r>
                </w:p>
              </w:tc>
              <w:tc>
                <w:tcPr>
                  <w:tcW w:w="1675" w:type="pct"/>
                  <w:tcBorders>
                    <w:tl2br w:val="nil"/>
                    <w:tr2bl w:val="nil"/>
                  </w:tcBorders>
                  <w:noWrap w:val="0"/>
                  <w:vAlign w:val="center"/>
                </w:tcPr>
                <w:p>
                  <w:pPr>
                    <w:spacing w:before="156" w:beforeLines="50"/>
                    <w:jc w:val="center"/>
                    <w:rPr>
                      <w:rFonts w:hint="default" w:ascii="Times New Roman" w:hAnsi="Times New Roman" w:eastAsia="宋体" w:cs="Times New Roman"/>
                      <w:b/>
                      <w:bCs/>
                      <w:color w:val="000000" w:themeColor="text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Cs w:val="21"/>
                      <w:u w:val="single"/>
                      <w:lang w:val="en-US" w:eastAsia="zh-CN"/>
                      <w14:textFill>
                        <w14:solidFill>
                          <w14:schemeClr w14:val="tx1"/>
                        </w14:solidFill>
                      </w14:textFill>
                    </w:rPr>
                    <w:t>日最大8小时滑动平均浓度值的第90百分位数</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163</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160</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eastAsia="zh-CN"/>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超标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vMerge w:val="continue"/>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p>
              </w:tc>
              <w:tc>
                <w:tcPr>
                  <w:tcW w:w="45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PM</w:t>
                  </w:r>
                  <w:r>
                    <w:rPr>
                      <w:rFonts w:hint="default" w:ascii="Times New Roman" w:hAnsi="Times New Roman" w:cs="Times New Roman"/>
                      <w:b/>
                      <w:bCs/>
                      <w:color w:val="000000" w:themeColor="text1"/>
                      <w:szCs w:val="21"/>
                      <w:u w:val="single"/>
                      <w:vertAlign w:val="subscript"/>
                      <w14:textFill>
                        <w14:solidFill>
                          <w14:schemeClr w14:val="tx1"/>
                        </w14:solidFill>
                      </w14:textFill>
                    </w:rPr>
                    <w:t>10</w:t>
                  </w:r>
                </w:p>
              </w:tc>
              <w:tc>
                <w:tcPr>
                  <w:tcW w:w="1675"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eastAsia="zh-CN"/>
                      <w14:textFill>
                        <w14:solidFill>
                          <w14:schemeClr w14:val="tx1"/>
                        </w14:solidFill>
                      </w14:textFill>
                    </w:rPr>
                  </w:pPr>
                  <w:r>
                    <w:rPr>
                      <w:b/>
                      <w:bCs/>
                      <w:color w:val="000000" w:themeColor="text1"/>
                      <w:szCs w:val="21"/>
                      <w:u w:val="single"/>
                      <w14:textFill>
                        <w14:solidFill>
                          <w14:schemeClr w14:val="tx1"/>
                        </w14:solidFill>
                      </w14:textFill>
                    </w:rPr>
                    <w:t>年平均质量浓度</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83</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b/>
                      <w:bCs/>
                      <w:color w:val="000000" w:themeColor="text1"/>
                      <w:szCs w:val="21"/>
                      <w:u w:val="single"/>
                      <w:lang w:val="en-US" w:eastAsia="zh-CN" w:bidi="ar"/>
                      <w14:textFill>
                        <w14:solidFill>
                          <w14:schemeClr w14:val="tx1"/>
                        </w14:solidFill>
                      </w14:textFill>
                    </w:rPr>
                    <w:t>70</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default" w:ascii="Times New Roman" w:hAnsi="Times New Roman" w:eastAsia="宋体" w:cs="Times New Roman"/>
                      <w:b/>
                      <w:bCs/>
                      <w:color w:val="000000" w:themeColor="text1"/>
                      <w:kern w:val="2"/>
                      <w:sz w:val="21"/>
                      <w:szCs w:val="21"/>
                      <w:u w:val="single"/>
                      <w:lang w:val="en-US" w:eastAsia="zh-CN" w:bidi="ar-SA"/>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超标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6" w:type="pct"/>
                  <w:vMerge w:val="continue"/>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p>
              </w:tc>
              <w:tc>
                <w:tcPr>
                  <w:tcW w:w="452"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rFonts w:hint="default" w:ascii="Times New Roman" w:hAnsi="Times New Roman" w:cs="Times New Roman"/>
                      <w:b/>
                      <w:bCs/>
                      <w:color w:val="000000" w:themeColor="text1"/>
                      <w:szCs w:val="21"/>
                      <w:u w:val="single"/>
                      <w14:textFill>
                        <w14:solidFill>
                          <w14:schemeClr w14:val="tx1"/>
                        </w14:solidFill>
                      </w14:textFill>
                    </w:rPr>
                    <w:t>PM</w:t>
                  </w:r>
                  <w:r>
                    <w:rPr>
                      <w:rFonts w:hint="default" w:ascii="Times New Roman" w:hAnsi="Times New Roman" w:cs="Times New Roman"/>
                      <w:b/>
                      <w:bCs/>
                      <w:color w:val="000000" w:themeColor="text1"/>
                      <w:szCs w:val="21"/>
                      <w:u w:val="single"/>
                      <w:vertAlign w:val="subscript"/>
                      <w14:textFill>
                        <w14:solidFill>
                          <w14:schemeClr w14:val="tx1"/>
                        </w14:solidFill>
                      </w14:textFill>
                    </w:rPr>
                    <w:t>2.5</w:t>
                  </w:r>
                </w:p>
              </w:tc>
              <w:tc>
                <w:tcPr>
                  <w:tcW w:w="1675" w:type="pct"/>
                  <w:tcBorders>
                    <w:tl2br w:val="nil"/>
                    <w:tr2bl w:val="nil"/>
                  </w:tcBorders>
                  <w:noWrap w:val="0"/>
                  <w:vAlign w:val="center"/>
                </w:tcPr>
                <w:p>
                  <w:pPr>
                    <w:spacing w:before="156" w:beforeLines="50"/>
                    <w:jc w:val="center"/>
                    <w:rPr>
                      <w:rFonts w:hint="default" w:ascii="Times New Roman" w:hAnsi="Times New Roman" w:cs="Times New Roman"/>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年平均质量浓度</w:t>
                  </w:r>
                </w:p>
              </w:tc>
              <w:tc>
                <w:tcPr>
                  <w:tcW w:w="790"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ascii="Times New Roman" w:hAnsi="Times New Roman" w:eastAsia="宋体"/>
                      <w:b/>
                      <w:bCs/>
                      <w:color w:val="000000" w:themeColor="text1"/>
                      <w:szCs w:val="21"/>
                      <w:u w:val="single"/>
                      <w:lang w:val="en-US" w:eastAsia="zh-CN" w:bidi="ar"/>
                      <w14:textFill>
                        <w14:solidFill>
                          <w14:schemeClr w14:val="tx1"/>
                        </w14:solidFill>
                      </w14:textFill>
                    </w:rPr>
                    <w:t>40</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723" w:type="pct"/>
                  <w:tcBorders>
                    <w:tl2br w:val="nil"/>
                    <w:tr2bl w:val="nil"/>
                  </w:tcBorders>
                  <w:noWrap w:val="0"/>
                  <w:vAlign w:val="center"/>
                </w:tcPr>
                <w:p>
                  <w:pPr>
                    <w:adjustRightInd w:val="0"/>
                    <w:snapToGrid w:val="0"/>
                    <w:spacing w:line="360" w:lineRule="exact"/>
                    <w:jc w:val="center"/>
                    <w:rPr>
                      <w:rFonts w:hint="default" w:ascii="Times New Roman" w:hAnsi="Times New Roman" w:cs="Times New Roman"/>
                      <w:b/>
                      <w:bCs/>
                      <w:color w:val="000000" w:themeColor="text1"/>
                      <w:szCs w:val="21"/>
                      <w:u w:val="single"/>
                      <w14:textFill>
                        <w14:solidFill>
                          <w14:schemeClr w14:val="tx1"/>
                        </w14:solidFill>
                      </w14:textFill>
                    </w:rPr>
                  </w:pPr>
                  <w:r>
                    <w:rPr>
                      <w:rFonts w:hint="eastAsia" w:ascii="Times New Roman" w:hAnsi="Times New Roman" w:eastAsia="宋体"/>
                      <w:b/>
                      <w:bCs/>
                      <w:color w:val="000000" w:themeColor="text1"/>
                      <w:szCs w:val="21"/>
                      <w:u w:val="single"/>
                      <w:lang w:val="en-US" w:eastAsia="zh-CN" w:bidi="ar"/>
                      <w14:textFill>
                        <w14:solidFill>
                          <w14:schemeClr w14:val="tx1"/>
                        </w14:solidFill>
                      </w14:textFill>
                    </w:rPr>
                    <w:t>35</w:t>
                  </w:r>
                  <w:r>
                    <w:rPr>
                      <w:rFonts w:ascii="Times New Roman" w:hAnsi="Times New Roman" w:eastAsia="宋体"/>
                      <w:b/>
                      <w:bCs/>
                      <w:color w:val="000000" w:themeColor="text1"/>
                      <w:szCs w:val="21"/>
                      <w:u w:val="single"/>
                      <w:lang w:bidi="ar"/>
                      <w14:textFill>
                        <w14:solidFill>
                          <w14:schemeClr w14:val="tx1"/>
                        </w14:solidFill>
                      </w14:textFill>
                    </w:rPr>
                    <w:t>μg/m</w:t>
                  </w:r>
                  <w:r>
                    <w:rPr>
                      <w:rFonts w:ascii="Times New Roman" w:hAnsi="Times New Roman" w:eastAsia="宋体"/>
                      <w:b/>
                      <w:bCs/>
                      <w:color w:val="000000" w:themeColor="text1"/>
                      <w:szCs w:val="21"/>
                      <w:u w:val="single"/>
                      <w:vertAlign w:val="superscript"/>
                      <w:lang w:bidi="ar"/>
                      <w14:textFill>
                        <w14:solidFill>
                          <w14:schemeClr w14:val="tx1"/>
                        </w14:solidFill>
                      </w14:textFill>
                    </w:rPr>
                    <w:t>3</w:t>
                  </w:r>
                </w:p>
              </w:tc>
              <w:tc>
                <w:tcPr>
                  <w:tcW w:w="692" w:type="pct"/>
                  <w:tcBorders>
                    <w:tl2br w:val="nil"/>
                    <w:tr2bl w:val="nil"/>
                  </w:tcBorders>
                  <w:noWrap w:val="0"/>
                  <w:vAlign w:val="center"/>
                </w:tcPr>
                <w:p>
                  <w:pPr>
                    <w:spacing w:before="156" w:beforeLines="50"/>
                    <w:jc w:val="center"/>
                    <w:rPr>
                      <w:rFonts w:hint="eastAsia" w:ascii="Times New Roman" w:hAnsi="Times New Roman" w:eastAsia="宋体" w:cs="Times New Roman"/>
                      <w:b/>
                      <w:bCs/>
                      <w:color w:val="000000" w:themeColor="text1"/>
                      <w:szCs w:val="21"/>
                      <w:u w:val="single"/>
                      <w:lang w:eastAsia="zh-CN"/>
                      <w14:textFill>
                        <w14:solidFill>
                          <w14:schemeClr w14:val="tx1"/>
                        </w14:solidFill>
                      </w14:textFill>
                    </w:rPr>
                  </w:pPr>
                  <w:r>
                    <w:rPr>
                      <w:rFonts w:hint="eastAsia" w:cs="Times New Roman"/>
                      <w:b/>
                      <w:bCs/>
                      <w:color w:val="000000" w:themeColor="text1"/>
                      <w:szCs w:val="21"/>
                      <w:u w:val="single"/>
                      <w:lang w:val="en-US" w:eastAsia="zh-CN"/>
                      <w14:textFill>
                        <w14:solidFill>
                          <w14:schemeClr w14:val="tx1"/>
                        </w14:solidFill>
                      </w14:textFill>
                    </w:rPr>
                    <w:t>超标</w:t>
                  </w:r>
                </w:p>
              </w:tc>
            </w:tr>
          </w:tbl>
          <w:p>
            <w:pPr>
              <w:pStyle w:val="58"/>
              <w:keepNext w:val="0"/>
              <w:keepLines w:val="0"/>
              <w:pageBreakBefore w:val="0"/>
              <w:widowControl w:val="0"/>
              <w:kinsoku/>
              <w:wordWrap/>
              <w:overflowPunct/>
              <w:topLinePunct w:val="0"/>
              <w:bidi w:val="0"/>
              <w:spacing w:line="360" w:lineRule="auto"/>
              <w:ind w:firstLine="480"/>
              <w:textAlignment w:val="auto"/>
              <w:rPr>
                <w:rFonts w:hint="default" w:ascii="Times New Roman" w:hAnsi="Times New Roman" w:cs="Times New Roman"/>
                <w:b/>
                <w:bCs/>
                <w:color w:val="000000" w:themeColor="text1"/>
                <w:u w:val="single"/>
                <w14:textFill>
                  <w14:solidFill>
                    <w14:schemeClr w14:val="tx1"/>
                  </w14:solidFill>
                </w14:textFill>
              </w:rPr>
            </w:pPr>
            <w:r>
              <w:rPr>
                <w:rFonts w:hint="default" w:ascii="Times New Roman" w:hAnsi="Times New Roman" w:cs="Times New Roman"/>
                <w:b/>
                <w:bCs/>
                <w:color w:val="000000" w:themeColor="text1"/>
                <w:u w:val="single"/>
                <w14:textFill>
                  <w14:solidFill>
                    <w14:schemeClr w14:val="tx1"/>
                  </w14:solidFill>
                </w14:textFill>
              </w:rPr>
              <w:t>由上表可知，区域环境空气质量除O</w:t>
            </w:r>
            <w:r>
              <w:rPr>
                <w:rFonts w:hint="default" w:ascii="Times New Roman" w:hAnsi="Times New Roman" w:cs="Times New Roman"/>
                <w:b/>
                <w:bCs/>
                <w:color w:val="000000" w:themeColor="text1"/>
                <w:u w:val="single"/>
                <w:vertAlign w:val="subscript"/>
                <w14:textFill>
                  <w14:solidFill>
                    <w14:schemeClr w14:val="tx1"/>
                  </w14:solidFill>
                </w14:textFill>
              </w:rPr>
              <w:t>3</w:t>
            </w:r>
            <w:r>
              <w:rPr>
                <w:rFonts w:hint="eastAsia" w:ascii="Times New Roman" w:hAnsi="Times New Roman" w:cs="Times New Roman"/>
                <w:b/>
                <w:bCs/>
                <w:color w:val="000000" w:themeColor="text1"/>
                <w:u w:val="single"/>
                <w:lang w:eastAsia="zh-CN"/>
                <w14:textFill>
                  <w14:solidFill>
                    <w14:schemeClr w14:val="tx1"/>
                  </w14:solidFill>
                </w14:textFill>
              </w:rPr>
              <w:t>、</w:t>
            </w:r>
            <w:r>
              <w:rPr>
                <w:rFonts w:hint="default" w:ascii="Times New Roman" w:hAnsi="Times New Roman" w:cs="Times New Roman"/>
                <w:b/>
                <w:bCs/>
                <w:color w:val="000000" w:themeColor="text1"/>
                <w:u w:val="single"/>
                <w14:textFill>
                  <w14:solidFill>
                    <w14:schemeClr w14:val="tx1"/>
                  </w14:solidFill>
                </w14:textFill>
              </w:rPr>
              <w:t>PM</w:t>
            </w:r>
            <w:r>
              <w:rPr>
                <w:rFonts w:hint="default" w:ascii="Times New Roman" w:hAnsi="Times New Roman" w:cs="Times New Roman"/>
                <w:b/>
                <w:bCs/>
                <w:color w:val="000000" w:themeColor="text1"/>
                <w:u w:val="single"/>
                <w:vertAlign w:val="subscript"/>
                <w14:textFill>
                  <w14:solidFill>
                    <w14:schemeClr w14:val="tx1"/>
                  </w14:solidFill>
                </w14:textFill>
              </w:rPr>
              <w:t>10</w:t>
            </w:r>
            <w:r>
              <w:rPr>
                <w:rFonts w:hint="eastAsia" w:ascii="Times New Roman" w:hAnsi="Times New Roman" w:cs="Times New Roman"/>
                <w:b/>
                <w:bCs/>
                <w:color w:val="000000" w:themeColor="text1"/>
                <w:u w:val="single"/>
                <w:lang w:eastAsia="zh-CN"/>
                <w14:textFill>
                  <w14:solidFill>
                    <w14:schemeClr w14:val="tx1"/>
                  </w14:solidFill>
                </w14:textFill>
              </w:rPr>
              <w:t>、</w:t>
            </w:r>
            <w:r>
              <w:rPr>
                <w:rFonts w:hint="default" w:ascii="Times New Roman" w:hAnsi="Times New Roman" w:cs="Times New Roman"/>
                <w:b/>
                <w:bCs/>
                <w:color w:val="000000" w:themeColor="text1"/>
                <w:u w:val="single"/>
                <w14:textFill>
                  <w14:solidFill>
                    <w14:schemeClr w14:val="tx1"/>
                  </w14:solidFill>
                </w14:textFill>
              </w:rPr>
              <w:t>PM</w:t>
            </w:r>
            <w:r>
              <w:rPr>
                <w:rFonts w:hint="eastAsia" w:ascii="Times New Roman" w:hAnsi="Times New Roman" w:cs="Times New Roman"/>
                <w:b/>
                <w:bCs/>
                <w:color w:val="000000" w:themeColor="text1"/>
                <w:u w:val="single"/>
                <w:vertAlign w:val="subscript"/>
                <w:lang w:val="en-US" w:eastAsia="zh-CN"/>
                <w14:textFill>
                  <w14:solidFill>
                    <w14:schemeClr w14:val="tx1"/>
                  </w14:solidFill>
                </w14:textFill>
              </w:rPr>
              <w:t>2.5</w:t>
            </w:r>
            <w:r>
              <w:rPr>
                <w:rFonts w:hint="default" w:ascii="Times New Roman" w:hAnsi="Times New Roman" w:cs="Times New Roman"/>
                <w:b/>
                <w:bCs/>
                <w:color w:val="000000" w:themeColor="text1"/>
                <w:u w:val="single"/>
                <w14:textFill>
                  <w14:solidFill>
                    <w14:schemeClr w14:val="tx1"/>
                  </w14:solidFill>
                </w14:textFill>
              </w:rPr>
              <w:t>外其余各监测因子均满足《环境空气质量标准》（GB3095-2012）</w:t>
            </w:r>
            <w:r>
              <w:rPr>
                <w:rFonts w:hint="eastAsia" w:ascii="Times New Roman" w:hAnsi="Times New Roman" w:cs="Times New Roman"/>
                <w:b/>
                <w:bCs/>
                <w:color w:val="000000" w:themeColor="text1"/>
                <w:spacing w:val="-4"/>
                <w:highlight w:val="none"/>
                <w:u w:val="single"/>
                <w:lang w:eastAsia="zh-CN"/>
                <w14:textFill>
                  <w14:solidFill>
                    <w14:schemeClr w14:val="tx1"/>
                  </w14:solidFill>
                </w14:textFill>
              </w:rPr>
              <w:t>及其修改单中</w:t>
            </w:r>
            <w:r>
              <w:rPr>
                <w:rFonts w:hint="default" w:ascii="Times New Roman" w:hAnsi="Times New Roman" w:cs="Times New Roman"/>
                <w:b/>
                <w:bCs/>
                <w:color w:val="000000" w:themeColor="text1"/>
                <w:u w:val="single"/>
                <w14:textFill>
                  <w14:solidFill>
                    <w14:schemeClr w14:val="tx1"/>
                  </w14:solidFill>
                </w14:textFill>
              </w:rPr>
              <w:t>二级标准。</w:t>
            </w:r>
          </w:p>
          <w:p>
            <w:pPr>
              <w:pStyle w:val="58"/>
              <w:keepNext w:val="0"/>
              <w:keepLines w:val="0"/>
              <w:pageBreakBefore w:val="0"/>
              <w:widowControl w:val="0"/>
              <w:kinsoku/>
              <w:wordWrap/>
              <w:overflowPunct/>
              <w:topLinePunct w:val="0"/>
              <w:bidi w:val="0"/>
              <w:spacing w:line="360" w:lineRule="auto"/>
              <w:ind w:firstLine="480"/>
              <w:textAlignment w:val="auto"/>
              <w:rPr>
                <w:rFonts w:hint="default" w:ascii="Times New Roman" w:hAnsi="Times New Roman" w:cs="Times New Roman"/>
                <w:b w:val="0"/>
                <w:bCs w:val="0"/>
                <w:color w:val="000000" w:themeColor="text1"/>
                <w14:textFill>
                  <w14:solidFill>
                    <w14:schemeClr w14:val="tx1"/>
                  </w14:solidFill>
                </w14:textFill>
              </w:rPr>
            </w:pPr>
            <w:r>
              <w:rPr>
                <w:rFonts w:hint="default" w:ascii="Times New Roman" w:hAnsi="Times New Roman" w:cs="Times New Roman"/>
                <w:b w:val="0"/>
                <w:bCs w:val="0"/>
                <w:color w:val="000000" w:themeColor="text1"/>
                <w14:textFill>
                  <w14:solidFill>
                    <w14:schemeClr w14:val="tx1"/>
                  </w14:solidFill>
                </w14:textFill>
              </w:rPr>
              <w:t>为持续改善全市环境空气质量，打赢打好污染防治攻坚战，平顶山市生态环境保护委员会办公室关于印发《平顶山市2023年蓝天保卫战实施方案》（平环委办[2023]13号）</w:t>
            </w:r>
            <w:r>
              <w:rPr>
                <w:rFonts w:hint="eastAsia" w:ascii="Times New Roman" w:hAnsi="Times New Roman" w:cs="Times New Roman"/>
                <w:b w:val="0"/>
                <w:bCs w:val="0"/>
                <w:color w:val="000000" w:themeColor="text1"/>
                <w:lang w:eastAsia="zh-CN"/>
                <w14:textFill>
                  <w14:solidFill>
                    <w14:schemeClr w14:val="tx1"/>
                  </w14:solidFill>
                </w14:textFill>
              </w:rPr>
              <w:t>，</w:t>
            </w:r>
            <w:r>
              <w:rPr>
                <w:rFonts w:hint="default" w:ascii="Times New Roman" w:hAnsi="Times New Roman" w:cs="Times New Roman"/>
                <w:b w:val="0"/>
                <w:bCs w:val="0"/>
                <w:color w:val="000000" w:themeColor="text1"/>
                <w14:textFill>
                  <w14:solidFill>
                    <w14:schemeClr w14:val="tx1"/>
                  </w14:solidFill>
                </w14:textFill>
              </w:rPr>
              <w:t>主要任务为：</w:t>
            </w:r>
            <w:r>
              <w:rPr>
                <w:rFonts w:hint="eastAsia" w:ascii="Times New Roman" w:hAnsi="Times New Roman" w:cs="Times New Roman"/>
                <w:b w:val="0"/>
                <w:bCs w:val="0"/>
                <w:color w:val="000000" w:themeColor="text1"/>
                <w:lang w:val="en-US" w:eastAsia="zh-CN"/>
                <w14:textFill>
                  <w14:solidFill>
                    <w14:schemeClr w14:val="tx1"/>
                  </w14:solidFill>
                </w14:textFill>
              </w:rPr>
              <w:t>推进工业企业四项工程，深化大气污染综合治理，具体措施为：深化重点行业超低排放改造工程，强化重点行业培育工程，实施工业企业重点行业夯基工程，开展治理设施全面提质工程</w:t>
            </w:r>
            <w:r>
              <w:rPr>
                <w:rFonts w:hint="default" w:ascii="Times New Roman" w:hAnsi="Times New Roman" w:cs="Times New Roman"/>
                <w:b w:val="0"/>
                <w:bCs w:val="0"/>
                <w:color w:val="000000" w:themeColor="text1"/>
                <w14:textFill>
                  <w14:solidFill>
                    <w14:schemeClr w14:val="tx1"/>
                  </w14:solidFill>
                </w14:textFill>
              </w:rPr>
              <w:t>。通过</w:t>
            </w:r>
            <w:r>
              <w:rPr>
                <w:rFonts w:hint="eastAsia" w:ascii="Times New Roman" w:hAnsi="Times New Roman" w:cs="Times New Roman"/>
                <w:b w:val="0"/>
                <w:bCs w:val="0"/>
                <w:color w:val="000000" w:themeColor="text1"/>
                <w:lang w:eastAsia="zh-CN"/>
                <w14:textFill>
                  <w14:solidFill>
                    <w14:schemeClr w14:val="tx1"/>
                  </w14:solidFill>
                </w14:textFill>
              </w:rPr>
              <w:t>一系列有效措施</w:t>
            </w:r>
            <w:r>
              <w:rPr>
                <w:rFonts w:hint="default" w:ascii="Times New Roman" w:hAnsi="Times New Roman" w:cs="Times New Roman"/>
                <w:b w:val="0"/>
                <w:bCs w:val="0"/>
                <w:color w:val="000000" w:themeColor="text1"/>
                <w14:textFill>
                  <w14:solidFill>
                    <w14:schemeClr w14:val="tx1"/>
                  </w14:solidFill>
                </w14:textFill>
              </w:rPr>
              <w:t>的实施，区域环境空气质量将得到有效改善。</w:t>
            </w:r>
          </w:p>
          <w:p>
            <w:pPr>
              <w:keepNext w:val="0"/>
              <w:keepLines w:val="0"/>
              <w:pageBreakBefore w:val="0"/>
              <w:widowControl w:val="0"/>
              <w:kinsoku/>
              <w:wordWrap/>
              <w:overflowPunct/>
              <w:topLinePunct w:val="0"/>
              <w:autoSpaceDE w:val="0"/>
              <w:autoSpaceDN w:val="0"/>
              <w:bidi w:val="0"/>
              <w:adjustRightInd w:val="0"/>
              <w:snapToGrid w:val="0"/>
              <w:spacing w:line="360" w:lineRule="auto"/>
              <w:textAlignment w:val="auto"/>
              <w:rPr>
                <w:rFonts w:cs="宋体"/>
                <w:b/>
                <w:bCs/>
                <w:color w:val="000000" w:themeColor="text1"/>
                <w:kern w:val="0"/>
                <w:sz w:val="24"/>
                <w14:textFill>
                  <w14:solidFill>
                    <w14:schemeClr w14:val="tx1"/>
                  </w14:solidFill>
                </w14:textFill>
              </w:rPr>
            </w:pPr>
            <w:r>
              <w:rPr>
                <w:rFonts w:hint="eastAsia" w:cs="宋体"/>
                <w:b/>
                <w:bCs/>
                <w:color w:val="000000" w:themeColor="text1"/>
                <w:kern w:val="0"/>
                <w:sz w:val="24"/>
                <w14:textFill>
                  <w14:solidFill>
                    <w14:schemeClr w14:val="tx1"/>
                  </w14:solidFill>
                </w14:textFill>
              </w:rPr>
              <w:t>2 地表水环境质量现状</w:t>
            </w:r>
          </w:p>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firstLine="480" w:firstLineChars="200"/>
              <w:jc w:val="both"/>
              <w:textAlignment w:val="auto"/>
              <w:rPr>
                <w:rFonts w:hint="eastAsia" w:ascii="Times New Roman" w:hAnsi="Times New Roman" w:cs="Times New Roman"/>
                <w:color w:val="000000" w:themeColor="text1"/>
                <w:kern w:val="0"/>
                <w:sz w:val="24"/>
                <w:szCs w:val="24"/>
                <w:lang w:val="en-US" w:eastAsia="zh-CN"/>
                <w14:textFill>
                  <w14:solidFill>
                    <w14:schemeClr w14:val="tx1"/>
                  </w14:solidFill>
                </w14:textFill>
              </w:rPr>
            </w:pPr>
            <w:r>
              <w:rPr>
                <w:rFonts w:hint="eastAsia" w:ascii="Times New Roman" w:hAnsi="Times New Roman" w:cs="Times New Roman"/>
                <w:color w:val="000000" w:themeColor="text1"/>
                <w:kern w:val="0"/>
                <w:sz w:val="24"/>
                <w:szCs w:val="24"/>
                <w:lang w:val="en-US" w:eastAsia="zh-CN"/>
                <w14:textFill>
                  <w14:solidFill>
                    <w14:schemeClr w14:val="tx1"/>
                  </w14:solidFill>
                </w14:textFill>
              </w:rPr>
              <w:t>根据现场调查，距离本项目最近的地表水体为西侧约239m处的荡泽河，荡泽河向南流入昭平台水库，昭平台水库属于沙河支流。</w:t>
            </w:r>
          </w:p>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firstLine="480" w:firstLineChars="200"/>
              <w:jc w:val="both"/>
              <w:textAlignment w:val="auto"/>
              <w:rPr>
                <w:rFonts w:hint="eastAsia" w:ascii="Times New Roman" w:hAnsi="Times New Roman" w:cs="Times New Roman"/>
                <w:color w:val="000000" w:themeColor="text1"/>
                <w:kern w:val="0"/>
                <w:sz w:val="24"/>
                <w:szCs w:val="24"/>
                <w:lang w:val="en-US" w:eastAsia="zh-CN"/>
                <w14:textFill>
                  <w14:solidFill>
                    <w14:schemeClr w14:val="tx1"/>
                  </w14:solidFill>
                </w14:textFill>
              </w:rPr>
            </w:pPr>
          </w:p>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firstLine="480" w:firstLineChars="200"/>
              <w:jc w:val="both"/>
              <w:textAlignment w:val="auto"/>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pPr>
            <w:r>
              <w:rPr>
                <w:rFonts w:hint="default" w:ascii="Times New Roman" w:hAnsi="Times New Roman" w:cs="Times New Roman"/>
                <w:b w:val="0"/>
                <w:bCs/>
                <w:color w:val="000000" w:themeColor="text1"/>
                <w:sz w:val="24"/>
                <w:u w:val="none"/>
                <w14:textFill>
                  <w14:solidFill>
                    <w14:schemeClr w14:val="tx1"/>
                  </w14:solidFill>
                </w14:textFill>
              </w:rPr>
              <w:t>本次评价引用平顶山市环境监测中心2021年度昭平台水库的监测数据</w:t>
            </w:r>
            <w:r>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，检测结果如下表：</w:t>
            </w:r>
          </w:p>
          <w:p>
            <w:pPr>
              <w:keepNext w:val="0"/>
              <w:keepLines w:val="0"/>
              <w:pageBreakBefore w:val="0"/>
              <w:widowControl w:val="0"/>
              <w:kinsoku/>
              <w:wordWrap/>
              <w:overflowPunct/>
              <w:topLinePunct w:val="0"/>
              <w:autoSpaceDE/>
              <w:autoSpaceDN/>
              <w:bidi w:val="0"/>
              <w:adjustRightInd w:val="0"/>
              <w:snapToGrid w:val="0"/>
              <w:spacing w:line="360" w:lineRule="auto"/>
              <w:ind w:firstLine="433" w:firstLineChars="196"/>
              <w:jc w:val="center"/>
              <w:textAlignment w:val="auto"/>
              <w:rPr>
                <w:rFonts w:hint="default" w:ascii="Times New Roman" w:hAnsi="Times New Roman" w:eastAsia="宋体" w:cs="Times New Roman"/>
                <w:b/>
                <w:bCs/>
                <w:color w:val="000000" w:themeColor="text1"/>
                <w:sz w:val="22"/>
                <w:szCs w:val="22"/>
                <w:lang w:val="en-US" w:eastAsia="zh-CN"/>
                <w14:textFill>
                  <w14:solidFill>
                    <w14:schemeClr w14:val="tx1"/>
                  </w14:solidFill>
                </w14:textFill>
              </w:rPr>
            </w:pPr>
            <w:r>
              <w:rPr>
                <w:rFonts w:hint="default" w:ascii="Times New Roman" w:hAnsi="Times New Roman" w:eastAsia="宋体" w:cs="Times New Roman"/>
                <w:b/>
                <w:bCs/>
                <w:color w:val="000000" w:themeColor="text1"/>
                <w:sz w:val="22"/>
                <w:szCs w:val="22"/>
                <w14:textFill>
                  <w14:solidFill>
                    <w14:schemeClr w14:val="tx1"/>
                  </w14:solidFill>
                </w14:textFill>
              </w:rPr>
              <w:t>表</w:t>
            </w:r>
            <w:r>
              <w:rPr>
                <w:rFonts w:hint="eastAsia" w:cs="Times New Roman"/>
                <w:b/>
                <w:bCs/>
                <w:color w:val="000000" w:themeColor="text1"/>
                <w:sz w:val="22"/>
                <w:szCs w:val="22"/>
                <w:lang w:val="en-US" w:eastAsia="zh-CN"/>
                <w14:textFill>
                  <w14:solidFill>
                    <w14:schemeClr w14:val="tx1"/>
                  </w14:solidFill>
                </w14:textFill>
              </w:rPr>
              <w:t>3-2</w:t>
            </w:r>
            <w:r>
              <w:rPr>
                <w:rFonts w:hint="eastAsia" w:ascii="Times New Roman" w:hAnsi="Times New Roman" w:eastAsia="宋体" w:cs="Times New Roman"/>
                <w:b/>
                <w:bCs/>
                <w:color w:val="000000" w:themeColor="text1"/>
                <w:sz w:val="22"/>
                <w:szCs w:val="22"/>
                <w:lang w:val="en-US" w:eastAsia="zh-CN"/>
                <w14:textFill>
                  <w14:solidFill>
                    <w14:schemeClr w14:val="tx1"/>
                  </w14:solidFill>
                </w14:textFill>
              </w:rPr>
              <w:t xml:space="preserve">  昭平台水库</w:t>
            </w:r>
            <w:r>
              <w:rPr>
                <w:rFonts w:hint="eastAsia" w:ascii="Times New Roman" w:hAnsi="Times New Roman" w:eastAsia="宋体" w:cs="Times New Roman"/>
                <w:b/>
                <w:bCs/>
                <w:color w:val="000000" w:themeColor="text1"/>
                <w:sz w:val="22"/>
                <w:szCs w:val="22"/>
                <w:lang w:eastAsia="zh-CN"/>
                <w14:textFill>
                  <w14:solidFill>
                    <w14:schemeClr w14:val="tx1"/>
                  </w14:solidFill>
                </w14:textFill>
              </w:rPr>
              <w:t>地表水</w:t>
            </w:r>
            <w:r>
              <w:rPr>
                <w:rFonts w:hint="default" w:ascii="Times New Roman" w:hAnsi="Times New Roman" w:eastAsia="宋体" w:cs="Times New Roman"/>
                <w:b/>
                <w:bCs/>
                <w:color w:val="000000" w:themeColor="text1"/>
                <w:sz w:val="22"/>
                <w:szCs w:val="22"/>
                <w14:textFill>
                  <w14:solidFill>
                    <w14:schemeClr w14:val="tx1"/>
                  </w14:solidFill>
                </w14:textFill>
              </w:rPr>
              <w:t>质量现状浓度检测结果</w:t>
            </w:r>
            <w:r>
              <w:rPr>
                <w:rFonts w:hint="eastAsia" w:ascii="Times New Roman" w:hAnsi="Times New Roman" w:eastAsia="宋体" w:cs="Times New Roman"/>
                <w:b/>
                <w:bCs/>
                <w:color w:val="000000" w:themeColor="text1"/>
                <w:sz w:val="22"/>
                <w:szCs w:val="22"/>
                <w:lang w:val="en-US" w:eastAsia="zh-CN"/>
                <w14:textFill>
                  <w14:solidFill>
                    <w14:schemeClr w14:val="tx1"/>
                  </w14:solidFill>
                </w14:textFill>
              </w:rPr>
              <w:t xml:space="preserve">   单位：</w:t>
            </w:r>
            <w:r>
              <w:rPr>
                <w:rFonts w:hint="default" w:ascii="Times New Roman" w:hAnsi="Times New Roman" w:eastAsia="宋体" w:cs="Times New Roman"/>
                <w:b/>
                <w:bCs/>
                <w:color w:val="000000" w:themeColor="text1"/>
                <w:sz w:val="22"/>
                <w:szCs w:val="22"/>
                <w:lang w:val="en-US" w:eastAsia="zh-CN"/>
                <w14:textFill>
                  <w14:solidFill>
                    <w14:schemeClr w14:val="tx1"/>
                  </w14:solidFill>
                </w14:textFill>
              </w:rPr>
              <w:t>mg/L</w:t>
            </w:r>
          </w:p>
          <w:tbl>
            <w:tblPr>
              <w:tblStyle w:val="27"/>
              <w:tblW w:w="79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3"/>
              <w:gridCol w:w="1535"/>
              <w:gridCol w:w="1045"/>
              <w:gridCol w:w="1425"/>
              <w:gridCol w:w="1860"/>
              <w:gridCol w:w="9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3"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t>监测断面</w:t>
                  </w:r>
                </w:p>
              </w:tc>
              <w:tc>
                <w:tcPr>
                  <w:tcW w:w="153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t>评价指标</w:t>
                  </w:r>
                </w:p>
              </w:tc>
              <w:tc>
                <w:tcPr>
                  <w:tcW w:w="104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t>pH值</w:t>
                  </w:r>
                </w:p>
              </w:tc>
              <w:tc>
                <w:tcPr>
                  <w:tcW w:w="142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i w:val="0"/>
                      <w:color w:val="000000" w:themeColor="text1"/>
                      <w:kern w:val="0"/>
                      <w:sz w:val="21"/>
                      <w:szCs w:val="21"/>
                      <w:u w:val="none"/>
                      <w:lang w:val="en-US" w:eastAsia="zh-CN" w:bidi="ar"/>
                      <w14:textFill>
                        <w14:solidFill>
                          <w14:schemeClr w14:val="tx1"/>
                        </w14:solidFill>
                      </w14:textFill>
                    </w:rPr>
                    <w:t>化学需氧量</w:t>
                  </w:r>
                </w:p>
              </w:tc>
              <w:tc>
                <w:tcPr>
                  <w:tcW w:w="1860"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i w:val="0"/>
                      <w:color w:val="000000" w:themeColor="text1"/>
                      <w:kern w:val="0"/>
                      <w:sz w:val="21"/>
                      <w:szCs w:val="21"/>
                      <w:u w:val="none"/>
                      <w:lang w:val="en-US" w:eastAsia="zh-CN" w:bidi="ar"/>
                      <w14:textFill>
                        <w14:solidFill>
                          <w14:schemeClr w14:val="tx1"/>
                        </w14:solidFill>
                      </w14:textFill>
                    </w:rPr>
                    <w:t>五日生化需氧量</w:t>
                  </w:r>
                </w:p>
              </w:tc>
              <w:tc>
                <w:tcPr>
                  <w:tcW w:w="986"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1"/>
                      <w:szCs w:val="21"/>
                      <w:vertAlign w:val="baseline"/>
                      <w:lang w:val="en-US" w:eastAsia="zh-CN"/>
                      <w14:textFill>
                        <w14:solidFill>
                          <w14:schemeClr w14:val="tx1"/>
                        </w14:solidFill>
                      </w14:textFill>
                    </w:rPr>
                    <w:t>氨氮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3" w:type="dxa"/>
                  <w:vMerge w:val="restart"/>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昭平台水库</w:t>
                  </w:r>
                </w:p>
              </w:tc>
              <w:tc>
                <w:tcPr>
                  <w:tcW w:w="153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均值</w:t>
                  </w:r>
                </w:p>
              </w:tc>
              <w:tc>
                <w:tcPr>
                  <w:tcW w:w="104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8.1</w:t>
                  </w:r>
                </w:p>
              </w:tc>
              <w:tc>
                <w:tcPr>
                  <w:tcW w:w="142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1.5</w:t>
                  </w:r>
                </w:p>
              </w:tc>
              <w:tc>
                <w:tcPr>
                  <w:tcW w:w="1860"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0.01</w:t>
                  </w:r>
                </w:p>
              </w:tc>
              <w:tc>
                <w:tcPr>
                  <w:tcW w:w="986"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0.096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3" w:type="dxa"/>
                  <w:vMerge w:val="continue"/>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p>
              </w:tc>
              <w:tc>
                <w:tcPr>
                  <w:tcW w:w="153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标准指数</w:t>
                  </w:r>
                </w:p>
              </w:tc>
              <w:tc>
                <w:tcPr>
                  <w:tcW w:w="104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0.55</w:t>
                  </w:r>
                </w:p>
              </w:tc>
              <w:tc>
                <w:tcPr>
                  <w:tcW w:w="142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0.075</w:t>
                  </w:r>
                </w:p>
              </w:tc>
              <w:tc>
                <w:tcPr>
                  <w:tcW w:w="1860"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0.2</w:t>
                  </w:r>
                </w:p>
              </w:tc>
              <w:tc>
                <w:tcPr>
                  <w:tcW w:w="986"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0.096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3" w:type="dxa"/>
                  <w:vMerge w:val="continue"/>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p>
              </w:tc>
              <w:tc>
                <w:tcPr>
                  <w:tcW w:w="153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标准值</w:t>
                  </w:r>
                </w:p>
              </w:tc>
              <w:tc>
                <w:tcPr>
                  <w:tcW w:w="104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6-9</w:t>
                  </w:r>
                </w:p>
              </w:tc>
              <w:tc>
                <w:tcPr>
                  <w:tcW w:w="142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20</w:t>
                  </w:r>
                </w:p>
              </w:tc>
              <w:tc>
                <w:tcPr>
                  <w:tcW w:w="1860"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0.05</w:t>
                  </w:r>
                </w:p>
              </w:tc>
              <w:tc>
                <w:tcPr>
                  <w:tcW w:w="986"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3" w:type="dxa"/>
                  <w:vMerge w:val="continue"/>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p>
              </w:tc>
              <w:tc>
                <w:tcPr>
                  <w:tcW w:w="153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最大超标倍数</w:t>
                  </w:r>
                </w:p>
              </w:tc>
              <w:tc>
                <w:tcPr>
                  <w:tcW w:w="104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w:t>
                  </w:r>
                </w:p>
              </w:tc>
              <w:tc>
                <w:tcPr>
                  <w:tcW w:w="1425"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w:t>
                  </w:r>
                </w:p>
              </w:tc>
              <w:tc>
                <w:tcPr>
                  <w:tcW w:w="1860"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w:t>
                  </w:r>
                </w:p>
              </w:tc>
              <w:tc>
                <w:tcPr>
                  <w:tcW w:w="986" w:type="dxa"/>
                  <w:vAlign w:val="center"/>
                </w:tcPr>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1"/>
                      <w:szCs w:val="21"/>
                      <w:vertAlign w:val="baseline"/>
                      <w:lang w:val="en-US" w:eastAsia="zh-CN"/>
                      <w14:textFill>
                        <w14:solidFill>
                          <w14:schemeClr w14:val="tx1"/>
                        </w14:solidFill>
                      </w14:textFill>
                    </w:rPr>
                    <w:t>0</w:t>
                  </w:r>
                </w:p>
              </w:tc>
            </w:tr>
          </w:tbl>
          <w:p>
            <w:pPr>
              <w:pStyle w:val="23"/>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firstLine="480" w:firstLineChars="200"/>
              <w:jc w:val="both"/>
              <w:textAlignment w:val="auto"/>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pPr>
            <w:r>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由上表可知，昭平台水库监测断各项监测因子均满足《地表水环境质量标准》</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w:t>
            </w:r>
            <w:r>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GB3838-2002</w:t>
            </w:r>
            <w:r>
              <w:rPr>
                <w:rFonts w:hint="eastAsia"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Ⅲ</w:t>
            </w:r>
            <w:r>
              <w:rPr>
                <w:rFonts w:hint="default" w:ascii="Times New Roman" w:hAnsi="Times New Roman" w:eastAsia="宋体" w:cs="Times New Roman"/>
                <w:b w:val="0"/>
                <w:bCs w:val="0"/>
                <w:color w:val="000000" w:themeColor="text1"/>
                <w:kern w:val="0"/>
                <w:sz w:val="24"/>
                <w:szCs w:val="24"/>
                <w:lang w:val="en-US" w:eastAsia="zh-CN"/>
                <w14:textFill>
                  <w14:solidFill>
                    <w14:schemeClr w14:val="tx1"/>
                  </w14:solidFill>
                </w14:textFill>
              </w:rPr>
              <w:t>类标准。</w:t>
            </w:r>
          </w:p>
          <w:p>
            <w:pPr>
              <w:adjustRightInd w:val="0"/>
              <w:snapToGrid w:val="0"/>
              <w:spacing w:line="360" w:lineRule="auto"/>
              <w:ind w:firstLine="480" w:firstLineChars="200"/>
              <w:rPr>
                <w:rFonts w:hint="default"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根据《鲁山县2022年环境质量公报》，</w:t>
            </w:r>
            <w:r>
              <w:rPr>
                <w:rFonts w:hint="eastAsia" w:ascii="Times New Roman" w:hAnsi="Times New Roman" w:eastAsia="宋体" w:cs="Times New Roman"/>
                <w:color w:val="000000" w:themeColor="text1"/>
                <w:sz w:val="24"/>
                <w14:textFill>
                  <w14:solidFill>
                    <w14:schemeClr w14:val="tx1"/>
                  </w14:solidFill>
                </w14:textFill>
              </w:rPr>
              <w:t>20</w:t>
            </w:r>
            <w:r>
              <w:rPr>
                <w:rFonts w:hint="default" w:ascii="Times New Roman" w:hAnsi="Times New Roman" w:eastAsia="宋体" w:cs="Times New Roman"/>
                <w:color w:val="000000" w:themeColor="text1"/>
                <w:sz w:val="24"/>
                <w14:textFill>
                  <w14:solidFill>
                    <w14:schemeClr w14:val="tx1"/>
                  </w14:solidFill>
                </w14:textFill>
              </w:rPr>
              <w:t>22</w:t>
            </w:r>
            <w:r>
              <w:rPr>
                <w:rFonts w:hint="eastAsia" w:ascii="Times New Roman" w:hAnsi="Times New Roman" w:eastAsia="宋体" w:cs="Times New Roman"/>
                <w:color w:val="000000" w:themeColor="text1"/>
                <w:sz w:val="24"/>
                <w14:textFill>
                  <w14:solidFill>
                    <w14:schemeClr w14:val="tx1"/>
                  </w14:solidFill>
                </w14:textFill>
              </w:rPr>
              <w:t>年，市控出境水断面沙河水质达标率100%，同比提升10%；澎河水质达标率100%，同比提升20%；将相河水质达标率100%，同比提升90%；冷水河水质达标率87.5%，同比提升27.2%；金鸭河达标率90%，同比提升48.9%。全县7个考核断面综合达标率82.5%，同比提升23%，超额完成市定“水质总体达标率达到68%以上”的目标任务。</w:t>
            </w:r>
            <w:r>
              <w:rPr>
                <w:rFonts w:hint="default" w:ascii="Times New Roman" w:hAnsi="Times New Roman" w:cs="Times New Roman"/>
                <w:color w:val="000000" w:themeColor="text1"/>
                <w:sz w:val="24"/>
                <w14:textFill>
                  <w14:solidFill>
                    <w14:schemeClr w14:val="tx1"/>
                  </w14:solidFill>
                </w14:textFill>
              </w:rPr>
              <w:t>说明区域地表水环境质量状况较好。</w:t>
            </w:r>
          </w:p>
          <w:p>
            <w:pPr>
              <w:autoSpaceDE w:val="0"/>
              <w:autoSpaceDN w:val="0"/>
              <w:adjustRightInd w:val="0"/>
              <w:snapToGrid w:val="0"/>
              <w:spacing w:line="360" w:lineRule="auto"/>
              <w:rPr>
                <w:rFonts w:cs="宋体"/>
                <w:b/>
                <w:bCs/>
                <w:color w:val="000000" w:themeColor="text1"/>
                <w:kern w:val="0"/>
                <w:sz w:val="24"/>
                <w14:textFill>
                  <w14:solidFill>
                    <w14:schemeClr w14:val="tx1"/>
                  </w14:solidFill>
                </w14:textFill>
              </w:rPr>
            </w:pPr>
            <w:r>
              <w:rPr>
                <w:rFonts w:hint="eastAsia" w:cs="宋体"/>
                <w:b/>
                <w:bCs/>
                <w:color w:val="000000" w:themeColor="text1"/>
                <w:kern w:val="0"/>
                <w:sz w:val="24"/>
                <w:lang w:val="en-US" w:eastAsia="zh-CN"/>
                <w14:textFill>
                  <w14:solidFill>
                    <w14:schemeClr w14:val="tx1"/>
                  </w14:solidFill>
                </w14:textFill>
              </w:rPr>
              <w:t>3、</w:t>
            </w:r>
            <w:r>
              <w:rPr>
                <w:rFonts w:hint="eastAsia" w:cs="宋体"/>
                <w:b/>
                <w:bCs/>
                <w:color w:val="000000" w:themeColor="text1"/>
                <w:kern w:val="0"/>
                <w:sz w:val="24"/>
                <w14:textFill>
                  <w14:solidFill>
                    <w14:schemeClr w14:val="tx1"/>
                  </w14:solidFill>
                </w14:textFill>
              </w:rPr>
              <w:t>声环境质量现状</w:t>
            </w:r>
          </w:p>
          <w:p>
            <w:pPr>
              <w:autoSpaceDE w:val="0"/>
              <w:autoSpaceDN w:val="0"/>
              <w:adjustRightInd w:val="0"/>
              <w:snapToGrid w:val="0"/>
              <w:spacing w:line="360" w:lineRule="auto"/>
              <w:ind w:firstLine="480" w:firstLineChars="200"/>
              <w:rPr>
                <w:rFonts w:hint="eastAsia"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本项目周边50m范围内无声环境敏感点。</w:t>
            </w:r>
          </w:p>
          <w:p>
            <w:pPr>
              <w:autoSpaceDE w:val="0"/>
              <w:autoSpaceDN w:val="0"/>
              <w:adjustRightInd w:val="0"/>
              <w:snapToGrid w:val="0"/>
              <w:spacing w:line="360" w:lineRule="auto"/>
              <w:rPr>
                <w:rFonts w:cs="宋体"/>
                <w:b/>
                <w:bCs/>
                <w:color w:val="000000" w:themeColor="text1"/>
                <w:kern w:val="0"/>
                <w:sz w:val="24"/>
                <w14:textFill>
                  <w14:solidFill>
                    <w14:schemeClr w14:val="tx1"/>
                  </w14:solidFill>
                </w14:textFill>
              </w:rPr>
            </w:pPr>
            <w:r>
              <w:rPr>
                <w:rFonts w:hint="eastAsia" w:cs="宋体"/>
                <w:b/>
                <w:bCs/>
                <w:color w:val="000000" w:themeColor="text1"/>
                <w:kern w:val="0"/>
                <w:sz w:val="24"/>
                <w:lang w:val="en-US" w:eastAsia="zh-CN"/>
                <w14:textFill>
                  <w14:solidFill>
                    <w14:schemeClr w14:val="tx1"/>
                  </w14:solidFill>
                </w14:textFill>
              </w:rPr>
              <w:t>4、</w:t>
            </w:r>
            <w:r>
              <w:rPr>
                <w:rFonts w:hint="eastAsia" w:cs="宋体"/>
                <w:b/>
                <w:bCs/>
                <w:color w:val="000000" w:themeColor="text1"/>
                <w:kern w:val="0"/>
                <w:sz w:val="24"/>
                <w14:textFill>
                  <w14:solidFill>
                    <w14:schemeClr w14:val="tx1"/>
                  </w14:solidFill>
                </w14:textFill>
              </w:rPr>
              <w:t>生态环境质量现状</w:t>
            </w:r>
          </w:p>
          <w:p>
            <w:pPr>
              <w:autoSpaceDE w:val="0"/>
              <w:autoSpaceDN w:val="0"/>
              <w:adjustRightInd w:val="0"/>
              <w:snapToGrid w:val="0"/>
              <w:spacing w:line="360" w:lineRule="auto"/>
              <w:ind w:firstLine="480" w:firstLineChars="200"/>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本项目建设地点为</w:t>
            </w:r>
            <w:r>
              <w:rPr>
                <w:rFonts w:hint="eastAsia" w:cs="宋体"/>
                <w:color w:val="000000" w:themeColor="text1"/>
                <w:kern w:val="0"/>
                <w:sz w:val="24"/>
                <w:lang w:eastAsia="zh-CN"/>
                <w14:textFill>
                  <w14:solidFill>
                    <w14:schemeClr w14:val="tx1"/>
                  </w14:solidFill>
                </w14:textFill>
              </w:rPr>
              <w:t>平顶山市鲁山县库区乡环湖路平岭街01号</w:t>
            </w:r>
            <w:r>
              <w:rPr>
                <w:rFonts w:hint="eastAsia" w:cs="宋体"/>
                <w:color w:val="000000" w:themeColor="text1"/>
                <w:kern w:val="0"/>
                <w:sz w:val="24"/>
                <w14:textFill>
                  <w14:solidFill>
                    <w14:schemeClr w14:val="tx1"/>
                  </w14:solidFill>
                </w14:textFill>
              </w:rPr>
              <w:t>，根据现场调查，项目周边多为</w:t>
            </w:r>
            <w:r>
              <w:rPr>
                <w:rFonts w:hint="eastAsia" w:cs="宋体"/>
                <w:color w:val="000000" w:themeColor="text1"/>
                <w:kern w:val="0"/>
                <w:sz w:val="24"/>
                <w:lang w:val="en-US" w:eastAsia="zh-CN"/>
                <w14:textFill>
                  <w14:solidFill>
                    <w14:schemeClr w14:val="tx1"/>
                  </w14:solidFill>
                </w14:textFill>
              </w:rPr>
              <w:t>空地</w:t>
            </w:r>
            <w:r>
              <w:rPr>
                <w:rFonts w:hint="eastAsia" w:cs="宋体"/>
                <w:color w:val="000000" w:themeColor="text1"/>
                <w:kern w:val="0"/>
                <w:sz w:val="24"/>
                <w14:textFill>
                  <w14:solidFill>
                    <w14:schemeClr w14:val="tx1"/>
                  </w14:solidFill>
                </w14:textFill>
              </w:rPr>
              <w:t>，地表植被主要为人工种植的植物以及农作物，主要为人工生态系统，无其他自然生态系统。项目周边500m范围内未发现列入《国家重点保护野生植物名录》和《国家重点保护野生动物名录》的动植物</w:t>
            </w:r>
            <w:r>
              <w:rPr>
                <w:rFonts w:hint="eastAsia" w:cs="宋体"/>
                <w:color w:val="000000" w:themeColor="text1"/>
                <w:kern w:val="0"/>
                <w:sz w:val="24"/>
                <w:lang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00" w:hRule="atLeast"/>
          <w:jc w:val="center"/>
        </w:trPr>
        <w:tc>
          <w:tcPr>
            <w:tcW w:w="800" w:type="dxa"/>
            <w:vAlign w:val="center"/>
          </w:tcPr>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环境</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保护</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目标</w:t>
            </w:r>
          </w:p>
        </w:tc>
        <w:tc>
          <w:tcPr>
            <w:tcW w:w="8190" w:type="dxa"/>
            <w:vAlign w:val="center"/>
          </w:tcPr>
          <w:p>
            <w:pPr>
              <w:autoSpaceDE w:val="0"/>
              <w:autoSpaceDN w:val="0"/>
              <w:adjustRightInd w:val="0"/>
              <w:snapToGrid w:val="0"/>
              <w:spacing w:line="360" w:lineRule="auto"/>
              <w:ind w:firstLine="480" w:firstLineChars="200"/>
              <w:rPr>
                <w:rFonts w:hint="eastAsia" w:ascii="Times New Roman" w:hAnsi="Times New Roman" w:eastAsia="宋体" w:cs="宋体"/>
                <w:color w:val="000000" w:themeColor="text1"/>
                <w:kern w:val="0"/>
                <w:sz w:val="24"/>
                <w14:textFill>
                  <w14:solidFill>
                    <w14:schemeClr w14:val="tx1"/>
                  </w14:solidFill>
                </w14:textFill>
              </w:rPr>
            </w:pPr>
            <w:r>
              <w:rPr>
                <w:rFonts w:hint="eastAsia" w:ascii="Times New Roman" w:hAnsi="Times New Roman" w:eastAsia="宋体" w:cs="宋体"/>
                <w:color w:val="000000" w:themeColor="text1"/>
                <w:kern w:val="0"/>
                <w:sz w:val="24"/>
                <w14:textFill>
                  <w14:solidFill>
                    <w14:schemeClr w14:val="tx1"/>
                  </w14:solidFill>
                </w14:textFill>
              </w:rPr>
              <w:t>本项目位于</w:t>
            </w:r>
            <w:r>
              <w:rPr>
                <w:rFonts w:hint="eastAsia" w:cs="宋体"/>
                <w:color w:val="000000" w:themeColor="text1"/>
                <w:kern w:val="0"/>
                <w:sz w:val="24"/>
                <w:lang w:eastAsia="zh-CN"/>
                <w14:textFill>
                  <w14:solidFill>
                    <w14:schemeClr w14:val="tx1"/>
                  </w14:solidFill>
                </w14:textFill>
              </w:rPr>
              <w:t>平顶山市鲁山县库区乡环湖路平岭街01号</w:t>
            </w:r>
            <w:r>
              <w:rPr>
                <w:rFonts w:hint="eastAsia" w:ascii="Times New Roman" w:hAnsi="Times New Roman" w:eastAsia="宋体" w:cs="宋体"/>
                <w:color w:val="000000" w:themeColor="text1"/>
                <w:kern w:val="0"/>
                <w:sz w:val="24"/>
                <w14:textFill>
                  <w14:solidFill>
                    <w14:schemeClr w14:val="tx1"/>
                  </w14:solidFill>
                </w14:textFill>
              </w:rPr>
              <w:t>，评价范围内无自然保护区、森林公园、文物景观等环境敏感点。本项目主要环境保护目标见下表3-</w:t>
            </w:r>
            <w:r>
              <w:rPr>
                <w:rFonts w:hint="eastAsia" w:ascii="Times New Roman" w:hAnsi="Times New Roman" w:eastAsia="宋体" w:cs="宋体"/>
                <w:color w:val="000000" w:themeColor="text1"/>
                <w:kern w:val="0"/>
                <w:sz w:val="24"/>
                <w:lang w:val="en-US" w:eastAsia="zh-CN"/>
                <w14:textFill>
                  <w14:solidFill>
                    <w14:schemeClr w14:val="tx1"/>
                  </w14:solidFill>
                </w14:textFill>
              </w:rPr>
              <w:t>4</w:t>
            </w:r>
            <w:r>
              <w:rPr>
                <w:rFonts w:hint="eastAsia" w:ascii="Times New Roman" w:hAnsi="Times New Roman" w:eastAsia="宋体" w:cs="宋体"/>
                <w:color w:val="000000" w:themeColor="text1"/>
                <w:kern w:val="0"/>
                <w:sz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33" w:firstLineChars="196"/>
              <w:jc w:val="center"/>
              <w:textAlignment w:val="auto"/>
              <w:rPr>
                <w:rFonts w:hint="default" w:ascii="Times New Roman" w:hAnsi="Times New Roman" w:eastAsia="宋体" w:cs="Times New Roman"/>
                <w:b/>
                <w:bCs/>
                <w:color w:val="000000" w:themeColor="text1"/>
                <w:sz w:val="22"/>
                <w:szCs w:val="22"/>
                <w14:textFill>
                  <w14:solidFill>
                    <w14:schemeClr w14:val="tx1"/>
                  </w14:solidFill>
                </w14:textFill>
              </w:rPr>
            </w:pPr>
            <w:r>
              <w:rPr>
                <w:rFonts w:hint="default" w:ascii="Times New Roman" w:hAnsi="Times New Roman" w:eastAsia="宋体" w:cs="Times New Roman"/>
                <w:b/>
                <w:bCs/>
                <w:color w:val="000000" w:themeColor="text1"/>
                <w:sz w:val="22"/>
                <w:szCs w:val="22"/>
                <w14:textFill>
                  <w14:solidFill>
                    <w14:schemeClr w14:val="tx1"/>
                  </w14:solidFill>
                </w14:textFill>
              </w:rPr>
              <w:t>表</w:t>
            </w:r>
            <w:r>
              <w:rPr>
                <w:rFonts w:hint="eastAsia" w:ascii="Times New Roman" w:hAnsi="Times New Roman" w:eastAsia="宋体" w:cs="Times New Roman"/>
                <w:b/>
                <w:bCs/>
                <w:color w:val="000000" w:themeColor="text1"/>
                <w:sz w:val="22"/>
                <w:szCs w:val="22"/>
                <w14:textFill>
                  <w14:solidFill>
                    <w14:schemeClr w14:val="tx1"/>
                  </w14:solidFill>
                </w14:textFill>
              </w:rPr>
              <w:t>3-</w:t>
            </w:r>
            <w:r>
              <w:rPr>
                <w:rFonts w:hint="eastAsia" w:ascii="Times New Roman" w:hAnsi="Times New Roman" w:eastAsia="宋体" w:cs="Times New Roman"/>
                <w:b/>
                <w:bCs/>
                <w:color w:val="000000" w:themeColor="text1"/>
                <w:sz w:val="22"/>
                <w:szCs w:val="22"/>
                <w:lang w:val="en-US" w:eastAsia="zh-CN"/>
                <w14:textFill>
                  <w14:solidFill>
                    <w14:schemeClr w14:val="tx1"/>
                  </w14:solidFill>
                </w14:textFill>
              </w:rPr>
              <w:t>4</w:t>
            </w:r>
            <w:r>
              <w:rPr>
                <w:rFonts w:hint="default" w:ascii="Times New Roman" w:hAnsi="Times New Roman" w:eastAsia="宋体" w:cs="Times New Roman"/>
                <w:b/>
                <w:bCs/>
                <w:color w:val="000000" w:themeColor="text1"/>
                <w:sz w:val="22"/>
                <w:szCs w:val="22"/>
                <w14:textFill>
                  <w14:solidFill>
                    <w14:schemeClr w14:val="tx1"/>
                  </w14:solidFill>
                </w14:textFill>
              </w:rPr>
              <w:t xml:space="preserve">  </w:t>
            </w:r>
            <w:r>
              <w:rPr>
                <w:rFonts w:hint="eastAsia" w:ascii="Times New Roman" w:hAnsi="Times New Roman" w:eastAsia="宋体" w:cs="Times New Roman"/>
                <w:b/>
                <w:bCs/>
                <w:color w:val="000000" w:themeColor="text1"/>
                <w:sz w:val="22"/>
                <w:szCs w:val="22"/>
                <w14:textFill>
                  <w14:solidFill>
                    <w14:schemeClr w14:val="tx1"/>
                  </w14:solidFill>
                </w14:textFill>
              </w:rPr>
              <w:t>本项目主要</w:t>
            </w:r>
            <w:r>
              <w:rPr>
                <w:rFonts w:hint="default" w:ascii="Times New Roman" w:hAnsi="Times New Roman" w:eastAsia="宋体" w:cs="Times New Roman"/>
                <w:b/>
                <w:bCs/>
                <w:color w:val="000000" w:themeColor="text1"/>
                <w:sz w:val="22"/>
                <w:szCs w:val="22"/>
                <w14:textFill>
                  <w14:solidFill>
                    <w14:schemeClr w14:val="tx1"/>
                  </w14:solidFill>
                </w14:textFill>
              </w:rPr>
              <w:t>环境保护目标</w:t>
            </w:r>
          </w:p>
          <w:tbl>
            <w:tblPr>
              <w:tblStyle w:val="26"/>
              <w:tblW w:w="79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7"/>
              <w:gridCol w:w="791"/>
              <w:gridCol w:w="1114"/>
              <w:gridCol w:w="1194"/>
              <w:gridCol w:w="684"/>
              <w:gridCol w:w="916"/>
              <w:gridCol w:w="1606"/>
              <w:gridCol w:w="613"/>
              <w:gridCol w:w="6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trPr>
              <w:tc>
                <w:tcPr>
                  <w:tcW w:w="397"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环境要素</w:t>
                  </w:r>
                </w:p>
              </w:tc>
              <w:tc>
                <w:tcPr>
                  <w:tcW w:w="801"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名称</w:t>
                  </w:r>
                </w:p>
              </w:tc>
              <w:tc>
                <w:tcPr>
                  <w:tcW w:w="227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坐标</w:t>
                  </w:r>
                </w:p>
              </w:tc>
              <w:tc>
                <w:tcPr>
                  <w:tcW w:w="691"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保护</w:t>
                  </w:r>
                </w:p>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对象</w:t>
                  </w:r>
                </w:p>
              </w:tc>
              <w:tc>
                <w:tcPr>
                  <w:tcW w:w="923"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保护</w:t>
                  </w:r>
                </w:p>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内容</w:t>
                  </w:r>
                </w:p>
              </w:tc>
              <w:tc>
                <w:tcPr>
                  <w:tcW w:w="1606"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环境</w:t>
                  </w:r>
                </w:p>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功能区</w:t>
                  </w:r>
                </w:p>
              </w:tc>
              <w:tc>
                <w:tcPr>
                  <w:tcW w:w="617"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相对</w:t>
                  </w:r>
                </w:p>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厂区</w:t>
                  </w:r>
                </w:p>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方位</w:t>
                  </w:r>
                </w:p>
              </w:tc>
              <w:tc>
                <w:tcPr>
                  <w:tcW w:w="650"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相对厂界距离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801"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11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北纬</w:t>
                  </w:r>
                </w:p>
              </w:tc>
              <w:tc>
                <w:tcPr>
                  <w:tcW w:w="117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东经</w:t>
                  </w:r>
                </w:p>
              </w:tc>
              <w:tc>
                <w:tcPr>
                  <w:tcW w:w="691"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923"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160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6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c>
                <w:tcPr>
                  <w:tcW w:w="65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b/>
                      <w:color w:val="000000" w:themeColor="text1"/>
                      <w:sz w:val="18"/>
                      <w:szCs w:val="1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trPr>
              <w:tc>
                <w:tcPr>
                  <w:tcW w:w="397" w:type="dxa"/>
                  <w:vMerge w:val="restart"/>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环境空气</w:t>
                  </w:r>
                </w:p>
              </w:tc>
              <w:tc>
                <w:tcPr>
                  <w:tcW w:w="8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曹楼</w:t>
                  </w:r>
                </w:p>
              </w:tc>
              <w:tc>
                <w:tcPr>
                  <w:tcW w:w="11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33°</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w:t>
                  </w:r>
                  <w:r>
                    <w:rPr>
                      <w:rFonts w:hint="eastAsia" w:cs="Times New Roman"/>
                      <w:color w:val="000000" w:themeColor="text1"/>
                      <w:sz w:val="18"/>
                      <w:szCs w:val="18"/>
                      <w:lang w:val="en-US" w:eastAsia="zh-CN"/>
                      <w14:textFill>
                        <w14:solidFill>
                          <w14:schemeClr w14:val="tx1"/>
                        </w14:solidFill>
                      </w14:textFill>
                    </w:rPr>
                    <w:t>6</w:t>
                  </w:r>
                  <w:r>
                    <w:rPr>
                      <w:rFonts w:hint="default" w:ascii="Times New Roman" w:hAnsi="Times New Roman" w:eastAsia="宋体" w:cs="Times New Roman"/>
                      <w:color w:val="000000" w:themeColor="text1"/>
                      <w:sz w:val="18"/>
                      <w:szCs w:val="18"/>
                      <w14:textFill>
                        <w14:solidFill>
                          <w14:schemeClr w14:val="tx1"/>
                        </w14:solidFill>
                      </w14:textFill>
                    </w:rPr>
                    <w:t>′</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49.8</w:t>
                  </w:r>
                  <w:r>
                    <w:rPr>
                      <w:rFonts w:hint="default" w:ascii="Times New Roman" w:hAnsi="Times New Roman" w:eastAsia="宋体" w:cs="Times New Roman"/>
                      <w:color w:val="000000" w:themeColor="text1"/>
                      <w:sz w:val="18"/>
                      <w:szCs w:val="18"/>
                      <w14:textFill>
                        <w14:solidFill>
                          <w14:schemeClr w14:val="tx1"/>
                        </w14:solidFill>
                      </w14:textFill>
                    </w:rPr>
                    <w:t>″</w:t>
                  </w:r>
                </w:p>
              </w:tc>
              <w:tc>
                <w:tcPr>
                  <w:tcW w:w="117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112°</w:t>
                  </w:r>
                  <w:r>
                    <w:rPr>
                      <w:rFonts w:hint="eastAsia" w:cs="Times New Roman"/>
                      <w:color w:val="000000" w:themeColor="text1"/>
                      <w:sz w:val="18"/>
                      <w:szCs w:val="18"/>
                      <w:lang w:val="en-US" w:eastAsia="zh-CN"/>
                      <w14:textFill>
                        <w14:solidFill>
                          <w14:schemeClr w14:val="tx1"/>
                        </w14:solidFill>
                      </w14:textFill>
                    </w:rPr>
                    <w:t>47</w:t>
                  </w:r>
                  <w:r>
                    <w:rPr>
                      <w:rFonts w:hint="default" w:ascii="Times New Roman" w:hAnsi="Times New Roman" w:eastAsia="宋体" w:cs="Times New Roman"/>
                      <w:color w:val="000000" w:themeColor="text1"/>
                      <w:sz w:val="18"/>
                      <w:szCs w:val="18"/>
                      <w14:textFill>
                        <w14:solidFill>
                          <w14:schemeClr w14:val="tx1"/>
                        </w14:solidFill>
                      </w14:textFill>
                    </w:rPr>
                    <w:t>′</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16.0</w:t>
                  </w:r>
                  <w:r>
                    <w:rPr>
                      <w:rFonts w:hint="default" w:ascii="Times New Roman" w:hAnsi="Times New Roman" w:eastAsia="宋体" w:cs="Times New Roman"/>
                      <w:color w:val="000000" w:themeColor="text1"/>
                      <w:sz w:val="18"/>
                      <w:szCs w:val="18"/>
                      <w14:textFill>
                        <w14:solidFill>
                          <w14:schemeClr w14:val="tx1"/>
                        </w14:solidFill>
                      </w14:textFill>
                    </w:rPr>
                    <w:t>″</w:t>
                  </w:r>
                </w:p>
              </w:tc>
              <w:tc>
                <w:tcPr>
                  <w:tcW w:w="69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居民区</w:t>
                  </w:r>
                </w:p>
              </w:tc>
              <w:tc>
                <w:tcPr>
                  <w:tcW w:w="9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w:t>
                  </w:r>
                  <w:r>
                    <w:rPr>
                      <w:rFonts w:hint="eastAsia" w:cs="Times New Roman"/>
                      <w:color w:val="000000" w:themeColor="text1"/>
                      <w:sz w:val="18"/>
                      <w:szCs w:val="18"/>
                      <w:lang w:val="en-US" w:eastAsia="zh-CN"/>
                      <w14:textFill>
                        <w14:solidFill>
                          <w14:schemeClr w14:val="tx1"/>
                        </w14:solidFill>
                      </w14:textFill>
                    </w:rPr>
                    <w:t>00</w:t>
                  </w:r>
                  <w:r>
                    <w:rPr>
                      <w:rFonts w:hint="eastAsia" w:ascii="Times New Roman" w:hAnsi="Times New Roman" w:eastAsia="宋体" w:cs="Times New Roman"/>
                      <w:color w:val="000000" w:themeColor="text1"/>
                      <w:sz w:val="18"/>
                      <w:szCs w:val="18"/>
                      <w14:textFill>
                        <w14:solidFill>
                          <w14:schemeClr w14:val="tx1"/>
                        </w14:solidFill>
                      </w14:textFill>
                    </w:rPr>
                    <w:t>户</w:t>
                  </w:r>
                </w:p>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w:t>
                  </w:r>
                  <w:r>
                    <w:rPr>
                      <w:rFonts w:hint="eastAsia" w:cs="Times New Roman"/>
                      <w:color w:val="000000" w:themeColor="text1"/>
                      <w:sz w:val="18"/>
                      <w:szCs w:val="18"/>
                      <w:lang w:val="en-US" w:eastAsia="zh-CN"/>
                      <w14:textFill>
                        <w14:solidFill>
                          <w14:schemeClr w14:val="tx1"/>
                        </w14:solidFill>
                      </w14:textFill>
                    </w:rPr>
                    <w:t>400</w:t>
                  </w:r>
                  <w:r>
                    <w:rPr>
                      <w:rFonts w:hint="eastAsia" w:ascii="Times New Roman" w:hAnsi="Times New Roman" w:eastAsia="宋体" w:cs="Times New Roman"/>
                      <w:color w:val="000000" w:themeColor="text1"/>
                      <w:sz w:val="18"/>
                      <w:szCs w:val="18"/>
                      <w14:textFill>
                        <w14:solidFill>
                          <w14:schemeClr w14:val="tx1"/>
                        </w14:solidFill>
                      </w14:textFill>
                    </w:rPr>
                    <w:t>人）</w:t>
                  </w:r>
                </w:p>
              </w:tc>
              <w:tc>
                <w:tcPr>
                  <w:tcW w:w="1606" w:type="dxa"/>
                  <w:vMerge w:val="restart"/>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《环境空气质量标准》（GB3095-2012）</w:t>
                  </w:r>
                  <w:r>
                    <w:rPr>
                      <w:rFonts w:hint="eastAsia" w:ascii="Times New Roman" w:hAnsi="Times New Roman" w:eastAsia="宋体" w:cs="Times New Roman"/>
                      <w:color w:val="000000" w:themeColor="text1"/>
                      <w:sz w:val="18"/>
                      <w:szCs w:val="18"/>
                      <w14:textFill>
                        <w14:solidFill>
                          <w14:schemeClr w14:val="tx1"/>
                        </w14:solidFill>
                      </w14:textFill>
                    </w:rPr>
                    <w:t>二类区</w:t>
                  </w:r>
                </w:p>
              </w:tc>
              <w:tc>
                <w:tcPr>
                  <w:tcW w:w="6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NE</w:t>
                  </w:r>
                </w:p>
              </w:tc>
              <w:tc>
                <w:tcPr>
                  <w:tcW w:w="65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160m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trPr>
              <w:tc>
                <w:tcPr>
                  <w:tcW w:w="397" w:type="dxa"/>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p>
              </w:tc>
              <w:tc>
                <w:tcPr>
                  <w:tcW w:w="8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000000" w:themeColor="text1"/>
                      <w:sz w:val="18"/>
                      <w:szCs w:val="18"/>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平岭</w:t>
                  </w:r>
                  <w:r>
                    <w:rPr>
                      <w:rFonts w:hint="eastAsia" w:cs="Times New Roman"/>
                      <w:b/>
                      <w:bCs/>
                      <w:color w:val="000000" w:themeColor="text1"/>
                      <w:sz w:val="18"/>
                      <w:szCs w:val="18"/>
                      <w:u w:val="single"/>
                      <w:lang w:val="en-US" w:eastAsia="zh-CN"/>
                      <w14:textFill>
                        <w14:solidFill>
                          <w14:schemeClr w14:val="tx1"/>
                        </w14:solidFill>
                      </w14:textFill>
                    </w:rPr>
                    <w:t>村</w:t>
                  </w:r>
                </w:p>
              </w:tc>
              <w:tc>
                <w:tcPr>
                  <w:tcW w:w="11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000000" w:themeColor="text1"/>
                      <w:sz w:val="18"/>
                      <w:szCs w:val="18"/>
                      <w:u w:val="single"/>
                      <w14:textFill>
                        <w14:solidFill>
                          <w14:schemeClr w14:val="tx1"/>
                        </w14:solidFill>
                      </w14:textFill>
                    </w:rPr>
                  </w:pPr>
                  <w:r>
                    <w:rPr>
                      <w:rFonts w:hint="default" w:ascii="Times New Roman" w:hAnsi="Times New Roman" w:eastAsia="宋体" w:cs="Times New Roman"/>
                      <w:b/>
                      <w:bCs/>
                      <w:color w:val="000000" w:themeColor="text1"/>
                      <w:sz w:val="18"/>
                      <w:szCs w:val="18"/>
                      <w:u w:val="single"/>
                      <w14:textFill>
                        <w14:solidFill>
                          <w14:schemeClr w14:val="tx1"/>
                        </w14:solidFill>
                      </w14:textFill>
                    </w:rPr>
                    <w:t>33°</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45</w:t>
                  </w:r>
                  <w:r>
                    <w:rPr>
                      <w:rFonts w:hint="default" w:ascii="Times New Roman" w:hAnsi="Times New Roman" w:eastAsia="宋体" w:cs="Times New Roman"/>
                      <w:b/>
                      <w:bCs/>
                      <w:color w:val="000000" w:themeColor="text1"/>
                      <w:sz w:val="18"/>
                      <w:szCs w:val="18"/>
                      <w:u w:val="single"/>
                      <w14:textFill>
                        <w14:solidFill>
                          <w14:schemeClr w14:val="tx1"/>
                        </w14:solidFill>
                      </w14:textFill>
                    </w:rPr>
                    <w:t>′</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51.2</w:t>
                  </w:r>
                  <w:r>
                    <w:rPr>
                      <w:rFonts w:hint="default" w:ascii="Times New Roman" w:hAnsi="Times New Roman" w:eastAsia="宋体" w:cs="Times New Roman"/>
                      <w:b/>
                      <w:bCs/>
                      <w:color w:val="000000" w:themeColor="text1"/>
                      <w:sz w:val="18"/>
                      <w:szCs w:val="18"/>
                      <w:u w:val="single"/>
                      <w14:textFill>
                        <w14:solidFill>
                          <w14:schemeClr w14:val="tx1"/>
                        </w14:solidFill>
                      </w14:textFill>
                    </w:rPr>
                    <w:t>″</w:t>
                  </w:r>
                </w:p>
              </w:tc>
              <w:tc>
                <w:tcPr>
                  <w:tcW w:w="117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000000" w:themeColor="text1"/>
                      <w:sz w:val="18"/>
                      <w:szCs w:val="18"/>
                      <w:u w:val="single"/>
                      <w14:textFill>
                        <w14:solidFill>
                          <w14:schemeClr w14:val="tx1"/>
                        </w14:solidFill>
                      </w14:textFill>
                    </w:rPr>
                  </w:pPr>
                  <w:r>
                    <w:rPr>
                      <w:rFonts w:hint="default" w:ascii="Times New Roman" w:hAnsi="Times New Roman" w:eastAsia="宋体" w:cs="Times New Roman"/>
                      <w:b/>
                      <w:bCs/>
                      <w:color w:val="000000" w:themeColor="text1"/>
                      <w:sz w:val="18"/>
                      <w:szCs w:val="18"/>
                      <w:u w:val="single"/>
                      <w14:textFill>
                        <w14:solidFill>
                          <w14:schemeClr w14:val="tx1"/>
                        </w14:solidFill>
                      </w14:textFill>
                    </w:rPr>
                    <w:t>112°</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46</w:t>
                  </w:r>
                  <w:r>
                    <w:rPr>
                      <w:rFonts w:hint="default" w:ascii="Times New Roman" w:hAnsi="Times New Roman" w:eastAsia="宋体" w:cs="Times New Roman"/>
                      <w:b/>
                      <w:bCs/>
                      <w:color w:val="000000" w:themeColor="text1"/>
                      <w:sz w:val="18"/>
                      <w:szCs w:val="18"/>
                      <w:u w:val="single"/>
                      <w14:textFill>
                        <w14:solidFill>
                          <w14:schemeClr w14:val="tx1"/>
                        </w14:solidFill>
                      </w14:textFill>
                    </w:rPr>
                    <w:t>′</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45.5</w:t>
                  </w:r>
                  <w:r>
                    <w:rPr>
                      <w:rFonts w:hint="default" w:ascii="Times New Roman" w:hAnsi="Times New Roman" w:eastAsia="宋体" w:cs="Times New Roman"/>
                      <w:b/>
                      <w:bCs/>
                      <w:color w:val="000000" w:themeColor="text1"/>
                      <w:sz w:val="18"/>
                      <w:szCs w:val="18"/>
                      <w:u w:val="single"/>
                      <w14:textFill>
                        <w14:solidFill>
                          <w14:schemeClr w14:val="tx1"/>
                        </w14:solidFill>
                      </w14:textFill>
                    </w:rPr>
                    <w:t>″</w:t>
                  </w:r>
                </w:p>
              </w:tc>
              <w:tc>
                <w:tcPr>
                  <w:tcW w:w="69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b/>
                      <w:bCs/>
                      <w:color w:val="000000" w:themeColor="text1"/>
                      <w:sz w:val="18"/>
                      <w:szCs w:val="18"/>
                      <w:u w:val="single"/>
                      <w14:textFill>
                        <w14:solidFill>
                          <w14:schemeClr w14:val="tx1"/>
                        </w14:solidFill>
                      </w14:textFill>
                    </w:rPr>
                  </w:pPr>
                  <w:r>
                    <w:rPr>
                      <w:rFonts w:ascii="Times New Roman" w:hAnsi="Times New Roman" w:eastAsia="宋体" w:cs="Times New Roman"/>
                      <w:b/>
                      <w:bCs/>
                      <w:color w:val="000000" w:themeColor="text1"/>
                      <w:sz w:val="18"/>
                      <w:szCs w:val="18"/>
                      <w:u w:val="single"/>
                      <w14:textFill>
                        <w14:solidFill>
                          <w14:schemeClr w14:val="tx1"/>
                        </w14:solidFill>
                      </w14:textFill>
                    </w:rPr>
                    <w:t>居民区</w:t>
                  </w:r>
                </w:p>
              </w:tc>
              <w:tc>
                <w:tcPr>
                  <w:tcW w:w="9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b/>
                      <w:bCs/>
                      <w:color w:val="000000" w:themeColor="text1"/>
                      <w:sz w:val="18"/>
                      <w:szCs w:val="18"/>
                      <w:u w:val="single"/>
                      <w14:textFill>
                        <w14:solidFill>
                          <w14:schemeClr w14:val="tx1"/>
                        </w14:solidFill>
                      </w14:textFill>
                    </w:rPr>
                  </w:pPr>
                  <w:r>
                    <w:rPr>
                      <w:rFonts w:hint="eastAsia" w:cs="Times New Roman"/>
                      <w:b/>
                      <w:bCs/>
                      <w:color w:val="000000" w:themeColor="text1"/>
                      <w:sz w:val="18"/>
                      <w:szCs w:val="18"/>
                      <w:u w:val="single"/>
                      <w:lang w:val="en-US" w:eastAsia="zh-CN"/>
                      <w14:textFill>
                        <w14:solidFill>
                          <w14:schemeClr w14:val="tx1"/>
                        </w14:solidFill>
                      </w14:textFill>
                    </w:rPr>
                    <w:t>80</w:t>
                  </w:r>
                  <w:r>
                    <w:rPr>
                      <w:rFonts w:hint="eastAsia" w:ascii="Times New Roman" w:hAnsi="Times New Roman" w:eastAsia="宋体" w:cs="Times New Roman"/>
                      <w:b/>
                      <w:bCs/>
                      <w:color w:val="000000" w:themeColor="text1"/>
                      <w:sz w:val="18"/>
                      <w:szCs w:val="18"/>
                      <w:u w:val="single"/>
                      <w14:textFill>
                        <w14:solidFill>
                          <w14:schemeClr w14:val="tx1"/>
                        </w14:solidFill>
                      </w14:textFill>
                    </w:rPr>
                    <w:t>户</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000000" w:themeColor="text1"/>
                      <w:sz w:val="18"/>
                      <w:szCs w:val="18"/>
                      <w:u w:val="single"/>
                      <w14:textFill>
                        <w14:solidFill>
                          <w14:schemeClr w14:val="tx1"/>
                        </w14:solidFill>
                      </w14:textFill>
                    </w:rPr>
                  </w:pPr>
                  <w:r>
                    <w:rPr>
                      <w:rFonts w:hint="eastAsia" w:ascii="Times New Roman" w:hAnsi="Times New Roman" w:eastAsia="宋体" w:cs="Times New Roman"/>
                      <w:b/>
                      <w:bCs/>
                      <w:color w:val="000000" w:themeColor="text1"/>
                      <w:sz w:val="18"/>
                      <w:szCs w:val="18"/>
                      <w:u w:val="single"/>
                      <w14:textFill>
                        <w14:solidFill>
                          <w14:schemeClr w14:val="tx1"/>
                        </w14:solidFill>
                      </w14:textFill>
                    </w:rPr>
                    <w:t>（</w:t>
                  </w:r>
                  <w:r>
                    <w:rPr>
                      <w:rFonts w:hint="eastAsia" w:cs="Times New Roman"/>
                      <w:b/>
                      <w:bCs/>
                      <w:color w:val="000000" w:themeColor="text1"/>
                      <w:sz w:val="18"/>
                      <w:szCs w:val="18"/>
                      <w:u w:val="single"/>
                      <w:lang w:val="en-US" w:eastAsia="zh-CN"/>
                      <w14:textFill>
                        <w14:solidFill>
                          <w14:schemeClr w14:val="tx1"/>
                        </w14:solidFill>
                      </w14:textFill>
                    </w:rPr>
                    <w:t>32</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0</w:t>
                  </w:r>
                  <w:r>
                    <w:rPr>
                      <w:rFonts w:hint="eastAsia" w:ascii="Times New Roman" w:hAnsi="Times New Roman" w:eastAsia="宋体" w:cs="Times New Roman"/>
                      <w:b/>
                      <w:bCs/>
                      <w:color w:val="000000" w:themeColor="text1"/>
                      <w:sz w:val="18"/>
                      <w:szCs w:val="18"/>
                      <w:u w:val="single"/>
                      <w14:textFill>
                        <w14:solidFill>
                          <w14:schemeClr w14:val="tx1"/>
                        </w14:solidFill>
                      </w14:textFill>
                    </w:rPr>
                    <w:t>人）</w:t>
                  </w:r>
                </w:p>
              </w:tc>
              <w:tc>
                <w:tcPr>
                  <w:tcW w:w="1606" w:type="dxa"/>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b/>
                      <w:bCs/>
                      <w:color w:val="000000" w:themeColor="text1"/>
                      <w:sz w:val="18"/>
                      <w:szCs w:val="18"/>
                      <w:u w:val="single"/>
                      <w14:textFill>
                        <w14:solidFill>
                          <w14:schemeClr w14:val="tx1"/>
                        </w14:solidFill>
                      </w14:textFill>
                    </w:rPr>
                  </w:pPr>
                </w:p>
              </w:tc>
              <w:tc>
                <w:tcPr>
                  <w:tcW w:w="6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SE</w:t>
                  </w:r>
                </w:p>
              </w:tc>
              <w:tc>
                <w:tcPr>
                  <w:tcW w:w="65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pPr>
                  <w:r>
                    <w:rPr>
                      <w:rFonts w:hint="eastAsia" w:cs="Times New Roman"/>
                      <w:b/>
                      <w:bCs/>
                      <w:color w:val="000000" w:themeColor="text1"/>
                      <w:sz w:val="18"/>
                      <w:szCs w:val="18"/>
                      <w:u w:val="single"/>
                      <w:lang w:val="en-US" w:eastAsia="zh-CN"/>
                      <w14:textFill>
                        <w14:solidFill>
                          <w14:schemeClr w14:val="tx1"/>
                        </w14:solidFill>
                      </w14:textFill>
                    </w:rPr>
                    <w:t>56</w:t>
                  </w:r>
                  <w:r>
                    <w:rPr>
                      <w:rFonts w:hint="eastAsia" w:ascii="Times New Roman" w:hAnsi="Times New Roman" w:eastAsia="宋体" w:cs="Times New Roman"/>
                      <w:b/>
                      <w:bCs/>
                      <w:color w:val="000000" w:themeColor="text1"/>
                      <w:sz w:val="18"/>
                      <w:szCs w:val="18"/>
                      <w:u w:val="single"/>
                      <w:lang w:val="en-US" w:eastAsia="zh-CN"/>
                      <w14:textFill>
                        <w14:solidFill>
                          <w14:schemeClr w14:val="tx1"/>
                        </w14:solidFill>
                      </w14:textFill>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trPr>
              <w:tc>
                <w:tcPr>
                  <w:tcW w:w="397" w:type="dxa"/>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p>
              </w:tc>
              <w:tc>
                <w:tcPr>
                  <w:tcW w:w="80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平岭新村</w:t>
                  </w:r>
                </w:p>
              </w:tc>
              <w:tc>
                <w:tcPr>
                  <w:tcW w:w="11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33°</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44</w:t>
                  </w:r>
                  <w:r>
                    <w:rPr>
                      <w:rFonts w:hint="default" w:ascii="Times New Roman" w:hAnsi="Times New Roman" w:eastAsia="宋体" w:cs="Times New Roman"/>
                      <w:color w:val="000000" w:themeColor="text1"/>
                      <w:sz w:val="18"/>
                      <w:szCs w:val="18"/>
                      <w14:textFill>
                        <w14:solidFill>
                          <w14:schemeClr w14:val="tx1"/>
                        </w14:solidFill>
                      </w14:textFill>
                    </w:rPr>
                    <w:t>′</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34.6</w:t>
                  </w:r>
                  <w:r>
                    <w:rPr>
                      <w:rFonts w:hint="default" w:ascii="Times New Roman" w:hAnsi="Times New Roman" w:eastAsia="宋体" w:cs="Times New Roman"/>
                      <w:color w:val="000000" w:themeColor="text1"/>
                      <w:sz w:val="18"/>
                      <w:szCs w:val="18"/>
                      <w14:textFill>
                        <w14:solidFill>
                          <w14:schemeClr w14:val="tx1"/>
                        </w14:solidFill>
                      </w14:textFill>
                    </w:rPr>
                    <w:t>″</w:t>
                  </w:r>
                </w:p>
              </w:tc>
              <w:tc>
                <w:tcPr>
                  <w:tcW w:w="117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14:textFill>
                        <w14:solidFill>
                          <w14:schemeClr w14:val="tx1"/>
                        </w14:solidFill>
                      </w14:textFill>
                    </w:rPr>
                  </w:pPr>
                  <w:r>
                    <w:rPr>
                      <w:rFonts w:hint="default" w:ascii="Times New Roman" w:hAnsi="Times New Roman" w:eastAsia="宋体" w:cs="Times New Roman"/>
                      <w:color w:val="000000" w:themeColor="text1"/>
                      <w:sz w:val="18"/>
                      <w:szCs w:val="18"/>
                      <w14:textFill>
                        <w14:solidFill>
                          <w14:schemeClr w14:val="tx1"/>
                        </w14:solidFill>
                      </w14:textFill>
                    </w:rPr>
                    <w:t>112°</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45</w:t>
                  </w:r>
                  <w:r>
                    <w:rPr>
                      <w:rFonts w:hint="default" w:ascii="Times New Roman" w:hAnsi="Times New Roman" w:eastAsia="宋体" w:cs="Times New Roman"/>
                      <w:color w:val="000000" w:themeColor="text1"/>
                      <w:sz w:val="18"/>
                      <w:szCs w:val="18"/>
                      <w14:textFill>
                        <w14:solidFill>
                          <w14:schemeClr w14:val="tx1"/>
                        </w14:solidFill>
                      </w14:textFill>
                    </w:rPr>
                    <w:t>′</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19.4</w:t>
                  </w:r>
                  <w:r>
                    <w:rPr>
                      <w:rFonts w:hint="default" w:ascii="Times New Roman" w:hAnsi="Times New Roman" w:eastAsia="宋体" w:cs="Times New Roman"/>
                      <w:color w:val="000000" w:themeColor="text1"/>
                      <w:sz w:val="18"/>
                      <w:szCs w:val="18"/>
                      <w14:textFill>
                        <w14:solidFill>
                          <w14:schemeClr w14:val="tx1"/>
                        </w14:solidFill>
                      </w14:textFill>
                    </w:rPr>
                    <w:t>″</w:t>
                  </w:r>
                </w:p>
              </w:tc>
              <w:tc>
                <w:tcPr>
                  <w:tcW w:w="69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居民区</w:t>
                  </w:r>
                </w:p>
              </w:tc>
              <w:tc>
                <w:tcPr>
                  <w:tcW w:w="9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14</w:t>
                  </w:r>
                  <w:r>
                    <w:rPr>
                      <w:rFonts w:hint="eastAsia" w:cs="Times New Roman"/>
                      <w:color w:val="000000" w:themeColor="text1"/>
                      <w:sz w:val="18"/>
                      <w:szCs w:val="18"/>
                      <w:lang w:val="en-US" w:eastAsia="zh-CN"/>
                      <w14:textFill>
                        <w14:solidFill>
                          <w14:schemeClr w14:val="tx1"/>
                        </w14:solidFill>
                      </w14:textFill>
                    </w:rPr>
                    <w:t>0</w:t>
                  </w:r>
                  <w:r>
                    <w:rPr>
                      <w:rFonts w:hint="eastAsia" w:ascii="Times New Roman" w:hAnsi="Times New Roman" w:eastAsia="宋体" w:cs="Times New Roman"/>
                      <w:color w:val="000000" w:themeColor="text1"/>
                      <w:sz w:val="18"/>
                      <w:szCs w:val="18"/>
                      <w14:textFill>
                        <w14:solidFill>
                          <w14:schemeClr w14:val="tx1"/>
                        </w14:solidFill>
                      </w14:textFill>
                    </w:rPr>
                    <w:t>户</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w:t>
                  </w:r>
                  <w:r>
                    <w:rPr>
                      <w:rFonts w:hint="eastAsia" w:ascii="Times New Roman" w:hAnsi="Times New Roman" w:eastAsia="宋体" w:cs="Times New Roman"/>
                      <w:color w:val="000000" w:themeColor="text1"/>
                      <w:sz w:val="18"/>
                      <w:szCs w:val="18"/>
                      <w:lang w:val="en-US" w:eastAsia="zh-CN"/>
                      <w14:textFill>
                        <w14:solidFill>
                          <w14:schemeClr w14:val="tx1"/>
                        </w14:solidFill>
                      </w14:textFill>
                    </w:rPr>
                    <w:t>56</w:t>
                  </w:r>
                  <w:r>
                    <w:rPr>
                      <w:rFonts w:hint="eastAsia" w:cs="Times New Roman"/>
                      <w:color w:val="000000" w:themeColor="text1"/>
                      <w:sz w:val="18"/>
                      <w:szCs w:val="18"/>
                      <w:lang w:val="en-US" w:eastAsia="zh-CN"/>
                      <w14:textFill>
                        <w14:solidFill>
                          <w14:schemeClr w14:val="tx1"/>
                        </w14:solidFill>
                      </w14:textFill>
                    </w:rPr>
                    <w:t>0</w:t>
                  </w:r>
                  <w:r>
                    <w:rPr>
                      <w:rFonts w:hint="eastAsia" w:ascii="Times New Roman" w:hAnsi="Times New Roman" w:eastAsia="宋体" w:cs="Times New Roman"/>
                      <w:color w:val="000000" w:themeColor="text1"/>
                      <w:sz w:val="18"/>
                      <w:szCs w:val="18"/>
                      <w14:textFill>
                        <w14:solidFill>
                          <w14:schemeClr w14:val="tx1"/>
                        </w14:solidFill>
                      </w14:textFill>
                    </w:rPr>
                    <w:t>人）</w:t>
                  </w:r>
                </w:p>
              </w:tc>
              <w:tc>
                <w:tcPr>
                  <w:tcW w:w="1606" w:type="dxa"/>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p>
              </w:tc>
              <w:tc>
                <w:tcPr>
                  <w:tcW w:w="6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E</w:t>
                  </w:r>
                </w:p>
              </w:tc>
              <w:tc>
                <w:tcPr>
                  <w:tcW w:w="65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410m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类别</w:t>
                  </w:r>
                </w:p>
              </w:tc>
              <w:tc>
                <w:tcPr>
                  <w:tcW w:w="190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保护目标</w:t>
                  </w:r>
                </w:p>
              </w:tc>
              <w:tc>
                <w:tcPr>
                  <w:tcW w:w="117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方位</w:t>
                  </w:r>
                </w:p>
              </w:tc>
              <w:tc>
                <w:tcPr>
                  <w:tcW w:w="161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距离（m）</w:t>
                  </w:r>
                </w:p>
              </w:tc>
              <w:tc>
                <w:tcPr>
                  <w:tcW w:w="287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保护级别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trPr>
              <w:tc>
                <w:tcPr>
                  <w:tcW w:w="397" w:type="dxa"/>
                  <w:vMerge w:val="restart"/>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地表水</w:t>
                  </w:r>
                </w:p>
              </w:tc>
              <w:tc>
                <w:tcPr>
                  <w:tcW w:w="1908" w:type="dxa"/>
                  <w:gridSpan w:val="2"/>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荡泽河</w:t>
                  </w:r>
                </w:p>
              </w:tc>
              <w:tc>
                <w:tcPr>
                  <w:tcW w:w="1172" w:type="dxa"/>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W</w:t>
                  </w:r>
                </w:p>
              </w:tc>
              <w:tc>
                <w:tcPr>
                  <w:tcW w:w="161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239m</w:t>
                  </w:r>
                </w:p>
              </w:tc>
              <w:tc>
                <w:tcPr>
                  <w:tcW w:w="2873" w:type="dxa"/>
                  <w:gridSpan w:val="3"/>
                  <w:vMerge w:val="restart"/>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《地表水环境质量标准》</w:t>
                  </w:r>
                </w:p>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14:textFill>
                        <w14:solidFill>
                          <w14:schemeClr w14:val="tx1"/>
                        </w14:solidFill>
                      </w14:textFill>
                    </w:rPr>
                    <w:t>（</w:t>
                  </w:r>
                  <w:r>
                    <w:rPr>
                      <w:rFonts w:ascii="Times New Roman" w:hAnsi="Times New Roman" w:eastAsia="宋体" w:cs="Times New Roman"/>
                      <w:color w:val="000000" w:themeColor="text1"/>
                      <w:sz w:val="18"/>
                      <w:szCs w:val="18"/>
                      <w14:textFill>
                        <w14:solidFill>
                          <w14:schemeClr w14:val="tx1"/>
                        </w14:solidFill>
                      </w14:textFill>
                    </w:rPr>
                    <w:t>GB3838-2002）</w:t>
                  </w:r>
                  <w:r>
                    <w:rPr>
                      <w:rFonts w:hint="eastAsia" w:ascii="Times New Roman" w:hAnsi="Times New Roman" w:eastAsia="宋体" w:cs="Times New Roman"/>
                      <w:color w:val="000000" w:themeColor="text1"/>
                      <w:sz w:val="18"/>
                      <w:szCs w:val="18"/>
                      <w14:textFill>
                        <w14:solidFill>
                          <w14:schemeClr w14:val="tx1"/>
                        </w14:solidFill>
                      </w14:textFill>
                    </w:rPr>
                    <w:t>Ⅲ</w:t>
                  </w:r>
                  <w:r>
                    <w:rPr>
                      <w:rFonts w:ascii="Times New Roman" w:hAnsi="Times New Roman" w:eastAsia="宋体" w:cs="Times New Roman"/>
                      <w:color w:val="000000" w:themeColor="text1"/>
                      <w:sz w:val="18"/>
                      <w:szCs w:val="18"/>
                      <w14:textFill>
                        <w14:solidFill>
                          <w14:schemeClr w14:val="tx1"/>
                        </w14:solidFill>
                      </w14:textFill>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trPr>
              <w:tc>
                <w:tcPr>
                  <w:tcW w:w="397" w:type="dxa"/>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eastAsia="宋体" w:cs="Times New Roman"/>
                      <w:color w:val="000000" w:themeColor="text1"/>
                      <w:sz w:val="18"/>
                      <w:szCs w:val="18"/>
                      <w14:textFill>
                        <w14:solidFill>
                          <w14:schemeClr w14:val="tx1"/>
                        </w14:solidFill>
                      </w14:textFill>
                    </w:rPr>
                  </w:pPr>
                </w:p>
              </w:tc>
              <w:tc>
                <w:tcPr>
                  <w:tcW w:w="1908" w:type="dxa"/>
                  <w:gridSpan w:val="2"/>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昭平台水库</w:t>
                  </w:r>
                </w:p>
              </w:tc>
              <w:tc>
                <w:tcPr>
                  <w:tcW w:w="1172" w:type="dxa"/>
                  <w:tcBorders>
                    <w:top w:val="single" w:color="auto" w:sz="4" w:space="0"/>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S</w:t>
                  </w:r>
                </w:p>
              </w:tc>
              <w:tc>
                <w:tcPr>
                  <w:tcW w:w="161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lang w:val="en-US" w:eastAsia="zh-CN"/>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691m</w:t>
                  </w:r>
                </w:p>
              </w:tc>
              <w:tc>
                <w:tcPr>
                  <w:tcW w:w="2873" w:type="dxa"/>
                  <w:gridSpan w:val="3"/>
                  <w:vMerge w:val="continue"/>
                  <w:tcBorders>
                    <w:left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000000" w:themeColor="text1"/>
                      <w:sz w:val="18"/>
                      <w:szCs w:val="18"/>
                      <w14:textFill>
                        <w14:solidFill>
                          <w14:schemeClr w14:val="tx1"/>
                        </w14:solidFill>
                      </w14:textFill>
                    </w:rPr>
                  </w:pPr>
                </w:p>
              </w:tc>
            </w:tr>
          </w:tbl>
          <w:p>
            <w:pPr>
              <w:pStyle w:val="16"/>
              <w:ind w:left="0" w:leftChars="0" w:firstLine="0" w:firstLineChars="0"/>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89" w:hRule="atLeast"/>
          <w:jc w:val="center"/>
        </w:trPr>
        <w:tc>
          <w:tcPr>
            <w:tcW w:w="800" w:type="dxa"/>
            <w:tcMar>
              <w:left w:w="28" w:type="dxa"/>
              <w:right w:w="28" w:type="dxa"/>
            </w:tcMar>
            <w:vAlign w:val="center"/>
          </w:tcPr>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污染</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物排</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放控</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制标</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准</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2"/>
              <w:ind w:left="0" w:leftChars="0" w:firstLine="0" w:firstLineChars="0"/>
              <w:jc w:val="center"/>
              <w:rPr>
                <w:rFonts w:cs="宋体"/>
                <w:color w:val="000000" w:themeColor="text1"/>
                <w:kern w:val="0"/>
                <w:sz w:val="24"/>
                <w14:textFill>
                  <w14:solidFill>
                    <w14:schemeClr w14:val="tx1"/>
                  </w14:solidFill>
                </w14:textFill>
              </w:rPr>
            </w:pPr>
          </w:p>
          <w:p>
            <w:pPr>
              <w:jc w:val="center"/>
              <w:rPr>
                <w:color w:val="000000" w:themeColor="text1"/>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pStyle w:val="34"/>
              <w:keepLines w:val="0"/>
              <w:pageBreakBefore w:val="0"/>
              <w:widowControl w:val="0"/>
              <w:kinsoku/>
              <w:wordWrap/>
              <w:topLinePunct w:val="0"/>
              <w:autoSpaceDE/>
              <w:autoSpaceDN/>
              <w:bidi w:val="0"/>
              <w:ind w:left="0" w:right="0" w:firstLine="0" w:firstLineChars="0"/>
              <w:jc w:val="center"/>
              <w:textAlignment w:val="auto"/>
              <w:rPr>
                <w:rFonts w:cs="宋体"/>
                <w:color w:val="000000" w:themeColor="text1"/>
                <w:kern w:val="0"/>
                <w:sz w:val="24"/>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hint="eastAsia" w:cs="宋体"/>
                <w:color w:val="000000" w:themeColor="text1"/>
                <w:kern w:val="0"/>
                <w:sz w:val="24"/>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hint="eastAsia" w:cs="宋体"/>
                <w:color w:val="000000" w:themeColor="text1"/>
                <w:kern w:val="0"/>
                <w:sz w:val="24"/>
                <w14:textFill>
                  <w14:solidFill>
                    <w14:schemeClr w14:val="tx1"/>
                  </w14:solidFill>
                </w14:textFill>
              </w:rPr>
            </w:pP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污染</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物排</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放控</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制标</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准</w:t>
            </w:r>
          </w:p>
        </w:tc>
        <w:tc>
          <w:tcPr>
            <w:tcW w:w="8190" w:type="dxa"/>
            <w:vAlign w:val="center"/>
          </w:tcPr>
          <w:tbl>
            <w:tblPr>
              <w:tblStyle w:val="26"/>
              <w:tblpPr w:leftFromText="180" w:rightFromText="180" w:vertAnchor="text" w:horzAnchor="margin" w:tblpY="212"/>
              <w:tblOverlap w:val="never"/>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28" w:type="dxa"/>
                <w:left w:w="108" w:type="dxa"/>
                <w:bottom w:w="28" w:type="dxa"/>
                <w:right w:w="108" w:type="dxa"/>
              </w:tblCellMar>
            </w:tblPr>
            <w:tblGrid>
              <w:gridCol w:w="751"/>
              <w:gridCol w:w="2735"/>
              <w:gridCol w:w="1792"/>
              <w:gridCol w:w="890"/>
              <w:gridCol w:w="18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59" w:hRule="atLeast"/>
              </w:trPr>
              <w:tc>
                <w:tcPr>
                  <w:tcW w:w="47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环境</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要素</w:t>
                  </w:r>
                </w:p>
              </w:tc>
              <w:tc>
                <w:tcPr>
                  <w:tcW w:w="1715"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标准名称</w:t>
                  </w:r>
                </w:p>
              </w:tc>
              <w:tc>
                <w:tcPr>
                  <w:tcW w:w="1124"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执行级别</w:t>
                  </w:r>
                  <w:r>
                    <w:rPr>
                      <w:rFonts w:hint="default" w:ascii="Times New Roman" w:hAnsi="Times New Roman" w:eastAsia="宋体" w:cs="Times New Roman"/>
                      <w:b/>
                      <w:bCs/>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b/>
                      <w:bCs/>
                      <w:color w:val="000000" w:themeColor="text1"/>
                      <w:sz w:val="21"/>
                      <w:szCs w:val="21"/>
                      <w14:textFill>
                        <w14:solidFill>
                          <w14:schemeClr w14:val="tx1"/>
                        </w14:solidFill>
                      </w14:textFill>
                    </w:rPr>
                    <w:t>（类别）</w:t>
                  </w:r>
                </w:p>
              </w:tc>
              <w:tc>
                <w:tcPr>
                  <w:tcW w:w="168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污染物</w:t>
                  </w:r>
                  <w:r>
                    <w:rPr>
                      <w:rFonts w:hint="default" w:ascii="Times New Roman" w:hAnsi="Times New Roman" w:eastAsia="宋体" w:cs="Times New Roman"/>
                      <w:b/>
                      <w:bCs/>
                      <w:color w:val="000000" w:themeColor="text1"/>
                      <w:sz w:val="21"/>
                      <w:szCs w:val="21"/>
                      <w:lang w:eastAsia="zh-CN"/>
                      <w14:textFill>
                        <w14:solidFill>
                          <w14:schemeClr w14:val="tx1"/>
                        </w14:solidFill>
                      </w14:textFill>
                    </w:rPr>
                    <w:t>排放</w:t>
                  </w:r>
                  <w:r>
                    <w:rPr>
                      <w:rFonts w:hint="default" w:ascii="Times New Roman" w:hAnsi="Times New Roman" w:eastAsia="宋体" w:cs="Times New Roman"/>
                      <w:b/>
                      <w:bCs/>
                      <w:color w:val="000000" w:themeColor="text1"/>
                      <w:sz w:val="21"/>
                      <w:szCs w:val="21"/>
                      <w14:textFill>
                        <w14:solidFill>
                          <w14:schemeClr w14:val="tx1"/>
                        </w14:solidFill>
                      </w14:textFill>
                    </w:rPr>
                    <w:t>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废气</w:t>
                  </w:r>
                </w:p>
              </w:tc>
              <w:tc>
                <w:tcPr>
                  <w:tcW w:w="1715"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《大气污染物综合排放标准》（GB16297-1996）表2二级标准</w:t>
                  </w:r>
                </w:p>
              </w:tc>
              <w:tc>
                <w:tcPr>
                  <w:tcW w:w="1124"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颗粒物</w:t>
                  </w:r>
                </w:p>
              </w:tc>
              <w:tc>
                <w:tcPr>
                  <w:tcW w:w="5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有组织</w:t>
                  </w: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20m高排气筒排放浓度120mg/m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，排放速率5.9kg/h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continue"/>
                  <w:noWrap w:val="0"/>
                  <w:vAlign w:val="center"/>
                </w:tcPr>
                <w:p>
                  <w:pPr>
                    <w:pStyle w:val="8"/>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124"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5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无组织</w:t>
                  </w: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河南省《锅炉大气污染物排放标准》（DB41/2089-2021）表1</w:t>
                  </w: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颗粒物</w:t>
                  </w:r>
                </w:p>
              </w:tc>
              <w:tc>
                <w:tcPr>
                  <w:tcW w:w="168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5mg/m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二氧化硫</w:t>
                  </w:r>
                </w:p>
              </w:tc>
              <w:tc>
                <w:tcPr>
                  <w:tcW w:w="168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10mg/m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continue"/>
                  <w:noWrap w:val="0"/>
                  <w:vAlign w:val="center"/>
                </w:tcPr>
                <w:p>
                  <w:pPr>
                    <w:pStyle w:val="8"/>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氮氧化物</w:t>
                  </w:r>
                </w:p>
              </w:tc>
              <w:tc>
                <w:tcPr>
                  <w:tcW w:w="1689" w:type="pct"/>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30mg/m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《恶臭污染物排放标准》（GB14554-93）二级标准</w:t>
                  </w: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臭气浓度</w:t>
                  </w:r>
                </w:p>
              </w:tc>
              <w:tc>
                <w:tcPr>
                  <w:tcW w:w="558"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无组织</w:t>
                  </w: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20（无量纲）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氨</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1.5mg/m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硫化氢</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0"/>
                      <w:kern w:val="0"/>
                      <w:sz w:val="21"/>
                      <w:szCs w:val="21"/>
                      <w:vertAlign w:val="baseline"/>
                      <w:lang w:val="en-US" w:eastAsia="zh-CN" w:bidi="ar-SA"/>
                      <w14:textFill>
                        <w14:solidFill>
                          <w14:schemeClr w14:val="tx1"/>
                        </w14:solidFill>
                      </w14:textFill>
                    </w:rPr>
                    <w:t>0.06mg/m</w:t>
                  </w:r>
                  <w:r>
                    <w:rPr>
                      <w:rFonts w:hint="default" w:ascii="Times New Roman" w:hAnsi="Times New Roman" w:eastAsia="宋体" w:cs="Times New Roman"/>
                      <w:color w:val="000000" w:themeColor="text1"/>
                      <w:spacing w:val="0"/>
                      <w:kern w:val="0"/>
                      <w:sz w:val="21"/>
                      <w:szCs w:val="21"/>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废水</w:t>
                  </w:r>
                </w:p>
              </w:tc>
              <w:tc>
                <w:tcPr>
                  <w:tcW w:w="1715"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《农田灌溉水质标准》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（GB 5084-2021）</w:t>
                  </w: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pH值</w:t>
                  </w:r>
                </w:p>
              </w:tc>
              <w:tc>
                <w:tcPr>
                  <w:tcW w:w="558"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eastAsia" w:cs="Times New Roman"/>
                      <w:b/>
                      <w:bCs/>
                      <w:color w:val="000000" w:themeColor="text1"/>
                      <w:sz w:val="21"/>
                      <w:szCs w:val="21"/>
                      <w:u w:val="single"/>
                      <w:lang w:val="en-US" w:eastAsia="zh-CN"/>
                      <w14:textFill>
                        <w14:solidFill>
                          <w14:schemeClr w14:val="tx1"/>
                        </w14:solidFill>
                      </w14:textFill>
                    </w:rPr>
                    <w:t>旱地作物</w:t>
                  </w: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5.5～8.5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水温/℃</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悬浮物/（mg/L）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五日生化需氧量/（mg/L）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化学需氧量/（mg/L）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阴离子表面活性剂/（mg/L）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氯化物/（mg/L）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2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粪大肠菌群数/（MPN/L）</w:t>
                  </w:r>
                </w:p>
              </w:tc>
              <w:tc>
                <w:tcPr>
                  <w:tcW w:w="558"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1130"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40000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噪声</w:t>
                  </w:r>
                </w:p>
              </w:tc>
              <w:tc>
                <w:tcPr>
                  <w:tcW w:w="1715" w:type="pct"/>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《建筑施工场界环境噪声排放标准》（GB12523-2011）</w:t>
                  </w:r>
                </w:p>
              </w:tc>
              <w:tc>
                <w:tcPr>
                  <w:tcW w:w="1792"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昼间</w:t>
                  </w:r>
                </w:p>
              </w:tc>
              <w:tc>
                <w:tcPr>
                  <w:tcW w:w="2693"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z w:val="21"/>
                      <w:szCs w:val="21"/>
                      <w:u w:val="single"/>
                      <w:lang w:val="en-US" w:eastAsia="zh-CN"/>
                      <w14:textFill>
                        <w14:solidFill>
                          <w14:schemeClr w14:val="tx1"/>
                        </w14:solidFill>
                      </w14:textFill>
                    </w:rPr>
                    <w:t>70</w:t>
                  </w:r>
                  <w:r>
                    <w:rPr>
                      <w:rFonts w:hint="default" w:ascii="Times New Roman" w:hAnsi="Times New Roman" w:eastAsia="宋体" w:cs="Times New Roman"/>
                      <w:b/>
                      <w:bCs/>
                      <w:color w:val="000000" w:themeColor="text1"/>
                      <w:sz w:val="21"/>
                      <w:szCs w:val="21"/>
                      <w:u w:val="single"/>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792"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夜间</w:t>
                  </w:r>
                </w:p>
              </w:tc>
              <w:tc>
                <w:tcPr>
                  <w:tcW w:w="2693"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z w:val="21"/>
                      <w:szCs w:val="21"/>
                      <w:u w:val="single"/>
                      <w:lang w:val="en-US" w:eastAsia="zh-CN"/>
                      <w14:textFill>
                        <w14:solidFill>
                          <w14:schemeClr w14:val="tx1"/>
                        </w14:solidFill>
                      </w14:textFill>
                    </w:rPr>
                    <w:t>55</w:t>
                  </w:r>
                  <w:r>
                    <w:rPr>
                      <w:rFonts w:hint="default" w:ascii="Times New Roman" w:hAnsi="Times New Roman" w:eastAsia="宋体" w:cs="Times New Roman"/>
                      <w:b/>
                      <w:bCs/>
                      <w:color w:val="000000" w:themeColor="text1"/>
                      <w:sz w:val="21"/>
                      <w:szCs w:val="21"/>
                      <w:u w:val="single"/>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715"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《工业企业厂界环境噪声排放标准》（</w:t>
                  </w:r>
                  <w:r>
                    <w:rPr>
                      <w:rFonts w:hint="default" w:ascii="Times New Roman" w:hAnsi="Times New Roman" w:eastAsia="宋体" w:cs="Times New Roman"/>
                      <w:color w:val="000000" w:themeColor="text1"/>
                      <w:sz w:val="21"/>
                      <w:szCs w:val="21"/>
                      <w14:textFill>
                        <w14:solidFill>
                          <w14:schemeClr w14:val="tx1"/>
                        </w14:solidFill>
                      </w14:textFill>
                    </w:rPr>
                    <w:t>GB12348-2008</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w:t>
                  </w:r>
                </w:p>
              </w:tc>
              <w:tc>
                <w:tcPr>
                  <w:tcW w:w="1124" w:type="pct"/>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14:textFill>
                        <w14:solidFill>
                          <w14:schemeClr w14:val="tx1"/>
                        </w14:solidFill>
                      </w14:textFill>
                    </w:rPr>
                    <w:t>类</w:t>
                  </w:r>
                </w:p>
              </w:tc>
              <w:tc>
                <w:tcPr>
                  <w:tcW w:w="55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昼间</w:t>
                  </w:r>
                </w:p>
              </w:tc>
              <w:tc>
                <w:tcPr>
                  <w:tcW w:w="113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60</w:t>
                  </w:r>
                  <w:r>
                    <w:rPr>
                      <w:rFonts w:hint="default" w:ascii="Times New Roman" w:hAnsi="Times New Roman" w:eastAsia="宋体" w:cs="Times New Roman"/>
                      <w:color w:val="000000" w:themeColor="text1"/>
                      <w:sz w:val="21"/>
                      <w:szCs w:val="21"/>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90" w:hRule="atLeast"/>
              </w:trPr>
              <w:tc>
                <w:tcPr>
                  <w:tcW w:w="471"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715"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1124" w:type="pct"/>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p>
              </w:tc>
              <w:tc>
                <w:tcPr>
                  <w:tcW w:w="558"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夜间</w:t>
                  </w:r>
                </w:p>
              </w:tc>
              <w:tc>
                <w:tcPr>
                  <w:tcW w:w="1130"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50</w:t>
                  </w:r>
                  <w:r>
                    <w:rPr>
                      <w:rFonts w:hint="default" w:ascii="Times New Roman" w:hAnsi="Times New Roman" w:eastAsia="宋体" w:cs="Times New Roman"/>
                      <w:color w:val="000000" w:themeColor="text1"/>
                      <w:sz w:val="21"/>
                      <w:szCs w:val="21"/>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cantSplit/>
                <w:trHeight w:val="463" w:hRule="atLeast"/>
              </w:trPr>
              <w:tc>
                <w:tcPr>
                  <w:tcW w:w="471" w:type="pc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固废</w:t>
                  </w:r>
                </w:p>
              </w:tc>
              <w:tc>
                <w:tcPr>
                  <w:tcW w:w="4528" w:type="pct"/>
                  <w:gridSpan w:val="4"/>
                  <w:noWrap w:val="0"/>
                  <w:vAlign w:val="center"/>
                </w:tcPr>
                <w:p>
                  <w:pPr>
                    <w:pStyle w:val="9"/>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contextualSpacing/>
                    <w:jc w:val="center"/>
                    <w:textAlignment w:val="auto"/>
                    <w:outlineLvl w:val="9"/>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一般工业固体废物参照《一般工业固体废物贮存和填埋污染控制标准》（GB18599-2020）执行，满足相应防渗漏、防雨淋、防扬尘等环境保护要求。</w:t>
                  </w:r>
                  <w:r>
                    <w:rPr>
                      <w:rFonts w:hint="eastAsia" w:cs="Times New Roman"/>
                      <w:color w:val="000000" w:themeColor="text1"/>
                      <w:sz w:val="21"/>
                      <w:szCs w:val="21"/>
                      <w:lang w:val="en-US" w:eastAsia="zh-CN"/>
                      <w14:textFill>
                        <w14:solidFill>
                          <w14:schemeClr w14:val="tx1"/>
                        </w14:solidFill>
                      </w14:textFill>
                    </w:rPr>
                    <w:t>危险废物</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执行《危险废物贮存污染控制标准》（GB18597-2023）。</w:t>
                  </w:r>
                </w:p>
              </w:tc>
            </w:tr>
          </w:tbl>
          <w:p>
            <w:pPr>
              <w:adjustRightInd w:val="0"/>
              <w:snapToGrid w:val="0"/>
              <w:jc w:val="center"/>
              <w:rPr>
                <w:rFonts w:cs="宋体"/>
                <w:color w:val="000000" w:themeColor="text1"/>
                <w:kern w:val="0"/>
                <w:sz w:val="24"/>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978" w:hRule="atLeast"/>
          <w:jc w:val="center"/>
        </w:trPr>
        <w:tc>
          <w:tcPr>
            <w:tcW w:w="800" w:type="dxa"/>
            <w:vAlign w:val="center"/>
          </w:tcPr>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总量</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控制</w:t>
            </w:r>
          </w:p>
          <w:p>
            <w:pPr>
              <w:keepLines w:val="0"/>
              <w:pageBreakBefore w:val="0"/>
              <w:widowControl w:val="0"/>
              <w:kinsoku/>
              <w:wordWrap/>
              <w:topLinePunct w:val="0"/>
              <w:autoSpaceDE/>
              <w:autoSpaceDN/>
              <w:bidi w:val="0"/>
              <w:adjustRightInd w:val="0"/>
              <w:snapToGrid w:val="0"/>
              <w:ind w:left="0" w:right="0" w:firstLine="0" w:firstLineChars="0"/>
              <w:jc w:val="center"/>
              <w:textAlignment w:val="auto"/>
              <w:rPr>
                <w:rFonts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指标</w:t>
            </w:r>
          </w:p>
        </w:tc>
        <w:tc>
          <w:tcPr>
            <w:tcW w:w="8190"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根据《平顶山市人民政府关于印发平顶山市“十四五”生态环境保护和生态经济发展规划的通知》（平政[2023]10号），污染物排放总量控制指标为氮氧化物、</w:t>
            </w:r>
            <w:r>
              <w:rPr>
                <w:rFonts w:hint="eastAsia" w:cs="Times New Roman"/>
                <w:color w:val="000000" w:themeColor="text1"/>
                <w:sz w:val="24"/>
                <w:lang w:val="en-US" w:eastAsia="zh-CN"/>
                <w14:textFill>
                  <w14:solidFill>
                    <w14:schemeClr w14:val="tx1"/>
                  </w14:solidFill>
                </w14:textFill>
              </w:rPr>
              <w:t>有机废气、</w:t>
            </w:r>
            <w:r>
              <w:rPr>
                <w:rFonts w:hint="eastAsia" w:ascii="Times New Roman" w:hAnsi="Times New Roman" w:eastAsia="宋体" w:cs="Times New Roman"/>
                <w:color w:val="000000" w:themeColor="text1"/>
                <w:sz w:val="24"/>
                <w:lang w:val="en-US" w:eastAsia="zh-CN"/>
                <w14:textFill>
                  <w14:solidFill>
                    <w14:schemeClr w14:val="tx1"/>
                  </w14:solidFill>
                </w14:textFill>
              </w:rPr>
              <w:t>COD、氨氮。</w:t>
            </w:r>
          </w:p>
          <w:p>
            <w:pPr>
              <w:keepNext w:val="0"/>
              <w:keepLines w:val="0"/>
              <w:pageBreakBefore w:val="0"/>
              <w:widowControl w:val="0"/>
              <w:kinsoku/>
              <w:wordWrap/>
              <w:overflowPunct/>
              <w:topLinePunct w:val="0"/>
              <w:autoSpaceDE/>
              <w:autoSpaceDN/>
              <w:bidi w:val="0"/>
              <w:adjustRightInd w:val="0"/>
              <w:snapToGrid w:val="0"/>
              <w:spacing w:line="360" w:lineRule="auto"/>
              <w:ind w:firstLine="433" w:firstLineChars="196"/>
              <w:jc w:val="center"/>
              <w:textAlignment w:val="auto"/>
              <w:rPr>
                <w:rFonts w:hint="default" w:ascii="Times New Roman" w:hAnsi="Times New Roman" w:eastAsia="宋体" w:cs="Times New Roman"/>
                <w:b/>
                <w:bCs/>
                <w:color w:val="000000" w:themeColor="text1"/>
                <w:sz w:val="22"/>
                <w:szCs w:val="22"/>
                <w:lang w:val="en-US"/>
                <w14:textFill>
                  <w14:solidFill>
                    <w14:schemeClr w14:val="tx1"/>
                  </w14:solidFill>
                </w14:textFill>
              </w:rPr>
            </w:pPr>
            <w:r>
              <w:rPr>
                <w:rFonts w:hint="eastAsia" w:ascii="Times New Roman" w:hAnsi="Times New Roman" w:eastAsia="宋体" w:cs="Times New Roman"/>
                <w:b/>
                <w:bCs/>
                <w:color w:val="000000" w:themeColor="text1"/>
                <w:sz w:val="22"/>
                <w:szCs w:val="22"/>
                <w:lang w:val="en-US" w:eastAsia="zh-CN"/>
                <w14:textFill>
                  <w14:solidFill>
                    <w14:schemeClr w14:val="tx1"/>
                  </w14:solidFill>
                </w14:textFill>
              </w:rPr>
              <w:t>表3-5  建成后污染物排放总量</w:t>
            </w:r>
          </w:p>
          <w:tbl>
            <w:tblPr>
              <w:tblStyle w:val="27"/>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1"/>
              <w:gridCol w:w="1594"/>
              <w:gridCol w:w="1594"/>
              <w:gridCol w:w="1594"/>
              <w:gridCol w:w="1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pct"/>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种类</w:t>
                  </w:r>
                </w:p>
              </w:tc>
              <w:tc>
                <w:tcPr>
                  <w:tcW w:w="1000" w:type="pct"/>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污染物名称</w:t>
                  </w:r>
                </w:p>
              </w:tc>
              <w:tc>
                <w:tcPr>
                  <w:tcW w:w="10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重新报批前</w:t>
                  </w:r>
                </w:p>
              </w:tc>
              <w:tc>
                <w:tcPr>
                  <w:tcW w:w="10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重新报批后</w:t>
                  </w:r>
                </w:p>
              </w:tc>
              <w:tc>
                <w:tcPr>
                  <w:tcW w:w="1000" w:type="pct"/>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变化量（t/a）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000"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0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排放量（t/a）</w:t>
                  </w:r>
                </w:p>
              </w:tc>
              <w:tc>
                <w:tcPr>
                  <w:tcW w:w="100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排放量（t/a）</w:t>
                  </w:r>
                </w:p>
              </w:tc>
              <w:tc>
                <w:tcPr>
                  <w:tcW w:w="1000"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8"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000" w:type="pct"/>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NOx</w:t>
                  </w:r>
                </w:p>
              </w:tc>
              <w:tc>
                <w:tcPr>
                  <w:tcW w:w="1000" w:type="pct"/>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0.505</w:t>
                  </w:r>
                </w:p>
              </w:tc>
              <w:tc>
                <w:tcPr>
                  <w:tcW w:w="1000" w:type="pct"/>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eastAsia" w:cs="Times New Roman"/>
                      <w:i w:val="0"/>
                      <w:iCs w:val="0"/>
                      <w:color w:val="000000" w:themeColor="text1"/>
                      <w:kern w:val="0"/>
                      <w:sz w:val="21"/>
                      <w:szCs w:val="21"/>
                      <w:u w:val="none"/>
                      <w:lang w:val="en-US" w:eastAsia="zh-CN" w:bidi="ar"/>
                      <w14:textFill>
                        <w14:solidFill>
                          <w14:schemeClr w14:val="tx1"/>
                        </w14:solidFill>
                      </w14:textFill>
                    </w:rPr>
                    <w:t>0.505</w:t>
                  </w:r>
                </w:p>
              </w:tc>
              <w:tc>
                <w:tcPr>
                  <w:tcW w:w="1000" w:type="pct"/>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val="0"/>
                      <w:bCs/>
                      <w:snapToGrid w:val="0"/>
                      <w:color w:val="000000" w:themeColor="text1"/>
                      <w:kern w:val="0"/>
                      <w:sz w:val="21"/>
                      <w:szCs w:val="21"/>
                      <w:vertAlign w:val="baseline"/>
                      <w:lang w:val="en-US" w:eastAsia="zh-CN"/>
                      <w14:textFill>
                        <w14:solidFill>
                          <w14:schemeClr w14:val="tx1"/>
                        </w14:solidFill>
                      </w14:textFill>
                    </w:rPr>
                  </w:pPr>
                  <w:r>
                    <w:rPr>
                      <w:rFonts w:hint="eastAsia" w:cs="Times New Roman"/>
                      <w:b w:val="0"/>
                      <w:bCs/>
                      <w:snapToGrid w:val="0"/>
                      <w:color w:val="000000" w:themeColor="text1"/>
                      <w:kern w:val="0"/>
                      <w:sz w:val="21"/>
                      <w:szCs w:val="21"/>
                      <w:vertAlign w:val="baseline"/>
                      <w:lang w:val="en-US" w:eastAsia="zh-CN"/>
                      <w14:textFill>
                        <w14:solidFill>
                          <w14:schemeClr w14:val="tx1"/>
                        </w14:solidFill>
                      </w14:textFill>
                    </w:rPr>
                    <w:t>0</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（1）废气</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default"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本项目废气污染污染物排放量为：氮氧化物0.</w:t>
            </w:r>
            <w:r>
              <w:rPr>
                <w:rFonts w:hint="eastAsia" w:cs="Times New Roman"/>
                <w:color w:val="000000" w:themeColor="text1"/>
                <w:sz w:val="24"/>
                <w:lang w:val="en-US" w:eastAsia="zh-CN"/>
                <w14:textFill>
                  <w14:solidFill>
                    <w14:schemeClr w14:val="tx1"/>
                  </w14:solidFill>
                </w14:textFill>
              </w:rPr>
              <w:t>505</w:t>
            </w:r>
            <w:r>
              <w:rPr>
                <w:rFonts w:hint="eastAsia" w:ascii="Times New Roman" w:hAnsi="Times New Roman" w:eastAsia="宋体" w:cs="Times New Roman"/>
                <w:color w:val="000000" w:themeColor="text1"/>
                <w:sz w:val="24"/>
                <w:lang w:val="en-US" w:eastAsia="zh-CN"/>
                <w14:textFill>
                  <w14:solidFill>
                    <w14:schemeClr w14:val="tx1"/>
                  </w14:solidFill>
                </w14:textFill>
              </w:rPr>
              <w:t>t/a；原环评已申请：氮氧化物0.505t/a</w:t>
            </w:r>
            <w:r>
              <w:rPr>
                <w:rFonts w:hint="eastAsia" w:cs="Times New Roman"/>
                <w:color w:val="000000" w:themeColor="text1"/>
                <w:sz w:val="24"/>
                <w:lang w:val="en-US" w:eastAsia="zh-CN"/>
                <w14:textFill>
                  <w14:solidFill>
                    <w14:schemeClr w14:val="tx1"/>
                  </w14:solidFill>
                </w14:textFill>
              </w:rPr>
              <w:t>，不申请氮氧化物总量指标</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（2）废水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本项目运营期废水主要为浸泡、蒸煮、浓缩过程冷凝定排水、设备清洗废水、</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、职工生活污水。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000000" w:themeColor="text1"/>
                <w:sz w:val="24"/>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浸泡、蒸煮、浓缩过程冷凝定排水定期排入厂区污水处理站处理后，用于周边梨园灌溉及厂区洒水抑尘或绿化；设备清洗废水经收集后排入污水处理站，用于周边梨园灌溉及厂区洒水抑尘或绿化</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经收集后用于周边梨园灌溉及厂区洒水抑尘或绿化。职工生活污水依托河南吉尔木食品有限公司现有化粪池收集后，定期清掏肥田，综合利用。因此，本项目运营期废水均不外排，不设置废水总量控制指标</w:t>
            </w:r>
          </w:p>
        </w:tc>
      </w:tr>
    </w:tbl>
    <w:p>
      <w:pPr>
        <w:pStyle w:val="23"/>
        <w:jc w:val="center"/>
        <w:outlineLvl w:val="0"/>
        <w:rPr>
          <w:rFonts w:ascii="Times New Roman" w:hAnsi="Times New Roman"/>
          <w:b/>
          <w:bCs/>
          <w:snapToGrid w:val="0"/>
          <w:color w:val="000000" w:themeColor="text1"/>
          <w:sz w:val="30"/>
          <w:szCs w:val="30"/>
          <w14:textFill>
            <w14:solidFill>
              <w14:schemeClr w14:val="tx1"/>
            </w14:solidFill>
          </w14:textFill>
        </w:rPr>
      </w:pPr>
      <w:r>
        <w:rPr>
          <w:rFonts w:ascii="Times New Roman" w:hAnsi="Times New Roman"/>
          <w:snapToGrid w:val="0"/>
          <w:color w:val="000000" w:themeColor="text1"/>
          <w:sz w:val="36"/>
          <w:szCs w:val="36"/>
          <w14:textFill>
            <w14:solidFill>
              <w14:schemeClr w14:val="tx1"/>
            </w14:solidFill>
          </w14:textFill>
        </w:rPr>
        <w:br w:type="page"/>
      </w:r>
      <w:r>
        <w:rPr>
          <w:rFonts w:hint="eastAsia" w:ascii="Times New Roman" w:hAnsi="Times New Roman"/>
          <w:b/>
          <w:bCs/>
          <w:snapToGrid w:val="0"/>
          <w:color w:val="000000" w:themeColor="text1"/>
          <w:sz w:val="30"/>
          <w:szCs w:val="30"/>
          <w14:textFill>
            <w14:solidFill>
              <w14:schemeClr w14:val="tx1"/>
            </w14:solidFill>
          </w14:textFill>
        </w:rPr>
        <w:t>四、主要环境影响和保护措施</w:t>
      </w:r>
    </w:p>
    <w:tbl>
      <w:tblPr>
        <w:tblStyle w:val="26"/>
        <w:tblW w:w="959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66"/>
        <w:gridCol w:w="913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35" w:hRule="atLeast"/>
          <w:jc w:val="center"/>
        </w:trPr>
        <w:tc>
          <w:tcPr>
            <w:tcW w:w="466" w:type="dxa"/>
            <w:tcMar>
              <w:left w:w="28" w:type="dxa"/>
              <w:right w:w="28" w:type="dxa"/>
            </w:tcMar>
            <w:vAlign w:val="center"/>
          </w:tcPr>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both"/>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施工</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期环</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境保</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护措</w:t>
            </w: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施</w:t>
            </w: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both"/>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施工</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期环</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境保</w:t>
            </w:r>
          </w:p>
          <w:p>
            <w:pPr>
              <w:pStyle w:val="23"/>
              <w:adjustRightInd w:val="0"/>
              <w:snapToGrid w:val="0"/>
              <w:spacing w:before="0" w:beforeAutospacing="0" w:after="0" w:afterAutospacing="0"/>
              <w:jc w:val="center"/>
              <w:rPr>
                <w:rFonts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护措</w:t>
            </w: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r>
              <w:rPr>
                <w:rFonts w:hint="eastAsia" w:ascii="Times New Roman" w:hAnsi="Times New Roman" w:cs="宋体"/>
                <w:color w:val="000000" w:themeColor="text1"/>
                <w:kern w:val="2"/>
                <w:szCs w:val="24"/>
                <w14:textFill>
                  <w14:solidFill>
                    <w14:schemeClr w14:val="tx1"/>
                  </w14:solidFill>
                </w14:textFill>
              </w:rPr>
              <w:t>施</w:t>
            </w: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p>
            <w:pPr>
              <w:pStyle w:val="23"/>
              <w:adjustRightInd w:val="0"/>
              <w:snapToGrid w:val="0"/>
              <w:spacing w:before="0" w:beforeAutospacing="0" w:after="0" w:afterAutospacing="0"/>
              <w:jc w:val="center"/>
              <w:rPr>
                <w:rFonts w:hint="eastAsia" w:ascii="Times New Roman" w:hAnsi="Times New Roman" w:cs="宋体"/>
                <w:color w:val="000000" w:themeColor="text1"/>
                <w:kern w:val="2"/>
                <w:szCs w:val="24"/>
                <w14:textFill>
                  <w14:solidFill>
                    <w14:schemeClr w14:val="tx1"/>
                  </w14:solidFill>
                </w14:textFill>
              </w:rPr>
            </w:pPr>
          </w:p>
        </w:tc>
        <w:tc>
          <w:tcPr>
            <w:tcW w:w="9130" w:type="dxa"/>
            <w:vAlign w:val="center"/>
          </w:tcPr>
          <w:p>
            <w:pPr>
              <w:autoSpaceDE w:val="0"/>
              <w:autoSpaceDN w:val="0"/>
              <w:spacing w:line="360" w:lineRule="auto"/>
              <w:ind w:firstLine="480" w:firstLineChars="200"/>
              <w:rPr>
                <w:rFonts w:hint="eastAsia"/>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租赁河南吉尔木食品有限公司食用菌加工车间，经现场勘察，</w:t>
            </w:r>
            <w:r>
              <w:rPr>
                <w:rFonts w:hint="eastAsia"/>
                <w:color w:val="000000" w:themeColor="text1"/>
                <w:sz w:val="24"/>
                <w:highlight w:val="none"/>
                <w:lang w:val="en-US" w:eastAsia="zh-CN"/>
                <w14:textFill>
                  <w14:solidFill>
                    <w14:schemeClr w14:val="tx1"/>
                  </w14:solidFill>
                </w14:textFill>
              </w:rPr>
              <w:t>本项目已建成，环保措施未建设，本次环评</w:t>
            </w:r>
            <w:r>
              <w:rPr>
                <w:rFonts w:hint="eastAsia"/>
                <w:color w:val="000000" w:themeColor="text1"/>
                <w:sz w:val="24"/>
                <w:highlight w:val="none"/>
                <w14:textFill>
                  <w14:solidFill>
                    <w14:schemeClr w14:val="tx1"/>
                  </w14:solidFill>
                </w14:textFill>
              </w:rPr>
              <w:t>施工期主要建设内容包括：</w:t>
            </w:r>
            <w:r>
              <w:rPr>
                <w:rFonts w:hint="eastAsia"/>
                <w:color w:val="000000" w:themeColor="text1"/>
                <w:sz w:val="24"/>
                <w:highlight w:val="none"/>
                <w:lang w:val="en-US" w:eastAsia="zh-CN"/>
                <w14:textFill>
                  <w14:solidFill>
                    <w14:schemeClr w14:val="tx1"/>
                  </w14:solidFill>
                </w14:textFill>
              </w:rPr>
              <w:t>环保设备基坑</w:t>
            </w:r>
            <w:r>
              <w:rPr>
                <w:rFonts w:hint="eastAsia"/>
                <w:color w:val="000000" w:themeColor="text1"/>
                <w:sz w:val="24"/>
                <w:highlight w:val="none"/>
                <w14:textFill>
                  <w14:solidFill>
                    <w14:schemeClr w14:val="tx1"/>
                  </w14:solidFill>
                </w14:textFill>
              </w:rPr>
              <w:t>的开挖</w:t>
            </w:r>
            <w:r>
              <w:rPr>
                <w:rFonts w:hint="eastAsia"/>
                <w:color w:val="000000" w:themeColor="text1"/>
                <w:sz w:val="24"/>
                <w:highlight w:val="none"/>
                <w:lang w:eastAsia="zh-CN"/>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环保</w:t>
            </w:r>
            <w:r>
              <w:rPr>
                <w:rFonts w:hint="eastAsia"/>
                <w:color w:val="000000" w:themeColor="text1"/>
                <w:sz w:val="24"/>
                <w:highlight w:val="none"/>
                <w14:textFill>
                  <w14:solidFill>
                    <w14:schemeClr w14:val="tx1"/>
                  </w14:solidFill>
                </w14:textFill>
              </w:rPr>
              <w:t>设备安装等内容。</w:t>
            </w:r>
          </w:p>
          <w:p>
            <w:pPr>
              <w:autoSpaceDE w:val="0"/>
              <w:autoSpaceDN w:val="0"/>
              <w:spacing w:line="360" w:lineRule="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1、</w:t>
            </w:r>
            <w:r>
              <w:rPr>
                <w:b/>
                <w:bCs/>
                <w:color w:val="000000" w:themeColor="text1"/>
                <w:sz w:val="24"/>
                <w14:textFill>
                  <w14:solidFill>
                    <w14:schemeClr w14:val="tx1"/>
                  </w14:solidFill>
                </w14:textFill>
              </w:rPr>
              <w:t>施工期废气污染源分析及防治措施</w:t>
            </w:r>
          </w:p>
          <w:p>
            <w:pPr>
              <w:spacing w:line="360" w:lineRule="auto"/>
              <w:ind w:firstLine="480" w:firstLineChars="200"/>
              <w:rPr>
                <w:rFonts w:hint="eastAsia"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施工期间，废气主要为</w:t>
            </w:r>
            <w:r>
              <w:rPr>
                <w:rFonts w:hint="eastAsia" w:cs="宋体"/>
                <w:color w:val="000000" w:themeColor="text1"/>
                <w:kern w:val="0"/>
                <w:sz w:val="24"/>
                <w:lang w:val="en-US" w:eastAsia="zh-CN"/>
                <w14:textFill>
                  <w14:solidFill>
                    <w14:schemeClr w14:val="tx1"/>
                  </w14:solidFill>
                </w14:textFill>
              </w:rPr>
              <w:t>环保设备安装</w:t>
            </w:r>
            <w:r>
              <w:rPr>
                <w:rFonts w:hint="eastAsia" w:cs="宋体"/>
                <w:color w:val="000000" w:themeColor="text1"/>
                <w:kern w:val="0"/>
                <w:sz w:val="24"/>
                <w14:textFill>
                  <w14:solidFill>
                    <w14:schemeClr w14:val="tx1"/>
                  </w14:solidFill>
                </w14:textFill>
              </w:rPr>
              <w:t>焊接烟尘。</w:t>
            </w:r>
          </w:p>
          <w:p>
            <w:pPr>
              <w:spacing w:line="360" w:lineRule="auto"/>
              <w:ind w:firstLine="480" w:firstLineChars="200"/>
              <w:rPr>
                <w:rFonts w:hint="eastAsia"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本项目设备均外购，设备安装时需地面钻孔与之固定，钻机打孔时会产生一定的粉尘，评价要求钻孔时采用湿式钻孔，施工区域及时洒水，减少粉尘的影响。</w:t>
            </w:r>
          </w:p>
          <w:p>
            <w:pPr>
              <w:spacing w:line="360" w:lineRule="auto"/>
              <w:ind w:firstLine="480" w:firstLineChars="200"/>
              <w:rPr>
                <w:rFonts w:hint="eastAsia"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设备及管道</w:t>
            </w:r>
            <w:r>
              <w:rPr>
                <w:rFonts w:cs="宋体"/>
                <w:color w:val="000000" w:themeColor="text1"/>
                <w:kern w:val="0"/>
                <w:sz w:val="24"/>
                <w14:textFill>
                  <w14:solidFill>
                    <w14:schemeClr w14:val="tx1"/>
                  </w14:solidFill>
                </w14:textFill>
              </w:rPr>
              <w:t>焊接过程会产生焊接烟尘，焊接烟尘是在焊接过程中金属及非金属物质在过热条件下产生的蒸汽经氧化和冷凝而形成的</w:t>
            </w:r>
            <w:r>
              <w:rPr>
                <w:rFonts w:hint="eastAsia" w:cs="宋体"/>
                <w:color w:val="000000" w:themeColor="text1"/>
                <w:kern w:val="0"/>
                <w:sz w:val="24"/>
                <w14:textFill>
                  <w14:solidFill>
                    <w14:schemeClr w14:val="tx1"/>
                  </w14:solidFill>
                </w14:textFill>
              </w:rPr>
              <w:t>，</w:t>
            </w:r>
            <w:r>
              <w:rPr>
                <w:rFonts w:cs="宋体"/>
                <w:color w:val="000000" w:themeColor="text1"/>
                <w:kern w:val="0"/>
                <w:sz w:val="24"/>
                <w14:textFill>
                  <w14:solidFill>
                    <w14:schemeClr w14:val="tx1"/>
                  </w14:solidFill>
                </w14:textFill>
              </w:rPr>
              <w:t>主要污染物为</w:t>
            </w:r>
            <w:r>
              <w:rPr>
                <w:rFonts w:hint="eastAsia" w:cs="宋体"/>
                <w:color w:val="000000" w:themeColor="text1"/>
                <w:kern w:val="0"/>
                <w:sz w:val="24"/>
                <w:lang w:val="en-US" w:eastAsia="zh-CN"/>
                <w14:textFill>
                  <w14:solidFill>
                    <w14:schemeClr w14:val="tx1"/>
                  </w14:solidFill>
                </w14:textFill>
              </w:rPr>
              <w:t>焊接烟尘</w:t>
            </w:r>
            <w:r>
              <w:rPr>
                <w:rFonts w:hint="eastAsia" w:cs="宋体"/>
                <w:color w:val="000000" w:themeColor="text1"/>
                <w:kern w:val="0"/>
                <w:sz w:val="24"/>
                <w14:textFill>
                  <w14:solidFill>
                    <w14:schemeClr w14:val="tx1"/>
                  </w14:solidFill>
                </w14:textFill>
              </w:rPr>
              <w:t>，本项目焊接量较小，</w:t>
            </w:r>
            <w:r>
              <w:rPr>
                <w:rFonts w:hint="eastAsia" w:cs="宋体"/>
                <w:color w:val="000000" w:themeColor="text1"/>
                <w:kern w:val="0"/>
                <w:sz w:val="24"/>
                <w:lang w:val="en-US" w:eastAsia="zh-CN"/>
                <w14:textFill>
                  <w14:solidFill>
                    <w14:schemeClr w14:val="tx1"/>
                  </w14:solidFill>
                </w14:textFill>
              </w:rPr>
              <w:t>通过增加移动式焊烟净化器等措施</w:t>
            </w:r>
            <w:r>
              <w:rPr>
                <w:rFonts w:hint="eastAsia" w:cs="宋体"/>
                <w:color w:val="000000" w:themeColor="text1"/>
                <w:kern w:val="0"/>
                <w:sz w:val="24"/>
                <w14:textFill>
                  <w14:solidFill>
                    <w14:schemeClr w14:val="tx1"/>
                  </w14:solidFill>
                </w14:textFill>
              </w:rPr>
              <w:t>，对区域环境质量影响较小。</w:t>
            </w:r>
          </w:p>
          <w:p>
            <w:pPr>
              <w:autoSpaceDE w:val="0"/>
              <w:autoSpaceDN w:val="0"/>
              <w:spacing w:line="360" w:lineRule="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2、</w:t>
            </w:r>
            <w:r>
              <w:rPr>
                <w:b/>
                <w:bCs/>
                <w:color w:val="000000" w:themeColor="text1"/>
                <w:sz w:val="24"/>
                <w14:textFill>
                  <w14:solidFill>
                    <w14:schemeClr w14:val="tx1"/>
                  </w14:solidFill>
                </w14:textFill>
              </w:rPr>
              <w:t>施工期废水污染源分析及防治措施</w:t>
            </w:r>
          </w:p>
          <w:p>
            <w:pPr>
              <w:autoSpaceDE w:val="0"/>
              <w:autoSpaceDN w:val="0"/>
              <w:spacing w:line="360" w:lineRule="auto"/>
              <w:ind w:firstLine="480" w:firstLineChars="200"/>
              <w:rPr>
                <w:rFonts w:hint="default" w:ascii="Times New Roman" w:hAnsi="Times New Roman" w:eastAsia="宋体" w:cs="Times New Roman"/>
                <w:color w:val="000000" w:themeColor="text1"/>
                <w:sz w:val="24"/>
                <w:u w:val="single"/>
                <w:lang w:val="en-US" w:eastAsia="zh-CN"/>
                <w14:textFill>
                  <w14:solidFill>
                    <w14:schemeClr w14:val="tx1"/>
                  </w14:solidFill>
                </w14:textFill>
              </w:rPr>
            </w:pPr>
            <w:r>
              <w:rPr>
                <w:rFonts w:hint="eastAsia" w:cs="宋体"/>
                <w:color w:val="000000" w:themeColor="text1"/>
                <w:kern w:val="0"/>
                <w:sz w:val="24"/>
                <w14:textFill>
                  <w14:solidFill>
                    <w14:schemeClr w14:val="tx1"/>
                  </w14:solidFill>
                </w14:textFill>
              </w:rPr>
              <w:t>施工期间废水主要为施工人员的生活污水，经租赁厂区化粪池处理后</w:t>
            </w:r>
            <w:r>
              <w:rPr>
                <w:rFonts w:hint="eastAsia" w:cs="宋体"/>
                <w:color w:val="000000" w:themeColor="text1"/>
                <w:kern w:val="0"/>
                <w:sz w:val="24"/>
                <w:lang w:eastAsia="zh-CN"/>
                <w14:textFill>
                  <w14:solidFill>
                    <w14:schemeClr w14:val="tx1"/>
                  </w14:solidFill>
                </w14:textFill>
              </w:rPr>
              <w:t>，</w:t>
            </w:r>
            <w:r>
              <w:rPr>
                <w:rFonts w:hint="eastAsia" w:cs="宋体"/>
                <w:color w:val="000000" w:themeColor="text1"/>
                <w:kern w:val="0"/>
                <w:sz w:val="24"/>
                <w:lang w:val="en-US" w:eastAsia="zh-CN"/>
                <w14:textFill>
                  <w14:solidFill>
                    <w14:schemeClr w14:val="tx1"/>
                  </w14:solidFill>
                </w14:textFill>
              </w:rPr>
              <w:t>定期清掏肥田，不外排。</w:t>
            </w:r>
          </w:p>
          <w:p>
            <w:pPr>
              <w:autoSpaceDE w:val="0"/>
              <w:autoSpaceDN w:val="0"/>
              <w:spacing w:line="360" w:lineRule="auto"/>
              <w:rPr>
                <w:b/>
                <w:bCs/>
                <w:color w:val="000000" w:themeColor="text1"/>
                <w:sz w:val="24"/>
                <w14:textFill>
                  <w14:solidFill>
                    <w14:schemeClr w14:val="tx1"/>
                  </w14:solidFill>
                </w14:textFill>
              </w:rPr>
            </w:pPr>
            <w:r>
              <w:rPr>
                <w:rFonts w:hint="eastAsia"/>
                <w:b/>
                <w:bCs/>
                <w:color w:val="000000" w:themeColor="text1"/>
                <w:sz w:val="24"/>
                <w:lang w:val="en-US" w:eastAsia="zh-CN"/>
                <w14:textFill>
                  <w14:solidFill>
                    <w14:schemeClr w14:val="tx1"/>
                  </w14:solidFill>
                </w14:textFill>
              </w:rPr>
              <w:t>3、</w:t>
            </w:r>
            <w:r>
              <w:rPr>
                <w:b/>
                <w:bCs/>
                <w:color w:val="000000" w:themeColor="text1"/>
                <w:sz w:val="24"/>
                <w14:textFill>
                  <w14:solidFill>
                    <w14:schemeClr w14:val="tx1"/>
                  </w14:solidFill>
                </w14:textFill>
              </w:rPr>
              <w:t>施工期噪声污染源分析及防治措施</w:t>
            </w:r>
          </w:p>
          <w:p>
            <w:pPr>
              <w:pStyle w:val="97"/>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default" w:ascii="Times New Roman" w:hAnsi="Times New Roman" w:eastAsia="宋体" w:cs="Times New Roman"/>
                <w:color w:val="000000" w:themeColor="text1"/>
                <w:sz w:val="24"/>
                <w:szCs w:val="24"/>
                <w:u w:val="none"/>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u w:val="none"/>
                <w:lang w:val="en-US" w:eastAsia="zh-CN"/>
                <w14:textFill>
                  <w14:solidFill>
                    <w14:schemeClr w14:val="tx1"/>
                  </w14:solidFill>
                </w14:textFill>
              </w:rPr>
              <w:t>本项目施工期噪声主要为施工机械运行和设备安装产生的噪声，噪声源强在70~100dB（A）之间。为了减小项目建设对周围环境的影响，本项目提出以下有效噪声防治措施：</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pP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w:t>
            </w:r>
            <w:r>
              <w:rPr>
                <w:rFonts w:hint="default" w:ascii="Times New Roman" w:hAnsi="Times New Roman" w:eastAsia="宋体" w:cs="Times New Roman"/>
                <w:b w:val="0"/>
                <w:bCs w:val="0"/>
                <w:iCs/>
                <w:color w:val="000000" w:themeColor="text1"/>
                <w:sz w:val="24"/>
                <w:szCs w:val="24"/>
                <w:u w:val="none"/>
                <w:lang w:val="en-US" w:eastAsia="zh-CN"/>
                <w14:textFill>
                  <w14:solidFill>
                    <w14:schemeClr w14:val="tx1"/>
                  </w14:solidFill>
                </w14:textFill>
              </w:rPr>
              <w:t>1</w:t>
            </w: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）设备运输车辆尽量</w:t>
            </w:r>
            <w:r>
              <w:rPr>
                <w:rFonts w:hint="eastAsia" w:cs="Times New Roman"/>
                <w:b w:val="0"/>
                <w:bCs w:val="0"/>
                <w:iCs/>
                <w:color w:val="000000" w:themeColor="text1"/>
                <w:sz w:val="24"/>
                <w:szCs w:val="24"/>
                <w:u w:val="none"/>
                <w:lang w:val="en-US" w:eastAsia="zh-CN"/>
                <w14:textFill>
                  <w14:solidFill>
                    <w14:schemeClr w14:val="tx1"/>
                  </w14:solidFill>
                </w14:textFill>
              </w:rPr>
              <w:t>减速慢行</w:t>
            </w: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pP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w:t>
            </w:r>
            <w:r>
              <w:rPr>
                <w:rFonts w:hint="default" w:ascii="Times New Roman" w:hAnsi="Times New Roman" w:eastAsia="宋体" w:cs="Times New Roman"/>
                <w:b w:val="0"/>
                <w:bCs w:val="0"/>
                <w:iCs/>
                <w:color w:val="000000" w:themeColor="text1"/>
                <w:sz w:val="24"/>
                <w:szCs w:val="24"/>
                <w:u w:val="none"/>
                <w:lang w:val="en-US" w:eastAsia="zh-CN"/>
                <w14:textFill>
                  <w14:solidFill>
                    <w14:schemeClr w14:val="tx1"/>
                  </w14:solidFill>
                </w14:textFill>
              </w:rPr>
              <w:t>2</w:t>
            </w: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）减少运输过程的交通噪声，选用符合国家当前标准的车辆，禁止不符合国家噪声排放标准的运输车辆进入厂区，尽量减少夜间运输量，限制车速，减少或杜绝鸣笛。</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pP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w:t>
            </w:r>
            <w:r>
              <w:rPr>
                <w:rFonts w:hint="default" w:ascii="Times New Roman" w:hAnsi="Times New Roman" w:eastAsia="宋体" w:cs="Times New Roman"/>
                <w:b w:val="0"/>
                <w:bCs w:val="0"/>
                <w:iCs/>
                <w:color w:val="000000" w:themeColor="text1"/>
                <w:sz w:val="24"/>
                <w:szCs w:val="24"/>
                <w:u w:val="none"/>
                <w:lang w:val="en-US" w:eastAsia="zh-CN"/>
                <w14:textFill>
                  <w14:solidFill>
                    <w14:schemeClr w14:val="tx1"/>
                  </w14:solidFill>
                </w14:textFill>
              </w:rPr>
              <w:t>3</w:t>
            </w: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）设备安装过程中合理安排施工计划和机械设备组合以及施工时间，禁止高噪声机械在夜间进行作业。</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w:t>
            </w:r>
            <w:r>
              <w:rPr>
                <w:rFonts w:hint="eastAsia" w:cs="Times New Roman"/>
                <w:b w:val="0"/>
                <w:bCs w:val="0"/>
                <w:iCs/>
                <w:color w:val="000000" w:themeColor="text1"/>
                <w:sz w:val="24"/>
                <w:szCs w:val="24"/>
                <w:u w:val="none"/>
                <w:lang w:val="en-US" w:eastAsia="zh-CN"/>
                <w14:textFill>
                  <w14:solidFill>
                    <w14:schemeClr w14:val="tx1"/>
                  </w14:solidFill>
                </w14:textFill>
              </w:rPr>
              <w:t>4</w:t>
            </w:r>
            <w:r>
              <w:rPr>
                <w:rFonts w:hint="default" w:ascii="Times New Roman" w:hAnsi="Times New Roman" w:eastAsia="宋体" w:cs="Times New Roman"/>
                <w:b w:val="0"/>
                <w:bCs w:val="0"/>
                <w:iCs/>
                <w:color w:val="000000" w:themeColor="text1"/>
                <w:sz w:val="24"/>
                <w:szCs w:val="24"/>
                <w:u w:val="none"/>
                <w:lang w:eastAsia="zh-CN"/>
                <w14:textFill>
                  <w14:solidFill>
                    <w14:schemeClr w14:val="tx1"/>
                  </w14:solidFill>
                </w14:textFill>
              </w:rPr>
              <w:t>）尽量避免多台高噪声施工机械联合作业，采取适当的封闭和隔声措施</w:t>
            </w:r>
            <w:r>
              <w:rPr>
                <w:rFonts w:hint="default" w:ascii="Times New Roman" w:hAnsi="Times New Roman" w:eastAsia="宋体" w:cs="Times New Roman"/>
                <w:color w:val="000000" w:themeColor="text1"/>
                <w:sz w:val="24"/>
                <w:szCs w:val="24"/>
                <w:u w:val="none"/>
                <w14:textFill>
                  <w14:solidFill>
                    <w14:schemeClr w14:val="tx1"/>
                  </w14:solidFill>
                </w14:textFill>
              </w:rPr>
              <w:t>。</w:t>
            </w:r>
          </w:p>
          <w:p>
            <w:pPr>
              <w:pStyle w:val="2"/>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480"/>
              <w:jc w:val="both"/>
              <w:textAlignment w:val="auto"/>
              <w:rPr>
                <w:rFonts w:hint="eastAsia"/>
                <w:color w:val="000000" w:themeColor="text1"/>
                <w:sz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u w:val="none"/>
                <w:lang w:val="en-US" w:eastAsia="zh-CN"/>
                <w14:textFill>
                  <w14:solidFill>
                    <w14:schemeClr w14:val="tx1"/>
                  </w14:solidFill>
                </w14:textFill>
              </w:rPr>
              <w:t>经采取评价提出的措施后，项目施工期边界噪声可以满足《建筑施工场界环境噪声排放标准》（GB12523-2011）的要求（昼间≤70dB(A)，夜间≤55dB(A)）要求，施工期噪声防治措施可行。</w:t>
            </w:r>
          </w:p>
          <w:p>
            <w:pPr>
              <w:autoSpaceDE w:val="0"/>
              <w:autoSpaceDN w:val="0"/>
              <w:spacing w:line="360" w:lineRule="auto"/>
              <w:rPr>
                <w:rFonts w:ascii="Times New Roman" w:hAnsi="Times New Roman" w:eastAsia="宋体" w:cs="Times New Roman"/>
                <w:b/>
                <w:bCs/>
                <w:color w:val="000000" w:themeColor="text1"/>
                <w:sz w:val="24"/>
                <w14:textFill>
                  <w14:solidFill>
                    <w14:schemeClr w14:val="tx1"/>
                  </w14:solidFill>
                </w14:textFill>
              </w:rPr>
            </w:pPr>
            <w:r>
              <w:rPr>
                <w:rFonts w:ascii="Times New Roman" w:hAnsi="Times New Roman" w:eastAsia="宋体" w:cs="Times New Roman"/>
                <w:b/>
                <w:bCs/>
                <w:color w:val="000000" w:themeColor="text1"/>
                <w:sz w:val="24"/>
                <w14:textFill>
                  <w14:solidFill>
                    <w14:schemeClr w14:val="tx1"/>
                  </w14:solidFill>
                </w14:textFill>
              </w:rPr>
              <w:t>4</w:t>
            </w:r>
            <w:r>
              <w:rPr>
                <w:rFonts w:hint="eastAsia" w:ascii="Times New Roman" w:hAnsi="Times New Roman" w:eastAsia="宋体" w:cs="Times New Roman"/>
                <w:b/>
                <w:bCs/>
                <w:color w:val="000000" w:themeColor="text1"/>
                <w:sz w:val="24"/>
                <w:lang w:eastAsia="zh-CN"/>
                <w14:textFill>
                  <w14:solidFill>
                    <w14:schemeClr w14:val="tx1"/>
                  </w14:solidFill>
                </w14:textFill>
              </w:rPr>
              <w:t>、</w:t>
            </w:r>
            <w:r>
              <w:rPr>
                <w:rFonts w:ascii="Times New Roman" w:hAnsi="Times New Roman" w:eastAsia="宋体" w:cs="Times New Roman"/>
                <w:b/>
                <w:bCs/>
                <w:color w:val="000000" w:themeColor="text1"/>
                <w:sz w:val="24"/>
                <w14:textFill>
                  <w14:solidFill>
                    <w14:schemeClr w14:val="tx1"/>
                  </w14:solidFill>
                </w14:textFill>
              </w:rPr>
              <w:t>施工期固体废物污染源分析及防治措施</w:t>
            </w:r>
          </w:p>
          <w:p>
            <w:pPr>
              <w:spacing w:line="360" w:lineRule="auto"/>
              <w:ind w:firstLine="480" w:firstLineChars="200"/>
              <w:rPr>
                <w:rFonts w:hint="eastAsia" w:cs="宋体"/>
                <w:color w:val="000000" w:themeColor="text1"/>
                <w:kern w:val="0"/>
                <w:sz w:val="24"/>
                <w14:textFill>
                  <w14:solidFill>
                    <w14:schemeClr w14:val="tx1"/>
                  </w14:solidFill>
                </w14:textFill>
              </w:rPr>
            </w:pPr>
            <w:r>
              <w:rPr>
                <w:rFonts w:hint="eastAsia" w:cs="宋体"/>
                <w:color w:val="000000" w:themeColor="text1"/>
                <w:kern w:val="0"/>
                <w:sz w:val="24"/>
                <w14:textFill>
                  <w14:solidFill>
                    <w14:schemeClr w14:val="tx1"/>
                  </w14:solidFill>
                </w14:textFill>
              </w:rPr>
              <w:t>施工期间，车间内设置垃圾箱，施工人员生活垃圾收集后送往当地垃圾中转站。少量建筑垃圾，主要有切割废料、焊接废料，设备包装物等，能回收利用的回收利用，不能回收利用的送往当地交由有建筑垃圾处理能力的单位外运处置。</w:t>
            </w:r>
          </w:p>
          <w:p>
            <w:pPr>
              <w:autoSpaceDE w:val="0"/>
              <w:autoSpaceDN w:val="0"/>
              <w:spacing w:line="360" w:lineRule="auto"/>
              <w:rPr>
                <w:rFonts w:hint="default" w:ascii="Times New Roman" w:hAnsi="Times New Roman" w:eastAsia="宋体" w:cs="Times New Roman"/>
                <w:b/>
                <w:bCs/>
                <w:color w:val="000000" w:themeColor="text1"/>
                <w:sz w:val="24"/>
                <w:lang w:val="en-US" w:eastAsia="zh-CN"/>
                <w14:textFill>
                  <w14:solidFill>
                    <w14:schemeClr w14:val="tx1"/>
                  </w14:solidFill>
                </w14:textFill>
              </w:rPr>
            </w:pPr>
            <w:r>
              <w:rPr>
                <w:rFonts w:hint="eastAsia" w:eastAsia="宋体" w:cs="Times New Roman"/>
                <w:b/>
                <w:bCs/>
                <w:color w:val="000000" w:themeColor="text1"/>
                <w:sz w:val="24"/>
                <w:lang w:val="en-US" w:eastAsia="zh-CN"/>
                <w14:textFill>
                  <w14:solidFill>
                    <w14:schemeClr w14:val="tx1"/>
                  </w14:solidFill>
                </w14:textFill>
              </w:rPr>
              <w:t>5、</w:t>
            </w:r>
            <w:r>
              <w:rPr>
                <w:rFonts w:ascii="Times New Roman" w:hAnsi="Times New Roman" w:eastAsia="宋体" w:cs="Times New Roman"/>
                <w:b/>
                <w:bCs/>
                <w:color w:val="000000" w:themeColor="text1"/>
                <w:sz w:val="24"/>
                <w14:textFill>
                  <w14:solidFill>
                    <w14:schemeClr w14:val="tx1"/>
                  </w14:solidFill>
                </w14:textFill>
              </w:rPr>
              <w:t>生态环境影响分析</w:t>
            </w:r>
            <w:r>
              <w:rPr>
                <w:rFonts w:hint="eastAsia" w:eastAsia="宋体" w:cs="Times New Roman"/>
                <w:b/>
                <w:bCs/>
                <w:color w:val="000000" w:themeColor="text1"/>
                <w:sz w:val="24"/>
                <w:lang w:val="en-US" w:eastAsia="zh-CN"/>
                <w14:textFill>
                  <w14:solidFill>
                    <w14:schemeClr w14:val="tx1"/>
                  </w14:solidFill>
                </w14:textFill>
              </w:rPr>
              <w:t>及防治措施</w:t>
            </w:r>
          </w:p>
          <w:p>
            <w:pPr>
              <w:spacing w:line="360" w:lineRule="auto"/>
              <w:ind w:firstLine="480" w:firstLineChars="200"/>
              <w:rPr>
                <w:rFonts w:hint="eastAsia" w:eastAsia="宋体" w:cs="宋体"/>
                <w:color w:val="000000" w:themeColor="text1"/>
                <w:kern w:val="0"/>
                <w:sz w:val="24"/>
                <w14:textFill>
                  <w14:solidFill>
                    <w14:schemeClr w14:val="tx1"/>
                  </w14:solidFill>
                </w14:textFill>
              </w:rPr>
            </w:pPr>
            <w:r>
              <w:rPr>
                <w:rFonts w:hint="eastAsia" w:eastAsia="宋体" w:cs="宋体"/>
                <w:color w:val="000000" w:themeColor="text1"/>
                <w:kern w:val="0"/>
                <w:sz w:val="24"/>
                <w14:textFill>
                  <w14:solidFill>
                    <w14:schemeClr w14:val="tx1"/>
                  </w14:solidFill>
                </w14:textFill>
              </w:rPr>
              <w:t>施工期间，产生的弃土若处置不当，极易在施工区域范围内形成认为的扬尘天气；或在雨水冲刷时形成水土流失，造成局部面蚀或沟蚀，因此要加强施工期的管理：雨季可依托先期建成的初期雨水收集系统并对厂区内裸露地面进行硬化，采取上述措施可有效防止水土流失。评价要求建设单位在建设期间严格按照《平顶山市2023年碧水保卫战 实施方案》（平环委办〔2023〕15号）及其他相关规定进行施工。施工现场严禁敞开式作业；施工现场道路、作业区必须进行地面硬化；运输车辆应当冲洗后出场，并保持出入口通道及道路两侧的整洁；施工中产生的物料堆应采取遮盖、洒水、喷洒覆盖剂或其他防尘设施；施工产生的建筑垃圾、渣土应当及时清运，不能及时清运的，应当在施工场地内设置规范化临时密闭堆放设施存放。</w:t>
            </w:r>
          </w:p>
          <w:p>
            <w:pPr>
              <w:spacing w:line="360" w:lineRule="auto"/>
              <w:ind w:firstLine="480" w:firstLineChars="200"/>
              <w:rPr>
                <w:rFonts w:hint="eastAsia" w:eastAsia="宋体" w:cs="宋体"/>
                <w:color w:val="000000" w:themeColor="text1"/>
                <w:kern w:val="0"/>
                <w:sz w:val="24"/>
                <w14:textFill>
                  <w14:solidFill>
                    <w14:schemeClr w14:val="tx1"/>
                  </w14:solidFill>
                </w14:textFill>
              </w:rPr>
            </w:pPr>
            <w:r>
              <w:rPr>
                <w:rFonts w:hint="eastAsia" w:eastAsia="宋体" w:cs="宋体"/>
                <w:color w:val="000000" w:themeColor="text1"/>
                <w:kern w:val="0"/>
                <w:sz w:val="24"/>
                <w14:textFill>
                  <w14:solidFill>
                    <w14:schemeClr w14:val="tx1"/>
                  </w14:solidFill>
                </w14:textFill>
              </w:rPr>
              <w:t>另外，根据当地的地形高差，采取硬化和护坡措施，在施工前，应校核各部位的尺寸高差，同时采用砌筑浆砌片石前石料表面泥垢清扫干净，用水湿润，同时防止扬尘产生。护坡土方就近回填或者直接用于绿化用途。</w:t>
            </w:r>
          </w:p>
          <w:p>
            <w:pPr>
              <w:autoSpaceDE w:val="0"/>
              <w:autoSpaceDN w:val="0"/>
              <w:spacing w:line="360" w:lineRule="auto"/>
              <w:ind w:firstLine="480" w:firstLineChars="200"/>
              <w:rPr>
                <w:b w:val="0"/>
                <w:bCs w:val="0"/>
                <w:color w:val="000000" w:themeColor="text1"/>
                <w:sz w:val="24"/>
                <w:u w:val="none"/>
                <w14:textFill>
                  <w14:solidFill>
                    <w14:schemeClr w14:val="tx1"/>
                  </w14:solidFill>
                </w14:textFill>
              </w:rPr>
            </w:pPr>
            <w:r>
              <w:rPr>
                <w:rFonts w:hint="eastAsia" w:cs="宋体"/>
                <w:color w:val="000000" w:themeColor="text1"/>
                <w:kern w:val="0"/>
                <w:sz w:val="24"/>
                <w14:textFill>
                  <w14:solidFill>
                    <w14:schemeClr w14:val="tx1"/>
                  </w14:solidFill>
                </w14:textFill>
              </w:rPr>
              <w:t>综上所述，施工期影响为短期影响，施工结束后，施工期影响也随之结束。在采取有效防治措施的情况下，施工期产生的废气、废水、噪声和固体废物对周围环境影响较小。</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20" w:firstLineChars="200"/>
              <w:jc w:val="both"/>
              <w:textAlignment w:val="auto"/>
              <w:outlineLvl w:val="9"/>
              <w:rPr>
                <w:rFonts w:hint="default"/>
                <w:color w:val="000000" w:themeColor="text1"/>
                <w:lang w:val="en-US"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20" w:firstLineChars="200"/>
              <w:jc w:val="both"/>
              <w:textAlignment w:val="auto"/>
              <w:outlineLvl w:val="9"/>
              <w:rPr>
                <w:rFonts w:hint="eastAsia"/>
                <w:color w:val="000000" w:themeColor="text1"/>
                <w:lang w:val="en-US" w:eastAsia="zh-CN"/>
                <w14:textFill>
                  <w14:solidFill>
                    <w14:schemeClr w14:val="tx1"/>
                  </w14:solidFill>
                </w14:textFill>
              </w:rPr>
            </w:pPr>
          </w:p>
          <w:p>
            <w:pPr>
              <w:rPr>
                <w:color w:val="000000" w:themeColor="text1"/>
                <w14:textFill>
                  <w14:solidFill>
                    <w14:schemeClr w14:val="tx1"/>
                  </w14:solidFill>
                </w14:textFill>
              </w:rPr>
            </w:pPr>
          </w:p>
          <w:p>
            <w:pPr>
              <w:pStyle w:val="2"/>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6" w:type="dxa"/>
            <w:tcMar>
              <w:left w:w="28" w:type="dxa"/>
              <w:right w:w="28" w:type="dxa"/>
            </w:tcMar>
            <w:vAlign w:val="center"/>
          </w:tcPr>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adjustRightInd w:val="0"/>
              <w:snapToGrid w:val="0"/>
              <w:jc w:val="center"/>
              <w:rPr>
                <w:rFonts w:cs="宋体"/>
                <w:bCs/>
                <w:color w:val="000000" w:themeColor="text1"/>
                <w:sz w:val="24"/>
                <w14:textFill>
                  <w14:solidFill>
                    <w14:schemeClr w14:val="tx1"/>
                  </w14:solidFill>
                </w14:textFill>
              </w:rPr>
            </w:pPr>
          </w:p>
          <w:p>
            <w:pPr>
              <w:pStyle w:val="2"/>
              <w:rPr>
                <w:rFonts w:cs="宋体"/>
                <w:bCs/>
                <w:color w:val="000000" w:themeColor="text1"/>
                <w:sz w:val="24"/>
                <w14:textFill>
                  <w14:solidFill>
                    <w14:schemeClr w14:val="tx1"/>
                  </w14:solidFill>
                </w14:textFill>
              </w:rPr>
            </w:pPr>
          </w:p>
          <w:p>
            <w:pPr>
              <w:rPr>
                <w:rFonts w:cs="宋体"/>
                <w:bCs/>
                <w:color w:val="000000" w:themeColor="text1"/>
                <w:sz w:val="24"/>
                <w14:textFill>
                  <w14:solidFill>
                    <w14:schemeClr w14:val="tx1"/>
                  </w14:solidFill>
                </w14:textFill>
              </w:rPr>
            </w:pPr>
          </w:p>
          <w:p>
            <w:pPr>
              <w:pStyle w:val="2"/>
              <w:rPr>
                <w:rFonts w:cs="宋体"/>
                <w:bCs/>
                <w:color w:val="000000" w:themeColor="text1"/>
                <w:sz w:val="24"/>
                <w14:textFill>
                  <w14:solidFill>
                    <w14:schemeClr w14:val="tx1"/>
                  </w14:solidFill>
                </w14:textFill>
              </w:rPr>
            </w:pPr>
          </w:p>
          <w:p>
            <w:pPr>
              <w:rPr>
                <w:rFonts w:cs="宋体"/>
                <w:bCs/>
                <w:color w:val="000000" w:themeColor="text1"/>
                <w:sz w:val="24"/>
                <w14:textFill>
                  <w14:solidFill>
                    <w14:schemeClr w14:val="tx1"/>
                  </w14:solidFill>
                </w14:textFill>
              </w:rPr>
            </w:pPr>
          </w:p>
          <w:p>
            <w:pPr>
              <w:pStyle w:val="2"/>
              <w:rPr>
                <w:rFonts w:cs="宋体"/>
                <w:bCs/>
                <w:color w:val="000000" w:themeColor="text1"/>
                <w:sz w:val="24"/>
                <w14:textFill>
                  <w14:solidFill>
                    <w14:schemeClr w14:val="tx1"/>
                  </w14:solidFill>
                </w14:textFill>
              </w:rPr>
            </w:pPr>
          </w:p>
          <w:p>
            <w:pPr>
              <w:rPr>
                <w:rFonts w:cs="宋体"/>
                <w:bCs/>
                <w:color w:val="000000" w:themeColor="text1"/>
                <w:sz w:val="24"/>
                <w14:textFill>
                  <w14:solidFill>
                    <w14:schemeClr w14:val="tx1"/>
                  </w14:solidFill>
                </w14:textFill>
              </w:rPr>
            </w:pPr>
          </w:p>
          <w:p>
            <w:pPr>
              <w:pStyle w:val="2"/>
              <w:rPr>
                <w:rFonts w:cs="宋体"/>
                <w:bCs/>
                <w:color w:val="000000" w:themeColor="text1"/>
                <w:sz w:val="24"/>
                <w14:textFill>
                  <w14:solidFill>
                    <w14:schemeClr w14:val="tx1"/>
                  </w14:solidFill>
                </w14:textFill>
              </w:rPr>
            </w:pPr>
          </w:p>
          <w:p>
            <w:pPr>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hint="eastAsia" w:cs="宋体"/>
                <w:bCs/>
                <w:color w:val="000000" w:themeColor="text1"/>
                <w:sz w:val="24"/>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bookmarkStart w:id="4" w:name="OLE_LINK4"/>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bookmarkEnd w:id="4"/>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adjustRightInd w:val="0"/>
              <w:snapToGrid w:val="0"/>
              <w:jc w:val="both"/>
              <w:rPr>
                <w:rFonts w:cs="宋体"/>
                <w:bCs/>
                <w:color w:val="000000" w:themeColor="text1"/>
                <w:sz w:val="24"/>
                <w14:textFill>
                  <w14:solidFill>
                    <w14:schemeClr w14:val="tx1"/>
                  </w14:solidFill>
                </w14:textFill>
              </w:rPr>
            </w:pPr>
          </w:p>
        </w:tc>
        <w:tc>
          <w:tcPr>
            <w:tcW w:w="9130" w:type="dxa"/>
            <w:vAlign w:val="center"/>
          </w:tcPr>
          <w:p>
            <w:pPr>
              <w:keepNext w:val="0"/>
              <w:keepLines w:val="0"/>
              <w:pageBreakBefore w:val="0"/>
              <w:widowControl w:val="0"/>
              <w:kinsoku/>
              <w:wordWrap/>
              <w:overflowPunct/>
              <w:topLinePunct w:val="0"/>
              <w:autoSpaceDE w:val="0"/>
              <w:autoSpaceDN w:val="0"/>
              <w:bidi w:val="0"/>
              <w:adjustRightInd w:val="0"/>
              <w:snapToGrid w:val="0"/>
              <w:spacing w:line="360" w:lineRule="auto"/>
              <w:ind w:right="0" w:rightChars="0"/>
              <w:jc w:val="both"/>
              <w:textAlignment w:val="auto"/>
              <w:outlineLvl w:val="9"/>
              <w:rPr>
                <w:rFonts w:hint="eastAsia" w:ascii="Times New Roman" w:hAnsi="Times New Roman" w:cs="宋体"/>
                <w:b/>
                <w:bCs/>
                <w:color w:val="000000" w:themeColor="text1"/>
                <w:kern w:val="0"/>
                <w:sz w:val="24"/>
                <w:szCs w:val="24"/>
                <w:lang w:val="en-US" w:eastAsia="zh-CN"/>
                <w14:textFill>
                  <w14:solidFill>
                    <w14:schemeClr w14:val="tx1"/>
                  </w14:solidFill>
                </w14:textFill>
              </w:rPr>
            </w:pPr>
            <w:r>
              <w:rPr>
                <w:rFonts w:hint="eastAsia" w:ascii="Times New Roman" w:hAnsi="Times New Roman" w:cs="宋体"/>
                <w:b/>
                <w:bCs/>
                <w:color w:val="000000" w:themeColor="text1"/>
                <w:kern w:val="0"/>
                <w:sz w:val="24"/>
                <w:szCs w:val="24"/>
                <w:lang w:val="en-US" w:eastAsia="zh-CN"/>
                <w14:textFill>
                  <w14:solidFill>
                    <w14:schemeClr w14:val="tx1"/>
                  </w14:solidFill>
                </w14:textFill>
              </w:rPr>
              <w:t>1 废气</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本项目运营期废气主要为提取及浓缩过程产生的植物气味、锅炉加热过程中产生的废气、喷雾及干燥工序产生的废气、</w:t>
            </w:r>
            <w:r>
              <w:rPr>
                <w:rFonts w:hint="eastAsia" w:cs="Times New Roman"/>
                <w:color w:val="000000" w:themeColor="text1"/>
                <w:kern w:val="0"/>
                <w:sz w:val="24"/>
                <w:szCs w:val="24"/>
                <w:vertAlign w:val="baseline"/>
                <w:lang w:val="en-US" w:eastAsia="zh-CN"/>
                <w14:textFill>
                  <w14:solidFill>
                    <w14:schemeClr w14:val="tx1"/>
                  </w14:solidFill>
                </w14:textFill>
              </w:rPr>
              <w:t>抽真空产生不凝气、</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污水处理站恶臭。</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t>（1）产排污环节</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t>①提取及浓缩过程产生的植物气味</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t>本项目对香菇、木耳</w:t>
            </w:r>
            <w:r>
              <w:rPr>
                <w:rFonts w:hint="eastAsia" w:ascii="Times New Roman" w:hAnsi="Times New Roman" w:cs="Times New Roman"/>
                <w:bCs/>
                <w:color w:val="000000" w:themeColor="text1"/>
                <w:sz w:val="24"/>
                <w:szCs w:val="24"/>
                <w:u w:val="none"/>
                <w:lang w:eastAsia="zh-CN"/>
                <w14:textFill>
                  <w14:solidFill>
                    <w14:schemeClr w14:val="tx1"/>
                  </w14:solidFill>
                </w14:textFill>
              </w:rPr>
              <w:t>及猴头菇等其他菌类</w:t>
            </w:r>
            <w:r>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t>提取及浓缩过程中会产生植物气味。香菇、木耳</w:t>
            </w:r>
            <w:r>
              <w:rPr>
                <w:rFonts w:hint="eastAsia" w:ascii="Times New Roman" w:hAnsi="Times New Roman" w:cs="Times New Roman"/>
                <w:bCs/>
                <w:color w:val="000000" w:themeColor="text1"/>
                <w:sz w:val="24"/>
                <w:szCs w:val="24"/>
                <w:u w:val="none"/>
                <w:lang w:eastAsia="zh-CN"/>
                <w14:textFill>
                  <w14:solidFill>
                    <w14:schemeClr w14:val="tx1"/>
                  </w14:solidFill>
                </w14:textFill>
              </w:rPr>
              <w:t>及猴头菇等其他菌类</w:t>
            </w:r>
            <w:r>
              <w:rPr>
                <w:rFonts w:hint="eastAsia" w:ascii="Times New Roman" w:hAnsi="Times New Roman" w:eastAsia="宋体" w:cs="Times New Roman"/>
                <w:color w:val="000000" w:themeColor="text1"/>
                <w:kern w:val="0"/>
                <w:sz w:val="24"/>
                <w:szCs w:val="24"/>
                <w:u w:val="none"/>
                <w:vertAlign w:val="baseline"/>
                <w:lang w:val="en-US" w:eastAsia="zh-CN"/>
                <w14:textFill>
                  <w14:solidFill>
                    <w14:schemeClr w14:val="tx1"/>
                  </w14:solidFill>
                </w14:textFill>
              </w:rPr>
              <w:t>为常用植物，该过程中不会散发出刺激性的气味。根据企业提供资料，项目提取及浓缩设备为密闭设备，少量的植物气味经车间通排风处理后，可避免气味的聚集，少量的植物气味不会对周围环境造成影响。</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②锅炉加热过程中产生的废气</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项目设置1台2吨锅炉，锅炉有效工作时间为12h/d，年工作300天。根据建设单位现有工程的实际生产状况以及经查阅相关资料，2吨锅炉天然气燃烧量为150m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/h，则本项目天然气用量约为54万m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/a。根据《排污许可证申请与核发技术规范 锅炉》（HJ953-2018）表F.3燃气工业锅炉的废气产排污系数，燃气锅炉具体产污系数见下表。</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根据《排污许可证申请与核发技术规范 锅炉》（HJ953-2018）表F.3燃气工业锅炉的废气产排污系数，燃气锅炉具体产污系数见下表</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4-1</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val="0"/>
              <w:snapToGrid w:val="0"/>
              <w:spacing w:line="460" w:lineRule="exact"/>
              <w:ind w:firstLine="422" w:firstLineChars="200"/>
              <w:jc w:val="center"/>
              <w:textAlignment w:val="auto"/>
              <w:rPr>
                <w:rFonts w:hint="default"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pPr>
            <w:r>
              <w:rPr>
                <w:rFonts w:hint="eastAsia" w:ascii="Times New Roman" w:hAnsi="Times New Roman" w:cs="Times New Roman"/>
                <w:b/>
                <w:bCs/>
                <w:color w:val="000000" w:themeColor="text1"/>
                <w:kern w:val="0"/>
                <w:sz w:val="21"/>
                <w:szCs w:val="21"/>
                <w:u w:val="single"/>
                <w:lang w:eastAsia="zh-CN"/>
                <w14:textFill>
                  <w14:solidFill>
                    <w14:schemeClr w14:val="tx1"/>
                  </w14:solidFill>
                </w14:textFill>
              </w:rPr>
              <w:t>表</w:t>
            </w:r>
            <w:r>
              <w:rPr>
                <w:rFonts w:hint="eastAsia" w:cs="Times New Roman"/>
                <w:b/>
                <w:bCs/>
                <w:color w:val="000000" w:themeColor="text1"/>
                <w:kern w:val="0"/>
                <w:sz w:val="21"/>
                <w:szCs w:val="21"/>
                <w:u w:val="single"/>
                <w:lang w:val="en-US" w:eastAsia="zh-CN"/>
                <w14:textFill>
                  <w14:solidFill>
                    <w14:schemeClr w14:val="tx1"/>
                  </w14:solidFill>
                </w14:textFill>
              </w:rPr>
              <w:t xml:space="preserve">4-1  </w:t>
            </w:r>
            <w:r>
              <w:rPr>
                <w:rFonts w:hint="eastAsia" w:ascii="Times New Roman" w:hAnsi="Times New Roman" w:cs="Times New Roman"/>
                <w:b/>
                <w:bCs/>
                <w:color w:val="000000" w:themeColor="text1"/>
                <w:kern w:val="0"/>
                <w:sz w:val="21"/>
                <w:szCs w:val="21"/>
                <w:u w:val="single"/>
                <w:lang w:val="en-US" w:eastAsia="zh-CN"/>
                <w14:textFill>
                  <w14:solidFill>
                    <w14:schemeClr w14:val="tx1"/>
                  </w14:solidFill>
                </w14:textFill>
              </w:rPr>
              <w:t>工业锅炉（热力生产和供应行业）产污系数表-燃气工业锅炉一览表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4"/>
              <w:gridCol w:w="1221"/>
              <w:gridCol w:w="1226"/>
              <w:gridCol w:w="2122"/>
              <w:gridCol w:w="1755"/>
              <w:gridCol w:w="12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t>燃料名称</w:t>
                  </w:r>
                </w:p>
              </w:tc>
              <w:tc>
                <w:tcPr>
                  <w:tcW w:w="6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t>工艺名称</w:t>
                  </w:r>
                </w:p>
              </w:tc>
              <w:tc>
                <w:tcPr>
                  <w:tcW w:w="68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t>规模等级</w:t>
                  </w:r>
                </w:p>
              </w:tc>
              <w:tc>
                <w:tcPr>
                  <w:tcW w:w="119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t>污染物指标</w:t>
                  </w:r>
                </w:p>
              </w:tc>
              <w:tc>
                <w:tcPr>
                  <w:tcW w:w="9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t>单位</w:t>
                  </w:r>
                </w:p>
              </w:tc>
              <w:tc>
                <w:tcPr>
                  <w:tcW w:w="7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t>产污系数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38"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天然气</w:t>
                  </w:r>
                </w:p>
              </w:tc>
              <w:tc>
                <w:tcPr>
                  <w:tcW w:w="68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室燃炉</w:t>
                  </w:r>
                </w:p>
              </w:tc>
              <w:tc>
                <w:tcPr>
                  <w:tcW w:w="68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所有规模</w:t>
                  </w:r>
                </w:p>
              </w:tc>
              <w:tc>
                <w:tcPr>
                  <w:tcW w:w="119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二氧化硫</w:t>
                  </w:r>
                </w:p>
              </w:tc>
              <w:tc>
                <w:tcPr>
                  <w:tcW w:w="9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kg/万m</w:t>
                  </w:r>
                  <w:r>
                    <w:rPr>
                      <w:rFonts w:hint="eastAsia" w:ascii="Times New Roman" w:hAnsi="Times New Roman" w:eastAsia="宋体" w:cs="Times New Roman"/>
                      <w:b/>
                      <w:bCs/>
                      <w:color w:val="000000" w:themeColor="text1"/>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-燃料</w:t>
                  </w:r>
                </w:p>
              </w:tc>
              <w:tc>
                <w:tcPr>
                  <w:tcW w:w="7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0.02S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38"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6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68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9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9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kg/万m</w:t>
                  </w:r>
                  <w:r>
                    <w:rPr>
                      <w:rFonts w:hint="eastAsia" w:ascii="Times New Roman" w:hAnsi="Times New Roman" w:eastAsia="宋体" w:cs="Times New Roman"/>
                      <w:b/>
                      <w:bCs/>
                      <w:color w:val="000000" w:themeColor="text1"/>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-燃料</w:t>
                  </w:r>
                </w:p>
              </w:tc>
              <w:tc>
                <w:tcPr>
                  <w:tcW w:w="7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2.86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38"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68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68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19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氮氧化物（低氮燃烧）</w:t>
                  </w:r>
                </w:p>
              </w:tc>
              <w:tc>
                <w:tcPr>
                  <w:tcW w:w="98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kg/万m</w:t>
                  </w:r>
                  <w:r>
                    <w:rPr>
                      <w:rFonts w:hint="eastAsia" w:ascii="Times New Roman" w:hAnsi="Times New Roman" w:eastAsia="宋体" w:cs="Times New Roman"/>
                      <w:b/>
                      <w:bCs/>
                      <w:color w:val="000000" w:themeColor="text1"/>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-燃料</w:t>
                  </w:r>
                </w:p>
              </w:tc>
              <w:tc>
                <w:tcPr>
                  <w:tcW w:w="7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vertAlign w:val="baseline"/>
                      <w:lang w:val="en-US" w:eastAsia="zh-CN"/>
                      <w14:textFill>
                        <w14:solidFill>
                          <w14:schemeClr w14:val="tx1"/>
                        </w14:solidFill>
                      </w14:textFill>
                    </w:rPr>
                    <w:t>9.36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6"/>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left"/>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注：含硫量（S）是指气体燃料中的硫含量，单位为毫克/立方米，天然气S取</w:t>
                  </w: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200</w:t>
                  </w: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根据企业提供资料，项目天然气使用量约为54万m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/a。根据上表计算可知，SO</w:t>
            </w:r>
            <w:r>
              <w:rPr>
                <w:rFonts w:hint="eastAsia" w:ascii="Times New Roman" w:hAnsi="Times New Roman" w:eastAsia="宋体" w:cs="Times New Roman"/>
                <w:b/>
                <w:bCs/>
                <w:color w:val="000000" w:themeColor="text1"/>
                <w:kern w:val="0"/>
                <w:sz w:val="24"/>
                <w:szCs w:val="24"/>
                <w:u w:val="single"/>
                <w:vertAlign w:val="subscript"/>
                <w:lang w:val="en-US" w:eastAsia="zh-CN"/>
                <w14:textFill>
                  <w14:solidFill>
                    <w14:schemeClr w14:val="tx1"/>
                  </w14:solidFill>
                </w14:textFill>
              </w:rPr>
              <w:t>2</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产生量为0.054t/a，颗粒物产生量为0.154t/a，NOx产生量为0.505t/a。项目锅炉燃料废气污染物产排情况见下表。</w:t>
            </w:r>
          </w:p>
          <w:p>
            <w:pPr>
              <w:keepNext w:val="0"/>
              <w:keepLines w:val="0"/>
              <w:pageBreakBefore w:val="0"/>
              <w:widowControl w:val="0"/>
              <w:kinsoku/>
              <w:wordWrap/>
              <w:overflowPunct/>
              <w:topLinePunct w:val="0"/>
              <w:autoSpaceDE w:val="0"/>
              <w:autoSpaceDN w:val="0"/>
              <w:bidi w:val="0"/>
              <w:adjustRightInd w:val="0"/>
              <w:snapToGrid w:val="0"/>
              <w:spacing w:line="460" w:lineRule="exact"/>
              <w:ind w:firstLine="422" w:firstLineChars="200"/>
              <w:jc w:val="center"/>
              <w:textAlignment w:val="auto"/>
              <w:rPr>
                <w:rFonts w:hint="eastAsia" w:ascii="Times New Roman" w:hAnsi="Times New Roman" w:eastAsia="宋体" w:cs="Times New Roman"/>
                <w:b/>
                <w:bCs/>
                <w:color w:val="000000" w:themeColor="text1"/>
                <w:kern w:val="0"/>
                <w:sz w:val="21"/>
                <w:szCs w:val="21"/>
                <w:u w:val="single"/>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460" w:lineRule="exact"/>
              <w:ind w:firstLine="422" w:firstLineChars="200"/>
              <w:jc w:val="center"/>
              <w:textAlignment w:val="auto"/>
              <w:rPr>
                <w:rFonts w:hint="eastAsia" w:ascii="Times New Roman" w:hAnsi="Times New Roman" w:eastAsia="宋体" w:cs="Times New Roman"/>
                <w:b/>
                <w:bCs/>
                <w:color w:val="000000" w:themeColor="text1"/>
                <w:kern w:val="0"/>
                <w:sz w:val="21"/>
                <w:szCs w:val="21"/>
                <w:u w:val="single"/>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460" w:lineRule="exact"/>
              <w:ind w:firstLine="422" w:firstLineChars="200"/>
              <w:jc w:val="center"/>
              <w:textAlignment w:val="auto"/>
              <w:rPr>
                <w:rFonts w:hint="default"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lang w:eastAsia="zh-CN"/>
                <w14:textFill>
                  <w14:solidFill>
                    <w14:schemeClr w14:val="tx1"/>
                  </w14:solidFill>
                </w14:textFill>
              </w:rPr>
              <w:t>表</w:t>
            </w:r>
            <w:r>
              <w:rPr>
                <w:rFonts w:hint="eastAsia"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t>4-2  项目锅炉燃料废气污染物产排污情况一览表</w:t>
            </w:r>
          </w:p>
          <w:tbl>
            <w:tblPr>
              <w:tblStyle w:val="27"/>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6"/>
              <w:gridCol w:w="1225"/>
              <w:gridCol w:w="1006"/>
              <w:gridCol w:w="896"/>
              <w:gridCol w:w="1629"/>
              <w:gridCol w:w="1191"/>
              <w:gridCol w:w="972"/>
              <w:gridCol w:w="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污染物</w:t>
                  </w:r>
                </w:p>
              </w:tc>
              <w:tc>
                <w:tcPr>
                  <w:tcW w:w="1756"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产生情况</w:t>
                  </w:r>
                </w:p>
              </w:tc>
              <w:tc>
                <w:tcPr>
                  <w:tcW w:w="91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治理措施</w:t>
                  </w:r>
                </w:p>
              </w:tc>
              <w:tc>
                <w:tcPr>
                  <w:tcW w:w="1762"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排放情况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浓度（mg/m</w:t>
                  </w:r>
                  <w:r>
                    <w:rPr>
                      <w:rFonts w:hint="default" w:ascii="Times New Roman" w:hAnsi="Times New Roman" w:eastAsia="宋体" w:cs="Times New Roman"/>
                      <w:b/>
                      <w:bCs/>
                      <w:color w:val="000000" w:themeColor="text1"/>
                      <w:spacing w:val="-11"/>
                      <w:kern w:val="0"/>
                      <w:sz w:val="21"/>
                      <w:szCs w:val="21"/>
                      <w:u w:val="single"/>
                      <w:vertAlign w:val="superscript"/>
                      <w:lang w:val="en-US" w:eastAsia="zh-CN"/>
                      <w14:textFill>
                        <w14:solidFill>
                          <w14:schemeClr w14:val="tx1"/>
                        </w14:solidFill>
                      </w14:textFill>
                    </w:rPr>
                    <w:t>3</w:t>
                  </w: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w:t>
                  </w:r>
                </w:p>
              </w:tc>
              <w:tc>
                <w:tcPr>
                  <w:tcW w:w="10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速率（kg/h）</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产生量（t/a）</w:t>
                  </w:r>
                </w:p>
              </w:tc>
              <w:tc>
                <w:tcPr>
                  <w:tcW w:w="91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pPr>
                </w:p>
              </w:tc>
              <w:tc>
                <w:tcPr>
                  <w:tcW w:w="119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浓度（mg/m</w:t>
                  </w:r>
                  <w:r>
                    <w:rPr>
                      <w:rFonts w:hint="default" w:ascii="Times New Roman" w:hAnsi="Times New Roman" w:eastAsia="宋体" w:cs="Times New Roman"/>
                      <w:b/>
                      <w:bCs/>
                      <w:color w:val="000000" w:themeColor="text1"/>
                      <w:spacing w:val="-11"/>
                      <w:kern w:val="0"/>
                      <w:sz w:val="21"/>
                      <w:szCs w:val="21"/>
                      <w:u w:val="single"/>
                      <w:vertAlign w:val="superscript"/>
                      <w:lang w:val="en-US" w:eastAsia="zh-CN"/>
                      <w14:textFill>
                        <w14:solidFill>
                          <w14:schemeClr w14:val="tx1"/>
                        </w14:solidFill>
                      </w14:textFill>
                    </w:rPr>
                    <w:t>3</w:t>
                  </w: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速率（kg/h）</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14:textFill>
                        <w14:solidFill>
                          <w14:schemeClr w14:val="tx1"/>
                        </w14:solidFill>
                      </w14:textFill>
                    </w:rPr>
                    <w:t>排放量（t/a）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颗粒物</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4.78</w:t>
                  </w:r>
                </w:p>
              </w:tc>
              <w:tc>
                <w:tcPr>
                  <w:tcW w:w="10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0.043</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0.154</w:t>
                  </w:r>
                </w:p>
              </w:tc>
              <w:tc>
                <w:tcPr>
                  <w:tcW w:w="915"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w:t>
                  </w:r>
                </w:p>
              </w:tc>
              <w:tc>
                <w:tcPr>
                  <w:tcW w:w="119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4.78</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0.043</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subscript"/>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SO</w:t>
                  </w:r>
                  <w:r>
                    <w:rPr>
                      <w:rFonts w:hint="default" w:ascii="Times New Roman" w:hAnsi="Times New Roman" w:eastAsia="宋体" w:cs="Times New Roman"/>
                      <w:b/>
                      <w:bCs/>
                      <w:color w:val="000000" w:themeColor="text1"/>
                      <w:spacing w:val="-11"/>
                      <w:kern w:val="0"/>
                      <w:sz w:val="21"/>
                      <w:szCs w:val="21"/>
                      <w:u w:val="single"/>
                      <w:vertAlign w:val="subscript"/>
                      <w:lang w:val="en-US" w:eastAsia="zh-CN" w:bidi="ar-SA"/>
                      <w14:textFill>
                        <w14:solidFill>
                          <w14:schemeClr w14:val="tx1"/>
                        </w14:solidFill>
                      </w14:textFill>
                    </w:rPr>
                    <w:t>2</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1.67</w:t>
                  </w:r>
                </w:p>
              </w:tc>
              <w:tc>
                <w:tcPr>
                  <w:tcW w:w="10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0.015</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0.054</w:t>
                  </w:r>
                </w:p>
              </w:tc>
              <w:tc>
                <w:tcPr>
                  <w:tcW w:w="915"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p>
              </w:tc>
              <w:tc>
                <w:tcPr>
                  <w:tcW w:w="119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1.67</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0.015</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6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NOx</w:t>
                  </w:r>
                </w:p>
              </w:tc>
              <w:tc>
                <w:tcPr>
                  <w:tcW w:w="122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15.56</w:t>
                  </w:r>
                </w:p>
              </w:tc>
              <w:tc>
                <w:tcPr>
                  <w:tcW w:w="1006"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0.140</w:t>
                  </w:r>
                </w:p>
              </w:tc>
              <w:tc>
                <w:tcPr>
                  <w:tcW w:w="895"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0.505</w:t>
                  </w:r>
                </w:p>
              </w:tc>
              <w:tc>
                <w:tcPr>
                  <w:tcW w:w="91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低氮燃烧器</w:t>
                  </w:r>
                </w:p>
              </w:tc>
              <w:tc>
                <w:tcPr>
                  <w:tcW w:w="1192"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15.56</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0.140</w:t>
                  </w:r>
                </w:p>
              </w:tc>
              <w:tc>
                <w:tcPr>
                  <w:tcW w:w="974" w:type="dxa"/>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0.505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000" w:type="pct"/>
                  <w:gridSpan w:val="8"/>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left"/>
                    <w:textAlignment w:val="auto"/>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注：风机风量9000m</w:t>
                  </w:r>
                  <w:r>
                    <w:rPr>
                      <w:rFonts w:hint="default" w:ascii="Times New Roman" w:hAnsi="Times New Roman" w:eastAsia="宋体" w:cs="Times New Roman"/>
                      <w:b/>
                      <w:bCs/>
                      <w:color w:val="000000" w:themeColor="text1"/>
                      <w:spacing w:val="-11"/>
                      <w:kern w:val="0"/>
                      <w:sz w:val="21"/>
                      <w:szCs w:val="21"/>
                      <w:u w:val="single"/>
                      <w:vertAlign w:val="superscript"/>
                      <w:lang w:val="en-US" w:eastAsia="zh-CN" w:bidi="ar-SA"/>
                      <w14:textFill>
                        <w14:solidFill>
                          <w14:schemeClr w14:val="tx1"/>
                        </w14:solidFill>
                      </w14:textFill>
                    </w:rPr>
                    <w:t>3</w:t>
                  </w: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/h。</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③喷雾及干燥工序产生的废气</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本项目拟采用喷雾干燥工艺，</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喷雾干燥工序产生</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粉尘。</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微量小分子物料收集后经旋风除尘+袋式除尘器处理后排放。</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本项目产品合计</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00t/a，根据建设单位提供资料，约有1%的物料随水蒸气直接从塔顶排放，则产生量为</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t/a。物料经塔顶</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旋风除尘</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+袋式除尘器收集后外排，收集效率为95%、处理效率为9</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9</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%，风机风量不小于</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10</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000m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/h，喷雾及干燥工序废气有组织排放量为</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0.1425</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t/a、排放速率为0.0</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4</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kg/h、排放浓度为</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8</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mg/m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，无组织排放量为0.1</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5</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t/a。项目喷雾干燥工序废气产排污情况见下表。</w:t>
            </w:r>
          </w:p>
          <w:p>
            <w:pPr>
              <w:keepNext w:val="0"/>
              <w:keepLines w:val="0"/>
              <w:pageBreakBefore w:val="0"/>
              <w:widowControl w:val="0"/>
              <w:kinsoku/>
              <w:wordWrap/>
              <w:overflowPunct/>
              <w:topLinePunct w:val="0"/>
              <w:autoSpaceDE w:val="0"/>
              <w:autoSpaceDN w:val="0"/>
              <w:bidi w:val="0"/>
              <w:adjustRightInd w:val="0"/>
              <w:snapToGrid w:val="0"/>
              <w:spacing w:line="460" w:lineRule="exact"/>
              <w:ind w:firstLine="422" w:firstLineChars="200"/>
              <w:jc w:val="center"/>
              <w:textAlignment w:val="auto"/>
              <w:rPr>
                <w:rFonts w:hint="default"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t>表4-3  项目喷雾干燥废气产排污情况一览表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7"/>
              <w:gridCol w:w="924"/>
              <w:gridCol w:w="1109"/>
              <w:gridCol w:w="1091"/>
              <w:gridCol w:w="840"/>
              <w:gridCol w:w="1175"/>
              <w:gridCol w:w="1109"/>
              <w:gridCol w:w="974"/>
              <w:gridCol w:w="9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50" w:type="pct"/>
                  <w:gridSpan w:val="2"/>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污染物</w:t>
                  </w:r>
                </w:p>
              </w:tc>
              <w:tc>
                <w:tcPr>
                  <w:tcW w:w="1708"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产生情况</w:t>
                  </w:r>
                </w:p>
              </w:tc>
              <w:tc>
                <w:tcPr>
                  <w:tcW w:w="66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治理措施</w:t>
                  </w:r>
                </w:p>
              </w:tc>
              <w:tc>
                <w:tcPr>
                  <w:tcW w:w="167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排放情况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7" w:hRule="atLeast"/>
                <w:jc w:val="center"/>
              </w:trPr>
              <w:tc>
                <w:tcPr>
                  <w:tcW w:w="950"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pP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浓度（mg/m</w:t>
                  </w:r>
                  <w:r>
                    <w:rPr>
                      <w:rFonts w:hint="eastAsia" w:ascii="Times New Roman" w:hAnsi="Times New Roman" w:eastAsia="宋体" w:cs="Times New Roman"/>
                      <w:b/>
                      <w:bCs/>
                      <w:color w:val="000000" w:themeColor="text1"/>
                      <w:spacing w:val="-17"/>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w:t>
                  </w:r>
                </w:p>
              </w:tc>
              <w:tc>
                <w:tcPr>
                  <w:tcW w:w="6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速率（kg/h）</w:t>
                  </w:r>
                </w:p>
              </w:tc>
              <w:tc>
                <w:tcPr>
                  <w:tcW w:w="4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产生量（t/a）</w:t>
                  </w:r>
                </w:p>
              </w:tc>
              <w:tc>
                <w:tcPr>
                  <w:tcW w:w="66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pP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浓度（mg/m</w:t>
                  </w:r>
                  <w:r>
                    <w:rPr>
                      <w:rFonts w:hint="eastAsia" w:ascii="Times New Roman" w:hAnsi="Times New Roman" w:eastAsia="宋体" w:cs="Times New Roman"/>
                      <w:b/>
                      <w:bCs/>
                      <w:color w:val="000000" w:themeColor="text1"/>
                      <w:spacing w:val="-17"/>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color w:val="000000" w:themeColor="text1"/>
                      <w:spacing w:val="-17"/>
                      <w:kern w:val="0"/>
                      <w:sz w:val="21"/>
                      <w:szCs w:val="21"/>
                      <w:u w:val="single"/>
                      <w:vertAlign w:val="baseline"/>
                      <w:lang w:val="en-US" w:eastAsia="zh-CN"/>
                      <w14:textFill>
                        <w14:solidFill>
                          <w14:schemeClr w14:val="tx1"/>
                        </w14:solidFill>
                      </w14:textFill>
                    </w:rPr>
                    <w:t>）</w:t>
                  </w:r>
                </w:p>
              </w:tc>
              <w:tc>
                <w:tcPr>
                  <w:tcW w:w="5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速率（kg/h）</w:t>
                  </w:r>
                </w:p>
              </w:tc>
              <w:tc>
                <w:tcPr>
                  <w:tcW w:w="5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17"/>
                      <w:kern w:val="0"/>
                      <w:sz w:val="21"/>
                      <w:szCs w:val="21"/>
                      <w:u w:val="single"/>
                      <w:vertAlign w:val="baseline"/>
                      <w:lang w:val="en-US" w:eastAsia="zh-CN"/>
                      <w14:textFill>
                        <w14:solidFill>
                          <w14:schemeClr w14:val="tx1"/>
                        </w14:solidFill>
                      </w14:textFill>
                    </w:rPr>
                    <w:t>排放量（t/a）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1"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颗粒物</w:t>
                  </w:r>
                </w:p>
              </w:tc>
              <w:tc>
                <w:tcPr>
                  <w:tcW w:w="5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有组织</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79</w:t>
                  </w:r>
                </w:p>
              </w:tc>
              <w:tc>
                <w:tcPr>
                  <w:tcW w:w="6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79</w:t>
                  </w:r>
                </w:p>
              </w:tc>
              <w:tc>
                <w:tcPr>
                  <w:tcW w:w="4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2</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.85</w:t>
                  </w:r>
                </w:p>
              </w:tc>
              <w:tc>
                <w:tcPr>
                  <w:tcW w:w="66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旋风+布袋除尘器</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0.79</w:t>
                  </w:r>
                </w:p>
              </w:tc>
              <w:tc>
                <w:tcPr>
                  <w:tcW w:w="5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0.0079</w:t>
                  </w:r>
                </w:p>
              </w:tc>
              <w:tc>
                <w:tcPr>
                  <w:tcW w:w="5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0.0285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3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p>
              </w:tc>
              <w:tc>
                <w:tcPr>
                  <w:tcW w:w="51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无组织</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6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4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0.1</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5</w:t>
                  </w:r>
                </w:p>
              </w:tc>
              <w:tc>
                <w:tcPr>
                  <w:tcW w:w="66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5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5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0"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合计</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61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47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2.1</w:t>
                  </w:r>
                </w:p>
              </w:tc>
              <w:tc>
                <w:tcPr>
                  <w:tcW w:w="66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5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50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0.1285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9"/>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both"/>
                    <w:textAlignment w:val="auto"/>
                    <w:rPr>
                      <w:rFonts w:hint="default" w:ascii="Times New Roman" w:hAnsi="Times New Roman" w:eastAsia="宋体" w:cs="Times New Roman"/>
                      <w:b w:val="0"/>
                      <w:bCs w:val="0"/>
                      <w:color w:val="000000" w:themeColor="text1"/>
                      <w:spacing w:val="-17"/>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17"/>
                      <w:kern w:val="0"/>
                      <w:sz w:val="21"/>
                      <w:szCs w:val="21"/>
                      <w:u w:val="none"/>
                      <w:vertAlign w:val="baseline"/>
                      <w:lang w:val="en-US" w:eastAsia="zh-CN" w:bidi="ar-SA"/>
                      <w14:textFill>
                        <w14:solidFill>
                          <w14:schemeClr w14:val="tx1"/>
                        </w14:solidFill>
                      </w14:textFill>
                    </w:rPr>
                    <w:t>注：风机风量不小于1000m</w:t>
                  </w:r>
                  <w:r>
                    <w:rPr>
                      <w:rFonts w:hint="eastAsia" w:ascii="Times New Roman" w:hAnsi="Times New Roman" w:eastAsia="宋体" w:cs="Times New Roman"/>
                      <w:b w:val="0"/>
                      <w:bCs w:val="0"/>
                      <w:color w:val="000000" w:themeColor="text1"/>
                      <w:spacing w:val="-17"/>
                      <w:kern w:val="0"/>
                      <w:sz w:val="21"/>
                      <w:szCs w:val="21"/>
                      <w:u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17"/>
                      <w:kern w:val="0"/>
                      <w:sz w:val="21"/>
                      <w:szCs w:val="21"/>
                      <w:u w:val="none"/>
                      <w:vertAlign w:val="baseline"/>
                      <w:lang w:val="en-US" w:eastAsia="zh-CN" w:bidi="ar-SA"/>
                      <w14:textFill>
                        <w14:solidFill>
                          <w14:schemeClr w14:val="tx1"/>
                        </w14:solidFill>
                      </w14:textFill>
                    </w:rPr>
                    <w:t>/h。</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④</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抽真空产生不凝气</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生蒸汽进入加热室酷应茅阀的列管外面，将料液加热上升，从喷管喷入蒸发室，进行汽液分离，其料液从循环管回到加热室下部再加热，料液受热又喷入蒸发室开成循环。料液浓缩到一定的程度，经取样确定合格后由出料口出料，蒸发室蒸发出来的蒸汽经除沫器消除泡沫再经汽液分离器，部份料液返回蒸发室，其余二次蒸汽由冷凝器与冷却器冷却成液体进入贮液桶，最后不凝气体排入大气或真空泵带走</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，产生量较小，无组织排放。</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cs="Times New Roman"/>
                <w:b/>
                <w:bCs/>
                <w:color w:val="000000" w:themeColor="text1"/>
                <w:kern w:val="0"/>
                <w:sz w:val="24"/>
                <w:szCs w:val="24"/>
                <w:u w:val="single"/>
                <w:vertAlign w:val="baseline"/>
                <w:lang w:val="en-US" w:eastAsia="zh-CN"/>
                <w14:textFill>
                  <w14:solidFill>
                    <w14:schemeClr w14:val="tx1"/>
                  </w14:solidFill>
                </w14:textFill>
              </w:rPr>
              <w:t>⑤</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污水处理站恶臭</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为食品加工类项目，项目建成后废水拟采用“A/O”工艺进行处理后，用于厂区洒水抑尘或绿化，项目拟建污水处理站规模较小，污染物浓度较低，恶臭产生量较小，评价建议污水处理站周边设置绿化带，定期投加除臭剂，减少恶臭产生，无组织排放。</w:t>
            </w:r>
          </w:p>
          <w:p>
            <w:pPr>
              <w:keepNext w:val="0"/>
              <w:keepLines w:val="0"/>
              <w:pageBreakBefore w:val="0"/>
              <w:widowControl w:val="0"/>
              <w:kinsoku/>
              <w:wordWrap/>
              <w:overflowPunct/>
              <w:topLinePunct w:val="0"/>
              <w:autoSpaceDE/>
              <w:autoSpaceDN/>
              <w:bidi w:val="0"/>
              <w:adjustRightInd/>
              <w:snapToGrid w:val="0"/>
              <w:spacing w:line="360" w:lineRule="auto"/>
              <w:ind w:right="0" w:rightChars="0"/>
              <w:jc w:val="both"/>
              <w:textAlignment w:val="auto"/>
              <w:outlineLvl w:val="9"/>
              <w:rPr>
                <w:rFonts w:hint="eastAsia" w:ascii="Times New Roman" w:hAnsi="Times New Roman" w:cs="宋体"/>
                <w:b/>
                <w:bCs/>
                <w:color w:val="000000" w:themeColor="text1"/>
                <w:sz w:val="24"/>
                <w:szCs w:val="24"/>
                <w:u w:val="single"/>
                <w:lang w:val="en-US" w:eastAsia="zh-CN"/>
                <w14:textFill>
                  <w14:solidFill>
                    <w14:schemeClr w14:val="tx1"/>
                  </w14:solidFill>
                </w14:textFill>
              </w:rPr>
            </w:pPr>
            <w:r>
              <w:rPr>
                <w:rFonts w:hint="eastAsia" w:ascii="Times New Roman" w:hAnsi="Times New Roman" w:cs="宋体"/>
                <w:b/>
                <w:bCs/>
                <w:color w:val="000000" w:themeColor="text1"/>
                <w:sz w:val="24"/>
                <w:szCs w:val="24"/>
                <w:u w:val="single"/>
                <w:lang w:val="en-US" w:eastAsia="zh-CN"/>
                <w14:textFill>
                  <w14:solidFill>
                    <w14:schemeClr w14:val="tx1"/>
                  </w14:solidFill>
                </w14:textFill>
              </w:rPr>
              <w:t>1.</w:t>
            </w:r>
            <w:r>
              <w:rPr>
                <w:rFonts w:hint="eastAsia" w:cs="宋体"/>
                <w:b/>
                <w:bCs/>
                <w:color w:val="000000" w:themeColor="text1"/>
                <w:sz w:val="24"/>
                <w:szCs w:val="24"/>
                <w:u w:val="single"/>
                <w:lang w:val="en-US" w:eastAsia="zh-CN"/>
                <w14:textFill>
                  <w14:solidFill>
                    <w14:schemeClr w14:val="tx1"/>
                  </w14:solidFill>
                </w14:textFill>
              </w:rPr>
              <w:t>3</w:t>
            </w:r>
            <w:r>
              <w:rPr>
                <w:rFonts w:hint="eastAsia" w:ascii="Times New Roman" w:hAnsi="Times New Roman" w:cs="宋体"/>
                <w:b/>
                <w:bCs/>
                <w:color w:val="000000" w:themeColor="text1"/>
                <w:sz w:val="24"/>
                <w:szCs w:val="24"/>
                <w:u w:val="single"/>
                <w:lang w:val="en-US" w:eastAsia="zh-CN"/>
                <w14:textFill>
                  <w14:solidFill>
                    <w14:schemeClr w14:val="tx1"/>
                  </w14:solidFill>
                </w14:textFill>
              </w:rPr>
              <w:t>本项目废气产排情况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2" w:firstLineChars="200"/>
              <w:jc w:val="both"/>
              <w:textAlignment w:val="auto"/>
              <w:outlineLvl w:val="9"/>
              <w:rPr>
                <w:rFonts w:hint="eastAsia" w:ascii="Times New Roman" w:hAnsi="Times New Roman"/>
                <w:b/>
                <w:bCs/>
                <w:color w:val="000000" w:themeColor="text1"/>
                <w:sz w:val="24"/>
                <w:u w:val="single"/>
                <w14:textFill>
                  <w14:solidFill>
                    <w14:schemeClr w14:val="tx1"/>
                  </w14:solidFill>
                </w14:textFill>
              </w:rPr>
            </w:pP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本项目</w:t>
            </w:r>
            <w:r>
              <w:rPr>
                <w:rFonts w:hint="eastAsia" w:ascii="Times New Roman" w:hAnsi="Times New Roman"/>
                <w:b/>
                <w:bCs/>
                <w:color w:val="000000" w:themeColor="text1"/>
                <w:sz w:val="24"/>
                <w:u w:val="single"/>
                <w14:textFill>
                  <w14:solidFill>
                    <w14:schemeClr w14:val="tx1"/>
                  </w14:solidFill>
                </w14:textFill>
              </w:rPr>
              <w:t>有组织废气和无组织废气产排情况见表</w:t>
            </w:r>
            <w:r>
              <w:rPr>
                <w:rFonts w:hint="eastAsia"/>
                <w:b/>
                <w:bCs/>
                <w:color w:val="000000" w:themeColor="text1"/>
                <w:sz w:val="24"/>
                <w:u w:val="single"/>
                <w:lang w:val="en-US" w:eastAsia="zh-CN"/>
                <w14:textFill>
                  <w14:solidFill>
                    <w14:schemeClr w14:val="tx1"/>
                  </w14:solidFill>
                </w14:textFill>
              </w:rPr>
              <w:t>4-4</w:t>
            </w:r>
            <w:r>
              <w:rPr>
                <w:rFonts w:hint="eastAsia" w:ascii="Times New Roman" w:hAnsi="Times New Roman"/>
                <w:b/>
                <w:bCs/>
                <w:color w:val="000000" w:themeColor="text1"/>
                <w:sz w:val="24"/>
                <w:u w:val="single"/>
                <w14:textFill>
                  <w14:solidFill>
                    <w14:schemeClr w14:val="tx1"/>
                  </w14:solidFill>
                </w14:textFill>
              </w:rPr>
              <w:t>。</w:t>
            </w:r>
          </w:p>
          <w:p>
            <w:pPr>
              <w:pStyle w:val="13"/>
              <w:keepLines w:val="0"/>
              <w:pageBreakBefore w:val="0"/>
              <w:kinsoku/>
              <w:wordWrap/>
              <w:topLinePunct w:val="0"/>
              <w:bidi w:val="0"/>
              <w:snapToGrid w:val="0"/>
              <w:spacing w:before="0" w:after="0" w:line="360" w:lineRule="auto"/>
              <w:ind w:right="0" w:firstLine="422" w:firstLineChars="200"/>
              <w:jc w:val="center"/>
              <w:textAlignment w:val="auto"/>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表4-</w:t>
            </w:r>
            <w:r>
              <w:rPr>
                <w:rFonts w:hint="eastAsia" w:cs="Times New Roman"/>
                <w:b/>
                <w:bCs/>
                <w:color w:val="000000" w:themeColor="text1"/>
                <w:sz w:val="21"/>
                <w:szCs w:val="21"/>
                <w:u w:val="single"/>
                <w:lang w:val="en-US" w:eastAsia="zh-CN"/>
                <w14:textFill>
                  <w14:solidFill>
                    <w14:schemeClr w14:val="tx1"/>
                  </w14:solidFill>
                </w14:textFill>
              </w:rPr>
              <w:t>4</w:t>
            </w: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 xml:space="preserve">  本项目运营期废气产排情况一览表</w:t>
            </w:r>
          </w:p>
          <w:tbl>
            <w:tblPr>
              <w:tblStyle w:val="26"/>
              <w:tblW w:w="4988" w:type="pct"/>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427"/>
              <w:gridCol w:w="1083"/>
              <w:gridCol w:w="841"/>
              <w:gridCol w:w="798"/>
              <w:gridCol w:w="685"/>
              <w:gridCol w:w="814"/>
              <w:gridCol w:w="1809"/>
              <w:gridCol w:w="860"/>
              <w:gridCol w:w="759"/>
              <w:gridCol w:w="807"/>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849" w:type="pct"/>
                  <w:gridSpan w:val="2"/>
                  <w:vMerge w:val="restar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污染源</w:t>
                  </w:r>
                </w:p>
              </w:tc>
              <w:tc>
                <w:tcPr>
                  <w:tcW w:w="474" w:type="pct"/>
                  <w:vMerge w:val="restart"/>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污染</w:t>
                  </w:r>
                </w:p>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因子</w:t>
                  </w:r>
                </w:p>
              </w:tc>
              <w:tc>
                <w:tcPr>
                  <w:tcW w:w="1294" w:type="pct"/>
                  <w:gridSpan w:val="3"/>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污染物产生情况</w:t>
                  </w:r>
                </w:p>
              </w:tc>
              <w:tc>
                <w:tcPr>
                  <w:tcW w:w="1018" w:type="pct"/>
                  <w:vMerge w:val="restar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lang w:eastAsia="zh-CN"/>
                      <w14:textFill>
                        <w14:solidFill>
                          <w14:schemeClr w14:val="tx1"/>
                        </w14:solidFill>
                      </w14:textFill>
                    </w:rPr>
                    <w:t>治理</w:t>
                  </w:r>
                  <w:r>
                    <w:rPr>
                      <w:rFonts w:hint="eastAsia" w:ascii="Times New Roman" w:hAnsi="Times New Roman"/>
                      <w:b/>
                      <w:bCs/>
                      <w:color w:val="000000" w:themeColor="text1"/>
                      <w:kern w:val="2"/>
                      <w:sz w:val="21"/>
                      <w:szCs w:val="21"/>
                      <w:u w:val="single"/>
                      <w14:textFill>
                        <w14:solidFill>
                          <w14:schemeClr w14:val="tx1"/>
                        </w14:solidFill>
                      </w14:textFill>
                    </w:rPr>
                    <w:t>措施</w:t>
                  </w:r>
                </w:p>
              </w:tc>
              <w:tc>
                <w:tcPr>
                  <w:tcW w:w="1363" w:type="pct"/>
                  <w:gridSpan w:val="3"/>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污染物排放情况</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849" w:type="pct"/>
                  <w:gridSpan w:val="2"/>
                  <w:vMerge w:val="continue"/>
                  <w:noWrap w:val="0"/>
                  <w:vAlign w:val="center"/>
                </w:tcPr>
                <w:p>
                  <w:pPr>
                    <w:widowControl/>
                    <w:jc w:val="center"/>
                    <w:rPr>
                      <w:rFonts w:ascii="Times New Roman" w:hAnsi="Times New Roman"/>
                      <w:b/>
                      <w:bCs/>
                      <w:color w:val="000000" w:themeColor="text1"/>
                      <w:sz w:val="21"/>
                      <w:szCs w:val="21"/>
                      <w:u w:val="single"/>
                      <w14:textFill>
                        <w14:solidFill>
                          <w14:schemeClr w14:val="tx1"/>
                        </w14:solidFill>
                      </w14:textFill>
                    </w:rPr>
                  </w:pPr>
                </w:p>
              </w:tc>
              <w:tc>
                <w:tcPr>
                  <w:tcW w:w="474" w:type="pct"/>
                  <w:vMerge w:val="continue"/>
                  <w:noWrap w:val="0"/>
                  <w:vAlign w:val="center"/>
                </w:tcPr>
                <w:p>
                  <w:pPr>
                    <w:widowControl/>
                    <w:jc w:val="center"/>
                    <w:rPr>
                      <w:rFonts w:ascii="Times New Roman" w:hAnsi="Times New Roman"/>
                      <w:b/>
                      <w:bCs/>
                      <w:color w:val="000000" w:themeColor="text1"/>
                      <w:sz w:val="21"/>
                      <w:szCs w:val="21"/>
                      <w:u w:val="single"/>
                      <w14:textFill>
                        <w14:solidFill>
                          <w14:schemeClr w14:val="tx1"/>
                        </w14:solidFill>
                      </w14:textFill>
                    </w:rPr>
                  </w:pPr>
                </w:p>
              </w:tc>
              <w:tc>
                <w:tcPr>
                  <w:tcW w:w="449" w:type="pc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产生浓度</w:t>
                  </w:r>
                  <w:r>
                    <w:rPr>
                      <w:rFonts w:ascii="Times New Roman" w:hAnsi="Times New Roman"/>
                      <w:b/>
                      <w:bCs/>
                      <w:color w:val="000000" w:themeColor="text1"/>
                      <w:kern w:val="2"/>
                      <w:sz w:val="21"/>
                      <w:szCs w:val="21"/>
                      <w:u w:val="single"/>
                      <w14:textFill>
                        <w14:solidFill>
                          <w14:schemeClr w14:val="tx1"/>
                        </w14:solidFill>
                      </w14:textFill>
                    </w:rPr>
                    <w:t>mg/m</w:t>
                  </w:r>
                  <w:r>
                    <w:rPr>
                      <w:rFonts w:ascii="Times New Roman" w:hAnsi="Times New Roman"/>
                      <w:b/>
                      <w:bCs/>
                      <w:color w:val="000000" w:themeColor="text1"/>
                      <w:kern w:val="2"/>
                      <w:sz w:val="21"/>
                      <w:szCs w:val="21"/>
                      <w:u w:val="single"/>
                      <w:vertAlign w:val="superscript"/>
                      <w14:textFill>
                        <w14:solidFill>
                          <w14:schemeClr w14:val="tx1"/>
                        </w14:solidFill>
                      </w14:textFill>
                    </w:rPr>
                    <w:t>3</w:t>
                  </w:r>
                </w:p>
              </w:tc>
              <w:tc>
                <w:tcPr>
                  <w:tcW w:w="386" w:type="pct"/>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产生</w:t>
                  </w:r>
                </w:p>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速率</w:t>
                  </w:r>
                  <w:r>
                    <w:rPr>
                      <w:rFonts w:ascii="Times New Roman" w:hAnsi="Times New Roman"/>
                      <w:b/>
                      <w:bCs/>
                      <w:color w:val="000000" w:themeColor="text1"/>
                      <w:kern w:val="2"/>
                      <w:sz w:val="21"/>
                      <w:szCs w:val="21"/>
                      <w:u w:val="single"/>
                      <w14:textFill>
                        <w14:solidFill>
                          <w14:schemeClr w14:val="tx1"/>
                        </w14:solidFill>
                      </w14:textFill>
                    </w:rPr>
                    <w:t>kg/h</w:t>
                  </w:r>
                </w:p>
              </w:tc>
              <w:tc>
                <w:tcPr>
                  <w:tcW w:w="458" w:type="pc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产生量</w:t>
                  </w:r>
                  <w:r>
                    <w:rPr>
                      <w:rFonts w:ascii="Times New Roman" w:hAnsi="Times New Roman"/>
                      <w:b/>
                      <w:bCs/>
                      <w:color w:val="000000" w:themeColor="text1"/>
                      <w:kern w:val="2"/>
                      <w:sz w:val="21"/>
                      <w:szCs w:val="21"/>
                      <w:u w:val="single"/>
                      <w14:textFill>
                        <w14:solidFill>
                          <w14:schemeClr w14:val="tx1"/>
                        </w14:solidFill>
                      </w14:textFill>
                    </w:rPr>
                    <w:t>t/a</w:t>
                  </w:r>
                </w:p>
              </w:tc>
              <w:tc>
                <w:tcPr>
                  <w:tcW w:w="1018" w:type="pct"/>
                  <w:vMerge w:val="continue"/>
                  <w:noWrap w:val="0"/>
                  <w:vAlign w:val="center"/>
                </w:tcPr>
                <w:p>
                  <w:pPr>
                    <w:widowControl/>
                    <w:jc w:val="center"/>
                    <w:rPr>
                      <w:rFonts w:ascii="Times New Roman" w:hAnsi="Times New Roman"/>
                      <w:b/>
                      <w:bCs/>
                      <w:color w:val="000000" w:themeColor="text1"/>
                      <w:sz w:val="21"/>
                      <w:szCs w:val="21"/>
                      <w:u w:val="single"/>
                      <w14:textFill>
                        <w14:solidFill>
                          <w14:schemeClr w14:val="tx1"/>
                        </w14:solidFill>
                      </w14:textFill>
                    </w:rPr>
                  </w:pPr>
                </w:p>
              </w:tc>
              <w:tc>
                <w:tcPr>
                  <w:tcW w:w="484" w:type="pct"/>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排放</w:t>
                  </w:r>
                </w:p>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浓度</w:t>
                  </w:r>
                  <w:r>
                    <w:rPr>
                      <w:rFonts w:ascii="Times New Roman" w:hAnsi="Times New Roman"/>
                      <w:b/>
                      <w:bCs/>
                      <w:color w:val="000000" w:themeColor="text1"/>
                      <w:kern w:val="2"/>
                      <w:sz w:val="21"/>
                      <w:szCs w:val="21"/>
                      <w:u w:val="single"/>
                      <w14:textFill>
                        <w14:solidFill>
                          <w14:schemeClr w14:val="tx1"/>
                        </w14:solidFill>
                      </w14:textFill>
                    </w:rPr>
                    <w:t>mg/m</w:t>
                  </w:r>
                  <w:r>
                    <w:rPr>
                      <w:rFonts w:ascii="Times New Roman" w:hAnsi="Times New Roman"/>
                      <w:b/>
                      <w:bCs/>
                      <w:color w:val="000000" w:themeColor="text1"/>
                      <w:kern w:val="2"/>
                      <w:sz w:val="21"/>
                      <w:szCs w:val="21"/>
                      <w:u w:val="single"/>
                      <w:vertAlign w:val="superscript"/>
                      <w14:textFill>
                        <w14:solidFill>
                          <w14:schemeClr w14:val="tx1"/>
                        </w14:solidFill>
                      </w14:textFill>
                    </w:rPr>
                    <w:t>3</w:t>
                  </w:r>
                </w:p>
              </w:tc>
              <w:tc>
                <w:tcPr>
                  <w:tcW w:w="427" w:type="pct"/>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排放</w:t>
                  </w:r>
                </w:p>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速率</w:t>
                  </w:r>
                  <w:r>
                    <w:rPr>
                      <w:rFonts w:ascii="Times New Roman" w:hAnsi="Times New Roman"/>
                      <w:b/>
                      <w:bCs/>
                      <w:color w:val="000000" w:themeColor="text1"/>
                      <w:kern w:val="2"/>
                      <w:sz w:val="21"/>
                      <w:szCs w:val="21"/>
                      <w:u w:val="single"/>
                      <w14:textFill>
                        <w14:solidFill>
                          <w14:schemeClr w14:val="tx1"/>
                        </w14:solidFill>
                      </w14:textFill>
                    </w:rPr>
                    <w:t>kg/h</w:t>
                  </w:r>
                </w:p>
              </w:tc>
              <w:tc>
                <w:tcPr>
                  <w:tcW w:w="451" w:type="pct"/>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排放量</w:t>
                  </w:r>
                </w:p>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ascii="Times New Roman" w:hAnsi="Times New Roman"/>
                      <w:b/>
                      <w:bCs/>
                      <w:color w:val="000000" w:themeColor="text1"/>
                      <w:kern w:val="2"/>
                      <w:sz w:val="21"/>
                      <w:szCs w:val="21"/>
                      <w:u w:val="single"/>
                      <w14:textFill>
                        <w14:solidFill>
                          <w14:schemeClr w14:val="tx1"/>
                        </w14:solidFill>
                      </w14:textFill>
                    </w:rPr>
                    <w:t>t/a</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9" w:hRule="atLeast"/>
                <w:jc w:val="center"/>
              </w:trPr>
              <w:tc>
                <w:tcPr>
                  <w:tcW w:w="239" w:type="pct"/>
                  <w:vMerge w:val="restar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有组织废气</w:t>
                  </w:r>
                </w:p>
              </w:tc>
              <w:tc>
                <w:tcPr>
                  <w:tcW w:w="4760" w:type="pct"/>
                  <w:gridSpan w:val="9"/>
                  <w:noWrap w:val="0"/>
                  <w:vAlign w:val="center"/>
                </w:tcPr>
                <w:p>
                  <w:pPr>
                    <w:snapToGrid w:val="0"/>
                    <w:jc w:val="left"/>
                    <w:rPr>
                      <w:rFonts w:hint="default" w:ascii="Times New Roman" w:hAnsi="Times New Roman" w:eastAsia="宋体"/>
                      <w:b/>
                      <w:bCs/>
                      <w:snapToGrid w:val="0"/>
                      <w:color w:val="000000" w:themeColor="text1"/>
                      <w:kern w:val="0"/>
                      <w:sz w:val="21"/>
                      <w:szCs w:val="21"/>
                      <w:u w:val="single"/>
                      <w:lang w:val="en-US" w:eastAsia="zh-CN"/>
                      <w14:textFill>
                        <w14:solidFill>
                          <w14:schemeClr w14:val="tx1"/>
                        </w14:solidFill>
                      </w14:textFill>
                    </w:rPr>
                  </w:pPr>
                  <w:r>
                    <w:rPr>
                      <w:rFonts w:hint="eastAsia"/>
                      <w:b/>
                      <w:bCs/>
                      <w:color w:val="000000" w:themeColor="text1"/>
                      <w:kern w:val="2"/>
                      <w:sz w:val="21"/>
                      <w:szCs w:val="21"/>
                      <w:u w:val="single"/>
                      <w:lang w:val="en-US" w:eastAsia="zh-CN"/>
                      <w14:textFill>
                        <w14:solidFill>
                          <w14:schemeClr w14:val="tx1"/>
                        </w14:solidFill>
                      </w14:textFill>
                    </w:rPr>
                    <w:t>DA001</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239" w:type="pct"/>
                  <w:vMerge w:val="continue"/>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p>
              </w:tc>
              <w:tc>
                <w:tcPr>
                  <w:tcW w:w="610" w:type="pct"/>
                  <w:vMerge w:val="restart"/>
                  <w:noWrap w:val="0"/>
                  <w:vAlign w:val="center"/>
                </w:tcPr>
                <w:p>
                  <w:pPr>
                    <w:pStyle w:val="71"/>
                    <w:kinsoku w:val="0"/>
                    <w:overflowPunct w:val="0"/>
                    <w:snapToGrid w:val="0"/>
                    <w:jc w:val="center"/>
                    <w:rPr>
                      <w:rFonts w:hint="default" w:ascii="Times New Roman" w:hAnsi="Times New Roman"/>
                      <w:b/>
                      <w:bCs/>
                      <w:color w:val="000000" w:themeColor="text1"/>
                      <w:kern w:val="2"/>
                      <w:sz w:val="21"/>
                      <w:szCs w:val="21"/>
                      <w:u w:val="single"/>
                      <w:lang w:val="en-US" w:eastAsia="zh-CN"/>
                      <w14:textFill>
                        <w14:solidFill>
                          <w14:schemeClr w14:val="tx1"/>
                        </w14:solidFill>
                      </w14:textFill>
                    </w:rPr>
                  </w:pPr>
                  <w:r>
                    <w:rPr>
                      <w:rFonts w:hint="eastAsia"/>
                      <w:b/>
                      <w:bCs/>
                      <w:color w:val="000000" w:themeColor="text1"/>
                      <w:kern w:val="2"/>
                      <w:sz w:val="21"/>
                      <w:szCs w:val="21"/>
                      <w:u w:val="single"/>
                      <w:lang w:val="en-US" w:eastAsia="zh-CN"/>
                      <w14:textFill>
                        <w14:solidFill>
                          <w14:schemeClr w14:val="tx1"/>
                        </w14:solidFill>
                      </w14:textFill>
                    </w:rPr>
                    <w:t>锅炉烟气</w:t>
                  </w:r>
                </w:p>
              </w:tc>
              <w:tc>
                <w:tcPr>
                  <w:tcW w:w="47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b/>
                      <w:bCs/>
                      <w:color w:val="000000" w:themeColor="text1"/>
                      <w:kern w:val="2"/>
                      <w:sz w:val="21"/>
                      <w:szCs w:val="21"/>
                      <w:u w:val="single"/>
                      <w:lang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颗粒物</w:t>
                  </w:r>
                </w:p>
              </w:tc>
              <w:tc>
                <w:tcPr>
                  <w:tcW w:w="44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4.78</w:t>
                  </w:r>
                </w:p>
              </w:tc>
              <w:tc>
                <w:tcPr>
                  <w:tcW w:w="38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b/>
                      <w:bCs/>
                      <w:color w:val="000000" w:themeColor="text1"/>
                      <w:kern w:val="2"/>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0.043</w:t>
                  </w:r>
                </w:p>
              </w:tc>
              <w:tc>
                <w:tcPr>
                  <w:tcW w:w="4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0.154</w:t>
                  </w:r>
                </w:p>
              </w:tc>
              <w:tc>
                <w:tcPr>
                  <w:tcW w:w="1018" w:type="pct"/>
                  <w:noWrap w:val="0"/>
                  <w:vAlign w:val="center"/>
                </w:tcPr>
                <w:p>
                  <w:pPr>
                    <w:widowControl/>
                    <w:jc w:val="center"/>
                    <w:rPr>
                      <w:rFonts w:hint="default" w:ascii="Times New Roman" w:hAnsi="Times New Roman"/>
                      <w:b/>
                      <w:bCs/>
                      <w:color w:val="000000" w:themeColor="text1"/>
                      <w:sz w:val="21"/>
                      <w:szCs w:val="21"/>
                      <w:u w:val="single"/>
                      <w:lang w:val="en-US" w:eastAsia="zh-CN"/>
                      <w14:textFill>
                        <w14:solidFill>
                          <w14:schemeClr w14:val="tx1"/>
                        </w14:solidFill>
                      </w14:textFill>
                    </w:rPr>
                  </w:pPr>
                  <w:r>
                    <w:rPr>
                      <w:rFonts w:hint="eastAsia"/>
                      <w:b/>
                      <w:bCs/>
                      <w:color w:val="000000" w:themeColor="text1"/>
                      <w:sz w:val="21"/>
                      <w:szCs w:val="21"/>
                      <w:u w:val="single"/>
                      <w:lang w:val="en-US" w:eastAsia="zh-CN"/>
                      <w14:textFill>
                        <w14:solidFill>
                          <w14:schemeClr w14:val="tx1"/>
                        </w14:solidFill>
                      </w14:textFill>
                    </w:rPr>
                    <w:t>/</w:t>
                  </w:r>
                </w:p>
              </w:tc>
              <w:tc>
                <w:tcPr>
                  <w:tcW w:w="48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4.78</w:t>
                  </w:r>
                </w:p>
              </w:tc>
              <w:tc>
                <w:tcPr>
                  <w:tcW w:w="427"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0.043</w:t>
                  </w:r>
                </w:p>
              </w:tc>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0.154</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239" w:type="pct"/>
                  <w:vMerge w:val="continue"/>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p>
              </w:tc>
              <w:tc>
                <w:tcPr>
                  <w:tcW w:w="610" w:type="pct"/>
                  <w:vMerge w:val="continue"/>
                  <w:noWrap w:val="0"/>
                  <w:vAlign w:val="center"/>
                </w:tcPr>
                <w:p>
                  <w:pPr>
                    <w:pStyle w:val="71"/>
                    <w:kinsoku w:val="0"/>
                    <w:overflowPunct w:val="0"/>
                    <w:snapToGrid w:val="0"/>
                    <w:jc w:val="center"/>
                    <w:rPr>
                      <w:rFonts w:hint="eastAsia"/>
                      <w:b/>
                      <w:bCs/>
                      <w:color w:val="000000" w:themeColor="text1"/>
                      <w:kern w:val="2"/>
                      <w:sz w:val="21"/>
                      <w:szCs w:val="21"/>
                      <w:u w:val="single"/>
                      <w:lang w:val="en-US" w:eastAsia="zh-CN"/>
                      <w14:textFill>
                        <w14:solidFill>
                          <w14:schemeClr w14:val="tx1"/>
                        </w14:solidFill>
                      </w14:textFill>
                    </w:rPr>
                  </w:pPr>
                </w:p>
              </w:tc>
              <w:tc>
                <w:tcPr>
                  <w:tcW w:w="47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b/>
                      <w:bCs/>
                      <w:color w:val="000000" w:themeColor="text1"/>
                      <w:kern w:val="2"/>
                      <w:sz w:val="21"/>
                      <w:szCs w:val="21"/>
                      <w:u w:val="single"/>
                      <w:lang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SO</w:t>
                  </w:r>
                  <w:r>
                    <w:rPr>
                      <w:rFonts w:hint="default" w:ascii="Times New Roman" w:hAnsi="Times New Roman" w:eastAsia="宋体" w:cs="Times New Roman"/>
                      <w:b/>
                      <w:bCs/>
                      <w:color w:val="000000" w:themeColor="text1"/>
                      <w:spacing w:val="-11"/>
                      <w:kern w:val="0"/>
                      <w:sz w:val="21"/>
                      <w:szCs w:val="21"/>
                      <w:u w:val="single"/>
                      <w:vertAlign w:val="subscript"/>
                      <w:lang w:val="en-US" w:eastAsia="zh-CN" w:bidi="ar-SA"/>
                      <w14:textFill>
                        <w14:solidFill>
                          <w14:schemeClr w14:val="tx1"/>
                        </w14:solidFill>
                      </w14:textFill>
                    </w:rPr>
                    <w:t>2</w:t>
                  </w:r>
                </w:p>
              </w:tc>
              <w:tc>
                <w:tcPr>
                  <w:tcW w:w="44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1.67</w:t>
                  </w:r>
                </w:p>
              </w:tc>
              <w:tc>
                <w:tcPr>
                  <w:tcW w:w="38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0.015</w:t>
                  </w:r>
                </w:p>
              </w:tc>
              <w:tc>
                <w:tcPr>
                  <w:tcW w:w="4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0.054</w:t>
                  </w:r>
                </w:p>
              </w:tc>
              <w:tc>
                <w:tcPr>
                  <w:tcW w:w="1018" w:type="pct"/>
                  <w:noWrap w:val="0"/>
                  <w:vAlign w:val="center"/>
                </w:tcPr>
                <w:p>
                  <w:pPr>
                    <w:widowControl/>
                    <w:jc w:val="cente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w:t>
                  </w:r>
                </w:p>
              </w:tc>
              <w:tc>
                <w:tcPr>
                  <w:tcW w:w="48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1.67</w:t>
                  </w:r>
                </w:p>
              </w:tc>
              <w:tc>
                <w:tcPr>
                  <w:tcW w:w="427"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0.015</w:t>
                  </w:r>
                </w:p>
              </w:tc>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0.054</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239" w:type="pct"/>
                  <w:vMerge w:val="continue"/>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p>
              </w:tc>
              <w:tc>
                <w:tcPr>
                  <w:tcW w:w="610" w:type="pct"/>
                  <w:vMerge w:val="continue"/>
                  <w:noWrap w:val="0"/>
                  <w:vAlign w:val="center"/>
                </w:tcPr>
                <w:p>
                  <w:pPr>
                    <w:pStyle w:val="71"/>
                    <w:kinsoku w:val="0"/>
                    <w:overflowPunct w:val="0"/>
                    <w:snapToGrid w:val="0"/>
                    <w:jc w:val="center"/>
                    <w:rPr>
                      <w:rFonts w:hint="eastAsia"/>
                      <w:b/>
                      <w:bCs/>
                      <w:color w:val="000000" w:themeColor="text1"/>
                      <w:kern w:val="2"/>
                      <w:sz w:val="21"/>
                      <w:szCs w:val="21"/>
                      <w:u w:val="single"/>
                      <w:lang w:val="en-US" w:eastAsia="zh-CN"/>
                      <w14:textFill>
                        <w14:solidFill>
                          <w14:schemeClr w14:val="tx1"/>
                        </w14:solidFill>
                      </w14:textFill>
                    </w:rPr>
                  </w:pPr>
                </w:p>
              </w:tc>
              <w:tc>
                <w:tcPr>
                  <w:tcW w:w="47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b/>
                      <w:bCs/>
                      <w:color w:val="000000" w:themeColor="text1"/>
                      <w:kern w:val="2"/>
                      <w:sz w:val="21"/>
                      <w:szCs w:val="21"/>
                      <w:u w:val="single"/>
                      <w:lang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NOx</w:t>
                  </w:r>
                </w:p>
              </w:tc>
              <w:tc>
                <w:tcPr>
                  <w:tcW w:w="44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15.56</w:t>
                  </w:r>
                </w:p>
              </w:tc>
              <w:tc>
                <w:tcPr>
                  <w:tcW w:w="38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0.140</w:t>
                  </w:r>
                </w:p>
              </w:tc>
              <w:tc>
                <w:tcPr>
                  <w:tcW w:w="4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0.505</w:t>
                  </w:r>
                </w:p>
              </w:tc>
              <w:tc>
                <w:tcPr>
                  <w:tcW w:w="1018" w:type="pct"/>
                  <w:noWrap w:val="0"/>
                  <w:vAlign w:val="center"/>
                </w:tcPr>
                <w:p>
                  <w:pPr>
                    <w:widowControl/>
                    <w:jc w:val="cente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低氮燃烧器</w:t>
                  </w:r>
                  <w:r>
                    <w:rPr>
                      <w:rFonts w:hint="eastAsia" w:ascii="Times New Roman" w:hAnsi="Times New Roman"/>
                      <w:b/>
                      <w:bCs/>
                      <w:color w:val="000000" w:themeColor="text1"/>
                      <w:sz w:val="21"/>
                      <w:szCs w:val="21"/>
                      <w:u w:val="single"/>
                      <w:lang w:val="en-US" w:eastAsia="zh-CN"/>
                      <w14:textFill>
                        <w14:solidFill>
                          <w14:schemeClr w14:val="tx1"/>
                        </w14:solidFill>
                      </w14:textFill>
                    </w:rPr>
                    <w:t>+1根排气筒排放</w:t>
                  </w:r>
                </w:p>
              </w:tc>
              <w:tc>
                <w:tcPr>
                  <w:tcW w:w="48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15.56</w:t>
                  </w:r>
                </w:p>
              </w:tc>
              <w:tc>
                <w:tcPr>
                  <w:tcW w:w="427"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color w:val="000000" w:themeColor="text1"/>
                      <w:kern w:val="2"/>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0.140</w:t>
                  </w:r>
                </w:p>
              </w:tc>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b/>
                      <w:bCs/>
                      <w:snapToGrid w:val="0"/>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1"/>
                      <w:kern w:val="0"/>
                      <w:sz w:val="21"/>
                      <w:szCs w:val="21"/>
                      <w:u w:val="single"/>
                      <w:vertAlign w:val="baseline"/>
                      <w:lang w:val="en-US" w:eastAsia="zh-CN" w:bidi="ar-SA"/>
                      <w14:textFill>
                        <w14:solidFill>
                          <w14:schemeClr w14:val="tx1"/>
                        </w14:solidFill>
                      </w14:textFill>
                    </w:rPr>
                    <w:t>0.505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394" w:hRule="atLeast"/>
                <w:jc w:val="center"/>
              </w:trPr>
              <w:tc>
                <w:tcPr>
                  <w:tcW w:w="239" w:type="pct"/>
                  <w:vMerge w:val="continue"/>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p>
              </w:tc>
              <w:tc>
                <w:tcPr>
                  <w:tcW w:w="4760" w:type="pct"/>
                  <w:gridSpan w:val="9"/>
                  <w:noWrap w:val="0"/>
                  <w:vAlign w:val="center"/>
                </w:tcPr>
                <w:p>
                  <w:pPr>
                    <w:snapToGrid w:val="0"/>
                    <w:jc w:val="left"/>
                    <w:rPr>
                      <w:rFonts w:hint="default"/>
                      <w:b/>
                      <w:bCs/>
                      <w:snapToGrid w:val="0"/>
                      <w:color w:val="000000" w:themeColor="text1"/>
                      <w:kern w:val="0"/>
                      <w:sz w:val="21"/>
                      <w:szCs w:val="21"/>
                      <w:u w:val="single"/>
                      <w:lang w:val="en-US" w:eastAsia="zh-CN"/>
                      <w14:textFill>
                        <w14:solidFill>
                          <w14:schemeClr w14:val="tx1"/>
                        </w14:solidFill>
                      </w14:textFill>
                    </w:rPr>
                  </w:pPr>
                  <w:r>
                    <w:rPr>
                      <w:rFonts w:hint="eastAsia"/>
                      <w:b/>
                      <w:bCs/>
                      <w:color w:val="000000" w:themeColor="text1"/>
                      <w:kern w:val="2"/>
                      <w:sz w:val="21"/>
                      <w:szCs w:val="21"/>
                      <w:u w:val="single"/>
                      <w:lang w:val="en-US" w:eastAsia="zh-CN"/>
                      <w14:textFill>
                        <w14:solidFill>
                          <w14:schemeClr w14:val="tx1"/>
                        </w14:solidFill>
                      </w14:textFill>
                    </w:rPr>
                    <w:t>DA002</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05" w:hRule="atLeast"/>
                <w:jc w:val="center"/>
              </w:trPr>
              <w:tc>
                <w:tcPr>
                  <w:tcW w:w="239" w:type="pct"/>
                  <w:vMerge w:val="continue"/>
                  <w:noWrap w:val="0"/>
                  <w:vAlign w:val="center"/>
                </w:tcPr>
                <w:p>
                  <w:pPr>
                    <w:pStyle w:val="71"/>
                    <w:kinsoku w:val="0"/>
                    <w:overflowPunct w:val="0"/>
                    <w:snapToGrid w:val="0"/>
                    <w:jc w:val="center"/>
                    <w:rPr>
                      <w:rFonts w:hint="eastAsia" w:ascii="Times New Roman" w:hAnsi="Times New Roman"/>
                      <w:b/>
                      <w:bCs/>
                      <w:color w:val="000000" w:themeColor="text1"/>
                      <w:kern w:val="2"/>
                      <w:sz w:val="21"/>
                      <w:szCs w:val="21"/>
                      <w:u w:val="single"/>
                      <w14:textFill>
                        <w14:solidFill>
                          <w14:schemeClr w14:val="tx1"/>
                        </w14:solidFill>
                      </w14:textFill>
                    </w:rPr>
                  </w:pPr>
                </w:p>
              </w:tc>
              <w:tc>
                <w:tcPr>
                  <w:tcW w:w="610" w:type="pct"/>
                  <w:noWrap w:val="0"/>
                  <w:vAlign w:val="center"/>
                </w:tcPr>
                <w:p>
                  <w:pPr>
                    <w:pStyle w:val="71"/>
                    <w:kinsoku w:val="0"/>
                    <w:overflowPunct w:val="0"/>
                    <w:snapToGrid w:val="0"/>
                    <w:jc w:val="center"/>
                    <w:rPr>
                      <w:rFonts w:hint="default" w:ascii="Times New Roman" w:hAnsi="Times New Roman"/>
                      <w:b/>
                      <w:bCs/>
                      <w:color w:val="000000" w:themeColor="text1"/>
                      <w:kern w:val="2"/>
                      <w:sz w:val="21"/>
                      <w:szCs w:val="21"/>
                      <w:u w:val="single"/>
                      <w:lang w:val="en-US"/>
                      <w14:textFill>
                        <w14:solidFill>
                          <w14:schemeClr w14:val="tx1"/>
                        </w14:solidFill>
                      </w14:textFill>
                    </w:rPr>
                  </w:pPr>
                  <w:r>
                    <w:rPr>
                      <w:rFonts w:hint="eastAsia"/>
                      <w:b/>
                      <w:bCs/>
                      <w:color w:val="000000" w:themeColor="text1"/>
                      <w:kern w:val="2"/>
                      <w:sz w:val="21"/>
                      <w:szCs w:val="21"/>
                      <w:u w:val="single"/>
                      <w:lang w:val="en-US" w:eastAsia="zh-CN"/>
                      <w14:textFill>
                        <w14:solidFill>
                          <w14:schemeClr w14:val="tx1"/>
                        </w14:solidFill>
                      </w14:textFill>
                    </w:rPr>
                    <w:t>雾化工序废气</w:t>
                  </w:r>
                </w:p>
              </w:tc>
              <w:tc>
                <w:tcPr>
                  <w:tcW w:w="474" w:type="pc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颗粒物</w:t>
                  </w:r>
                </w:p>
              </w:tc>
              <w:tc>
                <w:tcPr>
                  <w:tcW w:w="44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79</w:t>
                  </w:r>
                </w:p>
              </w:tc>
              <w:tc>
                <w:tcPr>
                  <w:tcW w:w="38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79</w:t>
                  </w:r>
                </w:p>
              </w:tc>
              <w:tc>
                <w:tcPr>
                  <w:tcW w:w="4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2</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.85</w:t>
                  </w:r>
                </w:p>
              </w:tc>
              <w:tc>
                <w:tcPr>
                  <w:tcW w:w="1018" w:type="pct"/>
                  <w:noWrap w:val="0"/>
                  <w:vAlign w:val="center"/>
                </w:tcPr>
                <w:p>
                  <w:pPr>
                    <w:widowControl/>
                    <w:jc w:val="center"/>
                    <w:rPr>
                      <w:rFonts w:hint="eastAsia" w:ascii="Times New Roman" w:hAnsi="Times New Roman"/>
                      <w:b/>
                      <w:bCs/>
                      <w:snapToGrid w:val="0"/>
                      <w:color w:val="000000" w:themeColor="text1"/>
                      <w:kern w:val="0"/>
                      <w:sz w:val="21"/>
                      <w:szCs w:val="21"/>
                      <w:u w:val="single"/>
                      <w:lang w:val="en-US" w:eastAsia="zh-CN"/>
                      <w14:textFill>
                        <w14:solidFill>
                          <w14:schemeClr w14:val="tx1"/>
                        </w14:solidFill>
                      </w14:textFill>
                    </w:rPr>
                  </w:pPr>
                  <w:r>
                    <w:rPr>
                      <w:rFonts w:hint="eastAsia" w:ascii="Times New Roman" w:hAnsi="Times New Roman"/>
                      <w:b/>
                      <w:bCs/>
                      <w:snapToGrid w:val="0"/>
                      <w:color w:val="000000" w:themeColor="text1"/>
                      <w:kern w:val="0"/>
                      <w:sz w:val="21"/>
                      <w:szCs w:val="21"/>
                      <w:u w:val="single"/>
                      <w:lang w:val="en-US" w:eastAsia="zh-CN"/>
                      <w14:textFill>
                        <w14:solidFill>
                          <w14:schemeClr w14:val="tx1"/>
                        </w14:solidFill>
                      </w14:textFill>
                    </w:rPr>
                    <w:t>旋风+布袋除尘器+1根排气筒排放</w:t>
                  </w:r>
                </w:p>
              </w:tc>
              <w:tc>
                <w:tcPr>
                  <w:tcW w:w="48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0.79</w:t>
                  </w:r>
                </w:p>
              </w:tc>
              <w:tc>
                <w:tcPr>
                  <w:tcW w:w="427"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0.0079</w:t>
                  </w:r>
                </w:p>
              </w:tc>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b/>
                      <w:bCs/>
                      <w:color w:val="000000" w:themeColor="text1"/>
                      <w:kern w:val="2"/>
                      <w:sz w:val="21"/>
                      <w:szCs w:val="21"/>
                      <w:u w:val="single"/>
                      <w:lang w:val="en-US" w:eastAsia="zh-CN"/>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0.0285</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95" w:hRule="atLeast"/>
                <w:jc w:val="center"/>
              </w:trPr>
              <w:tc>
                <w:tcPr>
                  <w:tcW w:w="849" w:type="pct"/>
                  <w:gridSpan w:val="2"/>
                  <w:noWrap w:val="0"/>
                  <w:vAlign w:val="center"/>
                </w:tcPr>
                <w:p>
                  <w:pPr>
                    <w:widowControl/>
                    <w:jc w:val="center"/>
                    <w:rPr>
                      <w:rFonts w:hint="eastAsia" w:ascii="Times New Roman" w:hAnsi="Times New Roman" w:eastAsia="宋体"/>
                      <w:b/>
                      <w:bCs/>
                      <w:color w:val="000000" w:themeColor="text1"/>
                      <w:sz w:val="21"/>
                      <w:szCs w:val="21"/>
                      <w:u w:val="single"/>
                      <w:lang w:eastAsia="zh-CN"/>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无组织废气</w:t>
                  </w:r>
                </w:p>
              </w:tc>
              <w:tc>
                <w:tcPr>
                  <w:tcW w:w="474" w:type="pct"/>
                  <w:noWrap w:val="0"/>
                  <w:vAlign w:val="center"/>
                </w:tcPr>
                <w:p>
                  <w:pPr>
                    <w:pStyle w:val="71"/>
                    <w:kinsoku w:val="0"/>
                    <w:overflowPunct w:val="0"/>
                    <w:snapToGrid w:val="0"/>
                    <w:jc w:val="center"/>
                    <w:rPr>
                      <w:rFonts w:ascii="Times New Roman" w:hAnsi="Times New Roman"/>
                      <w:b/>
                      <w:bCs/>
                      <w:color w:val="000000" w:themeColor="text1"/>
                      <w:kern w:val="2"/>
                      <w:sz w:val="21"/>
                      <w:szCs w:val="21"/>
                      <w:u w:val="single"/>
                      <w14:textFill>
                        <w14:solidFill>
                          <w14:schemeClr w14:val="tx1"/>
                        </w14:solidFill>
                      </w14:textFill>
                    </w:rPr>
                  </w:pPr>
                  <w:r>
                    <w:rPr>
                      <w:rFonts w:hint="eastAsia" w:ascii="Times New Roman" w:hAnsi="Times New Roman"/>
                      <w:b/>
                      <w:bCs/>
                      <w:color w:val="000000" w:themeColor="text1"/>
                      <w:kern w:val="2"/>
                      <w:sz w:val="21"/>
                      <w:szCs w:val="21"/>
                      <w:u w:val="single"/>
                      <w14:textFill>
                        <w14:solidFill>
                          <w14:schemeClr w14:val="tx1"/>
                        </w14:solidFill>
                      </w14:textFill>
                    </w:rPr>
                    <w:t>颗粒物</w:t>
                  </w:r>
                </w:p>
              </w:tc>
              <w:tc>
                <w:tcPr>
                  <w:tcW w:w="449"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b/>
                      <w:bCs/>
                      <w:color w:val="000000" w:themeColor="text1"/>
                      <w:kern w:val="2"/>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386"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ascii="Times New Roman" w:hAnsi="Times New Roman"/>
                      <w:b/>
                      <w:bCs/>
                      <w:color w:val="000000" w:themeColor="text1"/>
                      <w:kern w:val="0"/>
                      <w:sz w:val="21"/>
                      <w:szCs w:val="21"/>
                      <w:u w:val="single"/>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458"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ascii="Times New Roman" w:hAnsi="Times New Roman"/>
                      <w:b/>
                      <w:bCs/>
                      <w:color w:val="000000" w:themeColor="text1"/>
                      <w:kern w:val="0"/>
                      <w:sz w:val="21"/>
                      <w:szCs w:val="21"/>
                      <w:u w:val="single"/>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0.1</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5</w:t>
                  </w:r>
                </w:p>
              </w:tc>
              <w:tc>
                <w:tcPr>
                  <w:tcW w:w="1018"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Times New Roman" w:hAnsi="Times New Roman" w:eastAsia="宋体"/>
                      <w:b/>
                      <w:bCs/>
                      <w:color w:val="000000" w:themeColor="text1"/>
                      <w:kern w:val="2"/>
                      <w:sz w:val="21"/>
                      <w:szCs w:val="21"/>
                      <w:u w:val="single"/>
                      <w:lang w:val="en-US" w:eastAsia="zh-CN"/>
                      <w14:textFill>
                        <w14:solidFill>
                          <w14:schemeClr w14:val="tx1"/>
                        </w14:solidFill>
                      </w14:textFill>
                    </w:rPr>
                  </w:pPr>
                  <w:r>
                    <w:rPr>
                      <w:rFonts w:hint="eastAsia"/>
                      <w:b/>
                      <w:bCs/>
                      <w:color w:val="000000" w:themeColor="text1"/>
                      <w:kern w:val="2"/>
                      <w:sz w:val="21"/>
                      <w:szCs w:val="21"/>
                      <w:u w:val="single"/>
                      <w:lang w:val="en-US" w:eastAsia="zh-CN"/>
                      <w14:textFill>
                        <w14:solidFill>
                          <w14:schemeClr w14:val="tx1"/>
                        </w14:solidFill>
                      </w14:textFill>
                    </w:rPr>
                    <w:t>/</w:t>
                  </w:r>
                </w:p>
              </w:tc>
              <w:tc>
                <w:tcPr>
                  <w:tcW w:w="484"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b/>
                      <w:bCs/>
                      <w:color w:val="000000" w:themeColor="text1"/>
                      <w:kern w:val="2"/>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427"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b/>
                      <w:bCs/>
                      <w:color w:val="000000" w:themeColor="text1"/>
                      <w:kern w:val="0"/>
                      <w:sz w:val="21"/>
                      <w:szCs w:val="21"/>
                      <w:u w:val="single"/>
                      <w14:textFill>
                        <w14:solidFill>
                          <w14:schemeClr w14:val="tx1"/>
                        </w14:solidFill>
                      </w14:textFill>
                    </w:rPr>
                  </w:pP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451" w:type="pc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ascii="Times New Roman" w:hAnsi="Times New Roman"/>
                      <w:b/>
                      <w:bCs/>
                      <w:color w:val="000000" w:themeColor="text1"/>
                      <w:kern w:val="0"/>
                      <w:sz w:val="21"/>
                      <w:szCs w:val="21"/>
                      <w:u w:val="single"/>
                      <w14:textFill>
                        <w14:solidFill>
                          <w14:schemeClr w14:val="tx1"/>
                        </w14:solidFill>
                      </w14:textFill>
                    </w:rPr>
                  </w:pPr>
                  <w:r>
                    <w:rPr>
                      <w:rFonts w:hint="eastAsia"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0.1</w:t>
                  </w:r>
                  <w:r>
                    <w:rPr>
                      <w:rFonts w:hint="eastAsia" w:cs="Times New Roman"/>
                      <w:b/>
                      <w:bCs/>
                      <w:color w:val="000000" w:themeColor="text1"/>
                      <w:spacing w:val="-17"/>
                      <w:kern w:val="0"/>
                      <w:sz w:val="21"/>
                      <w:szCs w:val="21"/>
                      <w:u w:val="single"/>
                      <w:vertAlign w:val="baseline"/>
                      <w:lang w:val="en-US" w:eastAsia="zh-CN" w:bidi="ar-SA"/>
                      <w14:textFill>
                        <w14:solidFill>
                          <w14:schemeClr w14:val="tx1"/>
                        </w14:solidFill>
                      </w14:textFill>
                    </w:rPr>
                    <w:t>5</w:t>
                  </w:r>
                </w:p>
              </w:tc>
            </w:tr>
          </w:tbl>
          <w:p>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hint="eastAsia" w:ascii="Times New Roman" w:hAnsi="Times New Roman"/>
                <w:b/>
                <w:bCs/>
                <w:snapToGrid w:val="0"/>
                <w:color w:val="000000" w:themeColor="text1"/>
                <w:kern w:val="0"/>
                <w:sz w:val="24"/>
                <w:u w:val="single"/>
                <w:lang w:val="en-US" w:eastAsia="zh-CN"/>
                <w14:textFill>
                  <w14:solidFill>
                    <w14:schemeClr w14:val="tx1"/>
                  </w14:solidFill>
                </w14:textFill>
              </w:rPr>
            </w:pPr>
            <w:r>
              <w:rPr>
                <w:rFonts w:hint="eastAsia"/>
                <w:b/>
                <w:bCs/>
                <w:snapToGrid w:val="0"/>
                <w:color w:val="000000" w:themeColor="text1"/>
                <w:kern w:val="0"/>
                <w:sz w:val="24"/>
                <w:u w:val="single"/>
                <w:lang w:val="en-US" w:eastAsia="zh-CN"/>
                <w14:textFill>
                  <w14:solidFill>
                    <w14:schemeClr w14:val="tx1"/>
                  </w14:solidFill>
                </w14:textFill>
              </w:rPr>
              <w:t>1.4</w:t>
            </w: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排放口基本情况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2" w:firstLineChars="200"/>
              <w:jc w:val="both"/>
              <w:textAlignment w:val="auto"/>
              <w:outlineLvl w:val="9"/>
              <w:rPr>
                <w:rFonts w:hint="eastAsia" w:ascii="Times New Roman" w:hAnsi="Times New Roman"/>
                <w:b/>
                <w:bCs/>
                <w:snapToGrid w:val="0"/>
                <w:color w:val="000000" w:themeColor="text1"/>
                <w:kern w:val="0"/>
                <w:sz w:val="24"/>
                <w:u w:val="single"/>
                <w:lang w:val="en-US" w:eastAsia="zh-CN"/>
                <w14:textFill>
                  <w14:solidFill>
                    <w14:schemeClr w14:val="tx1"/>
                  </w14:solidFill>
                </w14:textFill>
              </w:rPr>
            </w:pP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排放口相关内容见表</w:t>
            </w:r>
            <w:r>
              <w:rPr>
                <w:rFonts w:hint="eastAsia"/>
                <w:b/>
                <w:bCs/>
                <w:snapToGrid w:val="0"/>
                <w:color w:val="000000" w:themeColor="text1"/>
                <w:kern w:val="0"/>
                <w:sz w:val="24"/>
                <w:u w:val="single"/>
                <w:lang w:val="en-US" w:eastAsia="zh-CN"/>
                <w14:textFill>
                  <w14:solidFill>
                    <w14:schemeClr w14:val="tx1"/>
                  </w14:solidFill>
                </w14:textFill>
              </w:rPr>
              <w:t>4-5</w:t>
            </w: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w:t>
            </w:r>
          </w:p>
          <w:p>
            <w:pPr>
              <w:pStyle w:val="13"/>
              <w:keepLines w:val="0"/>
              <w:pageBreakBefore w:val="0"/>
              <w:kinsoku/>
              <w:wordWrap/>
              <w:topLinePunct w:val="0"/>
              <w:bidi w:val="0"/>
              <w:snapToGrid w:val="0"/>
              <w:spacing w:before="0" w:after="0" w:line="360" w:lineRule="auto"/>
              <w:ind w:right="0" w:firstLine="422" w:firstLineChars="200"/>
              <w:jc w:val="center"/>
              <w:textAlignment w:val="auto"/>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表4-</w:t>
            </w:r>
            <w:r>
              <w:rPr>
                <w:rFonts w:hint="eastAsia" w:cs="Times New Roman"/>
                <w:b/>
                <w:bCs/>
                <w:color w:val="000000" w:themeColor="text1"/>
                <w:sz w:val="21"/>
                <w:szCs w:val="21"/>
                <w:u w:val="single"/>
                <w:lang w:val="en-US" w:eastAsia="zh-CN"/>
                <w14:textFill>
                  <w14:solidFill>
                    <w14:schemeClr w14:val="tx1"/>
                  </w14:solidFill>
                </w14:textFill>
              </w:rPr>
              <w:t>5</w:t>
            </w: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 xml:space="preserve">  废气排 放口基本情况</w:t>
            </w:r>
          </w:p>
          <w:tbl>
            <w:tblPr>
              <w:tblStyle w:val="2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414"/>
              <w:gridCol w:w="859"/>
              <w:gridCol w:w="1288"/>
              <w:gridCol w:w="1014"/>
              <w:gridCol w:w="1263"/>
              <w:gridCol w:w="1372"/>
              <w:gridCol w:w="951"/>
              <w:gridCol w:w="951"/>
              <w:gridCol w:w="7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36" w:hRule="atLeast"/>
              </w:trPr>
              <w:tc>
                <w:tcPr>
                  <w:tcW w:w="233" w:type="pct"/>
                  <w:vMerge w:val="restar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序号</w:t>
                  </w:r>
                </w:p>
              </w:tc>
              <w:tc>
                <w:tcPr>
                  <w:tcW w:w="482" w:type="pct"/>
                  <w:vMerge w:val="restar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排放口编号</w:t>
                  </w:r>
                </w:p>
              </w:tc>
              <w:tc>
                <w:tcPr>
                  <w:tcW w:w="723" w:type="pct"/>
                  <w:vMerge w:val="restar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排放口名称</w:t>
                  </w:r>
                </w:p>
              </w:tc>
              <w:tc>
                <w:tcPr>
                  <w:tcW w:w="569" w:type="pct"/>
                  <w:vMerge w:val="restar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污染物种类</w:t>
                  </w:r>
                </w:p>
              </w:tc>
              <w:tc>
                <w:tcPr>
                  <w:tcW w:w="1479" w:type="pct"/>
                  <w:gridSpan w:val="2"/>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排放口地理坐标</w:t>
                  </w:r>
                </w:p>
              </w:tc>
              <w:tc>
                <w:tcPr>
                  <w:tcW w:w="534" w:type="pct"/>
                  <w:vMerge w:val="restar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排气筒高度（m）</w:t>
                  </w:r>
                </w:p>
              </w:tc>
              <w:tc>
                <w:tcPr>
                  <w:tcW w:w="534" w:type="pct"/>
                  <w:vMerge w:val="restar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排气筒出口内径（m）</w:t>
                  </w:r>
                </w:p>
              </w:tc>
              <w:tc>
                <w:tcPr>
                  <w:tcW w:w="442" w:type="pct"/>
                  <w:vMerge w:val="restar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排气</w:t>
                  </w:r>
                </w:p>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温度（℃）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59" w:hRule="atLeast"/>
              </w:trPr>
              <w:tc>
                <w:tcPr>
                  <w:tcW w:w="233" w:type="pct"/>
                  <w:vMerge w:val="continue"/>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482" w:type="pct"/>
                  <w:vMerge w:val="continue"/>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723" w:type="pct"/>
                  <w:vMerge w:val="continue"/>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569" w:type="pct"/>
                  <w:vMerge w:val="continue"/>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709"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经度</w:t>
                  </w:r>
                </w:p>
              </w:tc>
              <w:tc>
                <w:tcPr>
                  <w:tcW w:w="770"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纬度</w:t>
                  </w:r>
                </w:p>
              </w:tc>
              <w:tc>
                <w:tcPr>
                  <w:tcW w:w="534" w:type="pct"/>
                  <w:vMerge w:val="continue"/>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534" w:type="pct"/>
                  <w:vMerge w:val="continue"/>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c>
                <w:tcPr>
                  <w:tcW w:w="442" w:type="pct"/>
                  <w:vMerge w:val="continue"/>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233" w:type="pc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1</w:t>
                  </w:r>
                </w:p>
              </w:tc>
              <w:tc>
                <w:tcPr>
                  <w:tcW w:w="482" w:type="pc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DA</w:t>
                  </w: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001</w:t>
                  </w:r>
                </w:p>
              </w:tc>
              <w:tc>
                <w:tcPr>
                  <w:tcW w:w="723"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锅炉废气排放口</w:t>
                  </w:r>
                </w:p>
              </w:tc>
              <w:tc>
                <w:tcPr>
                  <w:tcW w:w="569"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颗粒物</w:t>
                  </w:r>
                  <w:r>
                    <w:rPr>
                      <w:rFonts w:hint="default" w:ascii="Times New Roman" w:hAnsi="Times New Roman" w:eastAsia="宋体" w:cs="Times New Roman"/>
                      <w:b/>
                      <w:bCs/>
                      <w:color w:val="000000" w:themeColor="text1"/>
                      <w:kern w:val="0"/>
                      <w:sz w:val="21"/>
                      <w:szCs w:val="21"/>
                      <w:u w:val="single"/>
                      <w:lang w:eastAsia="zh-CN"/>
                      <w14:textFill>
                        <w14:solidFill>
                          <w14:schemeClr w14:val="tx1"/>
                        </w14:solidFill>
                      </w14:textFill>
                    </w:rPr>
                    <w:t>、</w:t>
                  </w:r>
                  <w:r>
                    <w:rPr>
                      <w:rFonts w:hint="default" w:ascii="Times New Roman" w:hAnsi="Times New Roman" w:eastAsia="宋体" w:cs="Times New Roman"/>
                      <w:b/>
                      <w:bCs/>
                      <w:color w:val="000000" w:themeColor="text1"/>
                      <w:kern w:val="0"/>
                      <w:sz w:val="21"/>
                      <w:szCs w:val="21"/>
                      <w:u w:val="single"/>
                      <w:lang w:val="en-US" w:eastAsia="zh-CN"/>
                      <w14:textFill>
                        <w14:solidFill>
                          <w14:schemeClr w14:val="tx1"/>
                        </w14:solidFill>
                      </w14:textFill>
                    </w:rPr>
                    <w:t>二氧化硫、氮氧化物</w:t>
                  </w:r>
                </w:p>
              </w:tc>
              <w:tc>
                <w:tcPr>
                  <w:tcW w:w="709"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112°45′31.720″</w:t>
                  </w:r>
                </w:p>
              </w:tc>
              <w:tc>
                <w:tcPr>
                  <w:tcW w:w="77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33°47′20.155″</w:t>
                  </w:r>
                </w:p>
              </w:tc>
              <w:tc>
                <w:tcPr>
                  <w:tcW w:w="534"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15</w:t>
                  </w:r>
                </w:p>
              </w:tc>
              <w:tc>
                <w:tcPr>
                  <w:tcW w:w="534"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0.4</w:t>
                  </w:r>
                </w:p>
              </w:tc>
              <w:tc>
                <w:tcPr>
                  <w:tcW w:w="442"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trPr>
              <w:tc>
                <w:tcPr>
                  <w:tcW w:w="233" w:type="pc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2</w:t>
                  </w:r>
                </w:p>
              </w:tc>
              <w:tc>
                <w:tcPr>
                  <w:tcW w:w="482" w:type="pct"/>
                  <w:tcBorders>
                    <w:tl2br w:val="nil"/>
                    <w:tr2bl w:val="nil"/>
                  </w:tcBorders>
                  <w:noWrap w:val="0"/>
                  <w:tcMar>
                    <w:top w:w="57" w:type="dxa"/>
                    <w:left w:w="28" w:type="dxa"/>
                    <w:bottom w:w="57" w:type="dxa"/>
                    <w:right w:w="28" w:type="dxa"/>
                  </w:tcMar>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z w:val="21"/>
                      <w:szCs w:val="21"/>
                      <w:u w:val="single"/>
                      <w14:textFill>
                        <w14:solidFill>
                          <w14:schemeClr w14:val="tx1"/>
                        </w14:solidFill>
                      </w14:textFill>
                    </w:rPr>
                    <w:t>DA</w:t>
                  </w: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002</w:t>
                  </w:r>
                </w:p>
              </w:tc>
              <w:tc>
                <w:tcPr>
                  <w:tcW w:w="723"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喷雾干燥工序废气排放口</w:t>
                  </w:r>
                </w:p>
              </w:tc>
              <w:tc>
                <w:tcPr>
                  <w:tcW w:w="569"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kern w:val="0"/>
                      <w:sz w:val="21"/>
                      <w:szCs w:val="21"/>
                      <w:u w:val="single"/>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颗粒物</w:t>
                  </w:r>
                </w:p>
              </w:tc>
              <w:tc>
                <w:tcPr>
                  <w:tcW w:w="709" w:type="pct"/>
                  <w:tcBorders>
                    <w:tl2br w:val="nil"/>
                    <w:tr2bl w:val="nil"/>
                  </w:tcBorders>
                  <w:noWrap w:val="0"/>
                  <w:tcMar>
                    <w:top w:w="57" w:type="dxa"/>
                    <w:bottom w:w="57" w:type="dxa"/>
                  </w:tcMar>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112°45′30.929″</w:t>
                  </w:r>
                </w:p>
              </w:tc>
              <w:tc>
                <w:tcPr>
                  <w:tcW w:w="77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z w:val="21"/>
                      <w:szCs w:val="21"/>
                      <w:u w:val="single"/>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33°47′20.330″</w:t>
                  </w:r>
                </w:p>
              </w:tc>
              <w:tc>
                <w:tcPr>
                  <w:tcW w:w="534"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20</w:t>
                  </w:r>
                </w:p>
              </w:tc>
              <w:tc>
                <w:tcPr>
                  <w:tcW w:w="534"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0.8</w:t>
                  </w:r>
                </w:p>
              </w:tc>
              <w:tc>
                <w:tcPr>
                  <w:tcW w:w="442" w:type="pct"/>
                  <w:tcBorders>
                    <w:tl2br w:val="nil"/>
                    <w:tr2bl w:val="nil"/>
                  </w:tcBorders>
                  <w:noWrap w:val="0"/>
                  <w:vAlign w:val="center"/>
                </w:tcPr>
                <w:p>
                  <w:pPr>
                    <w:keepNext w:val="0"/>
                    <w:keepLines w:val="0"/>
                    <w:pageBreakBefore w:val="0"/>
                    <w:widowControl w:val="0"/>
                    <w:kinsoku/>
                    <w:wordWrap/>
                    <w:overflowPunct/>
                    <w:topLinePunct w:val="0"/>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25</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right="0" w:rightChars="0"/>
              <w:jc w:val="both"/>
              <w:textAlignment w:val="auto"/>
              <w:outlineLvl w:val="9"/>
              <w:rPr>
                <w:rFonts w:hint="eastAsia" w:ascii="Times New Roman" w:hAnsi="Times New Roman"/>
                <w:b/>
                <w:bCs/>
                <w:snapToGrid w:val="0"/>
                <w:color w:val="000000" w:themeColor="text1"/>
                <w:kern w:val="0"/>
                <w:sz w:val="24"/>
                <w:u w:val="single"/>
                <w:lang w:val="en-US" w:eastAsia="zh-CN"/>
                <w14:textFill>
                  <w14:solidFill>
                    <w14:schemeClr w14:val="tx1"/>
                  </w14:solidFill>
                </w14:textFill>
              </w:rPr>
            </w:pPr>
            <w:r>
              <w:rPr>
                <w:rFonts w:hint="eastAsia"/>
                <w:b/>
                <w:bCs/>
                <w:snapToGrid w:val="0"/>
                <w:color w:val="000000" w:themeColor="text1"/>
                <w:kern w:val="0"/>
                <w:sz w:val="24"/>
                <w:u w:val="single"/>
                <w:lang w:val="en-US" w:eastAsia="zh-CN"/>
                <w14:textFill>
                  <w14:solidFill>
                    <w14:schemeClr w14:val="tx1"/>
                  </w14:solidFill>
                </w14:textFill>
              </w:rPr>
              <w:t>1.5</w:t>
            </w: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废气排放标准</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2" w:firstLineChars="200"/>
              <w:jc w:val="left"/>
              <w:textAlignment w:val="auto"/>
              <w:rPr>
                <w:rFonts w:hint="eastAsia"/>
                <w:b/>
                <w:bCs/>
                <w:color w:val="000000" w:themeColor="text1"/>
                <w:sz w:val="24"/>
                <w:u w:val="single"/>
                <w14:textFill>
                  <w14:solidFill>
                    <w14:schemeClr w14:val="tx1"/>
                  </w14:solidFill>
                </w14:textFill>
              </w:rPr>
            </w:pPr>
            <w:r>
              <w:rPr>
                <w:rFonts w:hint="eastAsia"/>
                <w:b/>
                <w:bCs/>
                <w:color w:val="000000" w:themeColor="text1"/>
                <w:sz w:val="24"/>
                <w:u w:val="single"/>
                <w14:textFill>
                  <w14:solidFill>
                    <w14:schemeClr w14:val="tx1"/>
                  </w14:solidFill>
                </w14:textFill>
              </w:rPr>
              <w:t>废气</w:t>
            </w:r>
            <w:r>
              <w:rPr>
                <w:b/>
                <w:bCs/>
                <w:color w:val="000000" w:themeColor="text1"/>
                <w:sz w:val="24"/>
                <w:u w:val="single"/>
                <w14:textFill>
                  <w14:solidFill>
                    <w14:schemeClr w14:val="tx1"/>
                  </w14:solidFill>
                </w14:textFill>
              </w:rPr>
              <w:t>排放标准见表</w:t>
            </w:r>
            <w:r>
              <w:rPr>
                <w:rFonts w:hint="eastAsia"/>
                <w:b/>
                <w:bCs/>
                <w:color w:val="000000" w:themeColor="text1"/>
                <w:sz w:val="24"/>
                <w:u w:val="single"/>
                <w:lang w:val="en-US" w:eastAsia="zh-CN"/>
                <w14:textFill>
                  <w14:solidFill>
                    <w14:schemeClr w14:val="tx1"/>
                  </w14:solidFill>
                </w14:textFill>
              </w:rPr>
              <w:t>4-6</w:t>
            </w:r>
            <w:r>
              <w:rPr>
                <w:rFonts w:hint="eastAsia"/>
                <w:b/>
                <w:bCs/>
                <w:color w:val="000000" w:themeColor="text1"/>
                <w:sz w:val="24"/>
                <w:u w:val="single"/>
                <w14:textFill>
                  <w14:solidFill>
                    <w14:schemeClr w14:val="tx1"/>
                  </w14:solidFill>
                </w14:textFill>
              </w:rPr>
              <w:t>。</w:t>
            </w:r>
          </w:p>
          <w:p>
            <w:pPr>
              <w:pStyle w:val="13"/>
              <w:keepLines w:val="0"/>
              <w:pageBreakBefore w:val="0"/>
              <w:kinsoku/>
              <w:wordWrap/>
              <w:topLinePunct w:val="0"/>
              <w:bidi w:val="0"/>
              <w:snapToGrid w:val="0"/>
              <w:spacing w:before="0" w:after="0" w:line="360" w:lineRule="auto"/>
              <w:ind w:right="0" w:firstLine="422" w:firstLineChars="200"/>
              <w:jc w:val="center"/>
              <w:textAlignment w:val="auto"/>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表4-</w:t>
            </w:r>
            <w:r>
              <w:rPr>
                <w:rFonts w:hint="eastAsia" w:cs="Times New Roman"/>
                <w:b/>
                <w:bCs/>
                <w:color w:val="000000" w:themeColor="text1"/>
                <w:sz w:val="21"/>
                <w:szCs w:val="21"/>
                <w:u w:val="single"/>
                <w:lang w:val="en-US" w:eastAsia="zh-CN"/>
                <w14:textFill>
                  <w14:solidFill>
                    <w14:schemeClr w14:val="tx1"/>
                  </w14:solidFill>
                </w14:textFill>
              </w:rPr>
              <w:t>6</w:t>
            </w:r>
            <w:r>
              <w:rPr>
                <w:rFonts w:hint="eastAsia" w:ascii="Times New Roman" w:hAnsi="Times New Roman" w:eastAsia="宋体" w:cs="Times New Roman"/>
                <w:b/>
                <w:bCs/>
                <w:color w:val="000000" w:themeColor="text1"/>
                <w:sz w:val="21"/>
                <w:szCs w:val="21"/>
                <w:u w:val="single"/>
                <w:lang w:val="en-US" w:eastAsia="zh-CN"/>
                <w14:textFill>
                  <w14:solidFill>
                    <w14:schemeClr w14:val="tx1"/>
                  </w14:solidFill>
                </w14:textFill>
              </w:rPr>
              <w:t xml:space="preserve">  废气排放标准</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7"/>
              <w:gridCol w:w="1303"/>
              <w:gridCol w:w="1599"/>
              <w:gridCol w:w="2603"/>
              <w:gridCol w:w="16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t>排放口名称及编号</w:t>
                  </w:r>
                </w:p>
              </w:tc>
              <w:tc>
                <w:tcPr>
                  <w:tcW w:w="73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t>监测内容</w:t>
                  </w:r>
                </w:p>
              </w:tc>
              <w:tc>
                <w:tcPr>
                  <w:tcW w:w="898"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污染物名称</w:t>
                  </w:r>
                </w:p>
              </w:tc>
              <w:tc>
                <w:tcPr>
                  <w:tcW w:w="2415"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bidi="ar-SA"/>
                      <w14:textFill>
                        <w14:solidFill>
                          <w14:schemeClr w14:val="tx1"/>
                        </w14:solidFill>
                      </w14:textFill>
                    </w:rPr>
                    <w:t>国家或地方污染物排放标准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14:textFill>
                        <w14:solidFill>
                          <w14:schemeClr w14:val="tx1"/>
                        </w14:solidFill>
                      </w14:textFill>
                    </w:rPr>
                  </w:pPr>
                </w:p>
              </w:tc>
              <w:tc>
                <w:tcPr>
                  <w:tcW w:w="898"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146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bidi="ar-SA"/>
                      <w14:textFill>
                        <w14:solidFill>
                          <w14:schemeClr w14:val="tx1"/>
                        </w14:solidFill>
                      </w14:textFill>
                    </w:rPr>
                    <w:t>名称</w:t>
                  </w: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u w:val="single"/>
                      <w:vertAlign w:val="baseline"/>
                      <w:lang w:val="en-US" w:eastAsia="zh-CN"/>
                      <w14:textFill>
                        <w14:solidFill>
                          <w14:schemeClr w14:val="tx1"/>
                        </w14:solidFill>
                      </w14:textFill>
                    </w:rPr>
                    <w:t>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锅炉</w:t>
                  </w: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废气排放口（DA001）</w:t>
                  </w:r>
                </w:p>
              </w:tc>
              <w:tc>
                <w:tcPr>
                  <w:tcW w:w="73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烟气温度、烟气流速、烟道截面积、烟气量</w:t>
                  </w: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1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河南省地方标准《锅炉大气污染物排放标准》（DB41/2089-2021）</w:t>
                  </w: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5mg/m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subscript"/>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subscript"/>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SO</w:t>
                  </w:r>
                  <w:r>
                    <w:rPr>
                      <w:rFonts w:hint="eastAsia" w:ascii="Times New Roman" w:hAnsi="Times New Roman" w:eastAsia="宋体" w:cs="Times New Roman"/>
                      <w:b/>
                      <w:bCs/>
                      <w:color w:val="000000" w:themeColor="text1"/>
                      <w:spacing w:val="0"/>
                      <w:kern w:val="0"/>
                      <w:sz w:val="21"/>
                      <w:szCs w:val="21"/>
                      <w:u w:val="single"/>
                      <w:vertAlign w:val="subscript"/>
                      <w:lang w:val="en-US" w:eastAsia="zh-CN" w:bidi="ar-SA"/>
                      <w14:textFill>
                        <w14:solidFill>
                          <w14:schemeClr w14:val="tx1"/>
                        </w14:solidFill>
                      </w14:textFill>
                    </w:rPr>
                    <w:t>2</w:t>
                  </w:r>
                </w:p>
              </w:tc>
              <w:tc>
                <w:tcPr>
                  <w:tcW w:w="1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10mg/m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NOx</w:t>
                  </w:r>
                </w:p>
              </w:tc>
              <w:tc>
                <w:tcPr>
                  <w:tcW w:w="1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30mg/m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林格曼黑度</w:t>
                  </w:r>
                </w:p>
              </w:tc>
              <w:tc>
                <w:tcPr>
                  <w:tcW w:w="1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喷雾干燥工序废气排放口（DA002）</w:t>
                  </w: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146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通用行业A级，其他工序PM不高于10</w:t>
                  </w: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1</w:t>
                  </w: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0</w:t>
                  </w:r>
                  <w:bookmarkStart w:id="5" w:name="OLE_LINK7"/>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bookmarkEnd w:id="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上风向一个点，下风向三个点</w:t>
                  </w:r>
                </w:p>
              </w:tc>
              <w:tc>
                <w:tcPr>
                  <w:tcW w:w="73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温度、风速、风向、气压</w:t>
                  </w: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146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《大气污染物综合排放标准》（GB16297-1996）表2二级标准</w:t>
                  </w: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臭气浓度</w:t>
                  </w:r>
                </w:p>
              </w:tc>
              <w:tc>
                <w:tcPr>
                  <w:tcW w:w="146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《恶臭污染物排放标准》（GB14554-93）二级标准</w:t>
                  </w: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20（无量纲）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氨</w:t>
                  </w:r>
                </w:p>
              </w:tc>
              <w:tc>
                <w:tcPr>
                  <w:tcW w:w="1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1.5mg/m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5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7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89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硫化氢</w:t>
                  </w:r>
                </w:p>
              </w:tc>
              <w:tc>
                <w:tcPr>
                  <w:tcW w:w="146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95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0.06mg/m</w:t>
                  </w:r>
                  <w:r>
                    <w:rPr>
                      <w:rFonts w:hint="eastAsia" w:ascii="Times New Roman" w:hAnsi="Times New Roman" w:eastAsia="宋体" w:cs="Times New Roman"/>
                      <w:b/>
                      <w:bCs/>
                      <w:color w:val="000000" w:themeColor="text1"/>
                      <w:spacing w:val="0"/>
                      <w:kern w:val="0"/>
                      <w:sz w:val="21"/>
                      <w:szCs w:val="21"/>
                      <w:u w:val="single"/>
                      <w:vertAlign w:val="superscript"/>
                      <w:lang w:val="en-US" w:eastAsia="zh-CN" w:bidi="ar-SA"/>
                      <w14:textFill>
                        <w14:solidFill>
                          <w14:schemeClr w14:val="tx1"/>
                        </w14:solidFill>
                      </w14:textFill>
                    </w:rPr>
                    <w:t>3</w:t>
                  </w:r>
                </w:p>
              </w:tc>
            </w:tr>
          </w:tbl>
          <w:p>
            <w:pPr>
              <w:keepNext w:val="0"/>
              <w:keepLines w:val="0"/>
              <w:pageBreakBefore w:val="0"/>
              <w:widowControl w:val="0"/>
              <w:kinsoku/>
              <w:wordWrap/>
              <w:overflowPunct/>
              <w:topLinePunct w:val="0"/>
              <w:autoSpaceDE/>
              <w:autoSpaceDN/>
              <w:bidi w:val="0"/>
              <w:adjustRightInd/>
              <w:snapToGrid/>
              <w:spacing w:before="157" w:beforeLines="50" w:line="360" w:lineRule="auto"/>
              <w:ind w:right="0" w:rightChars="0"/>
              <w:jc w:val="both"/>
              <w:textAlignment w:val="auto"/>
              <w:outlineLvl w:val="9"/>
              <w:rPr>
                <w:rFonts w:hint="eastAsia" w:ascii="Times New Roman" w:hAnsi="Times New Roman"/>
                <w:b/>
                <w:bCs/>
                <w:snapToGrid w:val="0"/>
                <w:color w:val="000000" w:themeColor="text1"/>
                <w:kern w:val="0"/>
                <w:sz w:val="24"/>
                <w:u w:val="single"/>
                <w:lang w:val="en-US" w:eastAsia="zh-CN"/>
                <w14:textFill>
                  <w14:solidFill>
                    <w14:schemeClr w14:val="tx1"/>
                  </w14:solidFill>
                </w14:textFill>
              </w:rPr>
            </w:pPr>
            <w:r>
              <w:rPr>
                <w:rFonts w:hint="eastAsia"/>
                <w:b/>
                <w:bCs/>
                <w:snapToGrid w:val="0"/>
                <w:color w:val="000000" w:themeColor="text1"/>
                <w:kern w:val="0"/>
                <w:sz w:val="24"/>
                <w:u w:val="single"/>
                <w:lang w:val="en-US" w:eastAsia="zh-CN"/>
                <w14:textFill>
                  <w14:solidFill>
                    <w14:schemeClr w14:val="tx1"/>
                  </w14:solidFill>
                </w14:textFill>
              </w:rPr>
              <w:t>1.6</w:t>
            </w:r>
            <w:r>
              <w:rPr>
                <w:rFonts w:hint="eastAsia" w:ascii="Times New Roman" w:hAnsi="Times New Roman"/>
                <w:b/>
                <w:bCs/>
                <w:snapToGrid w:val="0"/>
                <w:color w:val="000000" w:themeColor="text1"/>
                <w:kern w:val="0"/>
                <w:sz w:val="24"/>
                <w:u w:val="single"/>
                <w:lang w:val="en-US" w:eastAsia="zh-CN"/>
                <w14:textFill>
                  <w14:solidFill>
                    <w14:schemeClr w14:val="tx1"/>
                  </w14:solidFill>
                </w14:textFill>
              </w:rPr>
              <w:t>废气自行监测计划</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2" w:firstLineChars="200"/>
              <w:jc w:val="both"/>
              <w:textAlignment w:val="auto"/>
              <w:outlineLvl w:val="9"/>
              <w:rPr>
                <w:rFonts w:hint="eastAsia"/>
                <w:b/>
                <w:bCs/>
                <w:color w:val="000000" w:themeColor="text1"/>
                <w:sz w:val="24"/>
                <w:u w:val="single"/>
                <w:lang w:eastAsia="zh-CN"/>
                <w14:textFill>
                  <w14:solidFill>
                    <w14:schemeClr w14:val="tx1"/>
                  </w14:solidFill>
                </w14:textFill>
              </w:rPr>
            </w:pPr>
            <w:r>
              <w:rPr>
                <w:rFonts w:hint="eastAsia"/>
                <w:b/>
                <w:bCs/>
                <w:color w:val="000000" w:themeColor="text1"/>
                <w:sz w:val="24"/>
                <w:u w:val="single"/>
                <w14:textFill>
                  <w14:solidFill>
                    <w14:schemeClr w14:val="tx1"/>
                  </w14:solidFill>
                </w14:textFill>
              </w:rPr>
              <w:t>根据本项目运营期产污特点</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《排污单位自行监测技术指南 总则》（HJ819-2017）、《排污许可证申请与核发技术规范 锅炉》（HJ953</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2018）、《排污单位自行监测技术指南 火力发电及锅炉（HJ 820-2017）》、《排污单位自行监测技术指南 食品制造》（HJ1084-2020），</w:t>
            </w:r>
            <w:r>
              <w:rPr>
                <w:rFonts w:hint="eastAsia"/>
                <w:b/>
                <w:bCs/>
                <w:color w:val="000000" w:themeColor="text1"/>
                <w:sz w:val="24"/>
                <w:u w:val="single"/>
                <w14:textFill>
                  <w14:solidFill>
                    <w14:schemeClr w14:val="tx1"/>
                  </w14:solidFill>
                </w14:textFill>
              </w:rPr>
              <w:t>结合项目工程周围环境实际情况，制定自行监测计划</w:t>
            </w:r>
            <w:r>
              <w:rPr>
                <w:rFonts w:hint="eastAsia"/>
                <w:b/>
                <w:bCs/>
                <w:color w:val="000000" w:themeColor="text1"/>
                <w:sz w:val="24"/>
                <w:u w:val="single"/>
                <w:lang w:eastAsia="zh-CN"/>
                <w14:textFill>
                  <w14:solidFill>
                    <w14:schemeClr w14:val="tx1"/>
                  </w14:solidFill>
                </w14:textFill>
              </w:rPr>
              <w:t>，见表</w:t>
            </w:r>
            <w:r>
              <w:rPr>
                <w:rFonts w:hint="eastAsia"/>
                <w:b/>
                <w:bCs/>
                <w:color w:val="000000" w:themeColor="text1"/>
                <w:sz w:val="24"/>
                <w:u w:val="single"/>
                <w:lang w:val="en-US" w:eastAsia="zh-CN"/>
                <w14:textFill>
                  <w14:solidFill>
                    <w14:schemeClr w14:val="tx1"/>
                  </w14:solidFill>
                </w14:textFill>
              </w:rPr>
              <w:t>4-7</w:t>
            </w:r>
            <w:r>
              <w:rPr>
                <w:rFonts w:hint="eastAsia"/>
                <w:b/>
                <w:bCs/>
                <w:color w:val="000000" w:themeColor="text1"/>
                <w:sz w:val="24"/>
                <w:u w:val="single"/>
                <w:lang w:eastAsia="zh-CN"/>
                <w14:textFill>
                  <w14:solidFill>
                    <w14:schemeClr w14:val="tx1"/>
                  </w14:solidFill>
                </w14:textFill>
              </w:rPr>
              <w:t>。</w:t>
            </w:r>
          </w:p>
          <w:p>
            <w:pPr>
              <w:pStyle w:val="53"/>
              <w:keepNext w:val="0"/>
              <w:keepLines w:val="0"/>
              <w:pageBreakBefore w:val="0"/>
              <w:widowControl w:val="0"/>
              <w:kinsoku/>
              <w:wordWrap/>
              <w:overflowPunct/>
              <w:topLinePunct w:val="0"/>
              <w:autoSpaceDE/>
              <w:autoSpaceDN/>
              <w:bidi w:val="0"/>
              <w:spacing w:line="360" w:lineRule="auto"/>
              <w:ind w:left="0" w:leftChars="0" w:right="0" w:rightChars="0"/>
              <w:textAlignment w:val="auto"/>
              <w:rPr>
                <w:rFonts w:hint="eastAsia" w:ascii="Times New Roman" w:hAnsi="Times New Roman" w:eastAsia="宋体"/>
                <w:b/>
                <w:bCs/>
                <w:color w:val="000000" w:themeColor="text1"/>
                <w:sz w:val="21"/>
                <w:szCs w:val="21"/>
                <w:u w:val="single"/>
                <w:lang w:val="en-US" w:eastAsia="zh-CN"/>
                <w14:textFill>
                  <w14:solidFill>
                    <w14:schemeClr w14:val="tx1"/>
                  </w14:solidFill>
                </w14:textFill>
              </w:rPr>
            </w:pPr>
            <w:r>
              <w:rPr>
                <w:rFonts w:hint="eastAsia" w:ascii="Times New Roman" w:hAnsi="Times New Roman" w:eastAsia="宋体"/>
                <w:b/>
                <w:bCs/>
                <w:color w:val="000000" w:themeColor="text1"/>
                <w:sz w:val="21"/>
                <w:szCs w:val="21"/>
                <w:u w:val="single"/>
                <w:lang w:val="en-US" w:eastAsia="zh-CN"/>
                <w14:textFill>
                  <w14:solidFill>
                    <w14:schemeClr w14:val="tx1"/>
                  </w14:solidFill>
                </w14:textFill>
              </w:rPr>
              <w:t>表</w:t>
            </w:r>
            <w:r>
              <w:rPr>
                <w:rFonts w:hint="eastAsia" w:eastAsia="宋体"/>
                <w:b/>
                <w:bCs/>
                <w:color w:val="000000" w:themeColor="text1"/>
                <w:sz w:val="21"/>
                <w:szCs w:val="21"/>
                <w:u w:val="single"/>
                <w:lang w:val="en-US" w:eastAsia="zh-CN"/>
                <w14:textFill>
                  <w14:solidFill>
                    <w14:schemeClr w14:val="tx1"/>
                  </w14:solidFill>
                </w14:textFill>
              </w:rPr>
              <w:t>4-7</w:t>
            </w:r>
            <w:r>
              <w:rPr>
                <w:rFonts w:hint="eastAsia" w:ascii="Times New Roman" w:hAnsi="Times New Roman" w:eastAsia="宋体"/>
                <w:b/>
                <w:bCs/>
                <w:color w:val="000000" w:themeColor="text1"/>
                <w:sz w:val="21"/>
                <w:szCs w:val="21"/>
                <w:u w:val="single"/>
                <w:lang w:val="en-US" w:eastAsia="zh-CN"/>
                <w14:textFill>
                  <w14:solidFill>
                    <w14:schemeClr w14:val="tx1"/>
                  </w14:solidFill>
                </w14:textFill>
              </w:rPr>
              <w:t xml:space="preserve">  废气污染源监测计划</w:t>
            </w:r>
          </w:p>
          <w:tbl>
            <w:tblPr>
              <w:tblStyle w:val="2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28" w:type="dxa"/>
                <w:left w:w="28" w:type="dxa"/>
                <w:bottom w:w="28" w:type="dxa"/>
                <w:right w:w="28" w:type="dxa"/>
              </w:tblCellMar>
            </w:tblPr>
            <w:tblGrid>
              <w:gridCol w:w="870"/>
              <w:gridCol w:w="991"/>
              <w:gridCol w:w="1159"/>
              <w:gridCol w:w="3577"/>
              <w:gridCol w:w="1047"/>
              <w:gridCol w:w="12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378" w:hRule="atLeast"/>
              </w:trPr>
              <w:tc>
                <w:tcPr>
                  <w:tcW w:w="489"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类别</w:t>
                  </w:r>
                </w:p>
              </w:tc>
              <w:tc>
                <w:tcPr>
                  <w:tcW w:w="557"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项目</w:t>
                  </w:r>
                </w:p>
              </w:tc>
              <w:tc>
                <w:tcPr>
                  <w:tcW w:w="651"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监测因子</w:t>
                  </w:r>
                </w:p>
              </w:tc>
              <w:tc>
                <w:tcPr>
                  <w:tcW w:w="2010"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监测点位</w:t>
                  </w: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监测设施</w:t>
                  </w:r>
                </w:p>
              </w:tc>
              <w:tc>
                <w:tcPr>
                  <w:tcW w:w="701"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监测频率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99" w:hRule="atLeast"/>
              </w:trPr>
              <w:tc>
                <w:tcPr>
                  <w:tcW w:w="5000" w:type="pct"/>
                  <w:gridSpan w:val="6"/>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left"/>
                    <w:textAlignment w:val="auto"/>
                    <w:rPr>
                      <w:rFonts w:hint="default" w:eastAsia="宋体"/>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有组织废气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371" w:hRule="atLeast"/>
              </w:trPr>
              <w:tc>
                <w:tcPr>
                  <w:tcW w:w="489" w:type="pct"/>
                  <w:vMerge w:val="restart"/>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firstLine="0" w:firstLineChars="0"/>
                    <w:jc w:val="center"/>
                    <w:textAlignment w:val="auto"/>
                    <w:rPr>
                      <w:b/>
                      <w:bCs/>
                      <w:color w:val="000000" w:themeColor="text1"/>
                      <w:sz w:val="21"/>
                      <w:szCs w:val="21"/>
                      <w:u w:val="single"/>
                      <w14:textFill>
                        <w14:solidFill>
                          <w14:schemeClr w14:val="tx1"/>
                        </w14:solidFill>
                      </w14:textFill>
                    </w:rPr>
                  </w:pPr>
                  <w:r>
                    <w:rPr>
                      <w:rFonts w:hint="eastAsia"/>
                      <w:b/>
                      <w:bCs/>
                      <w:color w:val="000000" w:themeColor="text1"/>
                      <w:sz w:val="21"/>
                      <w:szCs w:val="21"/>
                      <w:u w:val="single"/>
                      <w:lang w:val="en-US" w:eastAsia="zh-CN"/>
                      <w14:textFill>
                        <w14:solidFill>
                          <w14:schemeClr w14:val="tx1"/>
                        </w14:solidFill>
                      </w14:textFill>
                    </w:rPr>
                    <w:t>有组织</w:t>
                  </w:r>
                  <w:r>
                    <w:rPr>
                      <w:b/>
                      <w:bCs/>
                      <w:color w:val="000000" w:themeColor="text1"/>
                      <w:sz w:val="21"/>
                      <w:szCs w:val="21"/>
                      <w:u w:val="single"/>
                      <w14:textFill>
                        <w14:solidFill>
                          <w14:schemeClr w14:val="tx1"/>
                        </w14:solidFill>
                      </w14:textFill>
                    </w:rPr>
                    <w:t>废气</w:t>
                  </w:r>
                </w:p>
              </w:tc>
              <w:tc>
                <w:tcPr>
                  <w:tcW w:w="557" w:type="pct"/>
                  <w:vMerge w:val="restar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both"/>
                    <w:textAlignment w:val="auto"/>
                    <w:rPr>
                      <w:rFonts w:hint="eastAsia" w:eastAsia="宋体"/>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锅炉烟气</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201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eastAsia="宋体"/>
                      <w:b/>
                      <w:bCs/>
                      <w:color w:val="000000" w:themeColor="text1"/>
                      <w:szCs w:val="21"/>
                      <w:u w:val="single"/>
                      <w:lang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锅炉</w:t>
                  </w:r>
                  <w:r>
                    <w:rPr>
                      <w:rFonts w:hint="default"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废气排放口（DA001）</w:t>
                  </w: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90"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SO</w:t>
                  </w:r>
                  <w:r>
                    <w:rPr>
                      <w:rFonts w:hint="eastAsia" w:ascii="Times New Roman" w:hAnsi="Times New Roman" w:eastAsia="宋体" w:cs="Times New Roman"/>
                      <w:b/>
                      <w:bCs/>
                      <w:color w:val="000000" w:themeColor="text1"/>
                      <w:spacing w:val="0"/>
                      <w:kern w:val="0"/>
                      <w:sz w:val="21"/>
                      <w:szCs w:val="21"/>
                      <w:u w:val="single"/>
                      <w:vertAlign w:val="subscript"/>
                      <w:lang w:val="en-US" w:eastAsia="zh-CN" w:bidi="ar-SA"/>
                      <w14:textFill>
                        <w14:solidFill>
                          <w14:schemeClr w14:val="tx1"/>
                        </w14:solidFill>
                      </w14:textFill>
                    </w:rPr>
                    <w:t>2</w:t>
                  </w:r>
                </w:p>
              </w:tc>
              <w:tc>
                <w:tcPr>
                  <w:tcW w:w="201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90"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NOx</w:t>
                  </w:r>
                </w:p>
              </w:tc>
              <w:tc>
                <w:tcPr>
                  <w:tcW w:w="201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1次/月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90"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林格曼黑度</w:t>
                  </w:r>
                </w:p>
              </w:tc>
              <w:tc>
                <w:tcPr>
                  <w:tcW w:w="201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pP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b/>
                      <w:bCs/>
                      <w:color w:val="000000" w:themeColor="text1"/>
                      <w:szCs w:val="21"/>
                      <w:u w:val="single"/>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647" w:hRule="atLeast"/>
              </w:trPr>
              <w:tc>
                <w:tcPr>
                  <w:tcW w:w="489" w:type="pct"/>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right="113" w:rightChars="0" w:firstLine="0" w:firstLineChars="0"/>
                    <w:jc w:val="center"/>
                    <w:textAlignment w:val="auto"/>
                    <w:rPr>
                      <w:b/>
                      <w:bCs/>
                      <w:color w:val="000000" w:themeColor="text1"/>
                      <w:sz w:val="21"/>
                      <w:szCs w:val="21"/>
                      <w:u w:val="single"/>
                      <w14:textFill>
                        <w14:solidFill>
                          <w14:schemeClr w14:val="tx1"/>
                        </w14:solidFill>
                      </w14:textFill>
                    </w:rPr>
                  </w:pPr>
                  <w:r>
                    <w:rPr>
                      <w:rFonts w:hint="eastAsia"/>
                      <w:b/>
                      <w:bCs/>
                      <w:color w:val="000000" w:themeColor="text1"/>
                      <w:sz w:val="21"/>
                      <w:szCs w:val="21"/>
                      <w:u w:val="single"/>
                      <w:lang w:val="en-US" w:eastAsia="zh-CN"/>
                      <w14:textFill>
                        <w14:solidFill>
                          <w14:schemeClr w14:val="tx1"/>
                        </w14:solidFill>
                      </w14:textFill>
                    </w:rPr>
                    <w:t>有组织</w:t>
                  </w:r>
                  <w:r>
                    <w:rPr>
                      <w:b/>
                      <w:bCs/>
                      <w:color w:val="000000" w:themeColor="text1"/>
                      <w:sz w:val="21"/>
                      <w:szCs w:val="21"/>
                      <w:u w:val="single"/>
                      <w14:textFill>
                        <w14:solidFill>
                          <w14:schemeClr w14:val="tx1"/>
                        </w14:solidFill>
                      </w14:textFill>
                    </w:rPr>
                    <w:t>废气</w:t>
                  </w:r>
                </w:p>
              </w:tc>
              <w:tc>
                <w:tcPr>
                  <w:tcW w:w="557"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eastAsia="zh-CN"/>
                      <w14:textFill>
                        <w14:solidFill>
                          <w14:schemeClr w14:val="tx1"/>
                        </w14:solidFill>
                      </w14:textFill>
                    </w:rPr>
                  </w:pPr>
                  <w:r>
                    <w:rPr>
                      <w:rFonts w:hint="eastAsia"/>
                      <w:b/>
                      <w:bCs/>
                      <w:color w:val="000000" w:themeColor="text1"/>
                      <w:szCs w:val="21"/>
                      <w:u w:val="single"/>
                      <w:lang w:eastAsia="zh-CN"/>
                      <w14:textFill>
                        <w14:solidFill>
                          <w14:schemeClr w14:val="tx1"/>
                        </w14:solidFill>
                      </w14:textFill>
                    </w:rPr>
                    <w:t>生产</w:t>
                  </w:r>
                  <w:r>
                    <w:rPr>
                      <w:rFonts w:hint="eastAsia"/>
                      <w:b/>
                      <w:bCs/>
                      <w:color w:val="000000" w:themeColor="text1"/>
                      <w:szCs w:val="21"/>
                      <w:u w:val="single"/>
                      <w14:textFill>
                        <w14:solidFill>
                          <w14:schemeClr w14:val="tx1"/>
                        </w14:solidFill>
                      </w14:textFill>
                    </w:rPr>
                    <w:t>废气</w:t>
                  </w:r>
                </w:p>
              </w:tc>
              <w:tc>
                <w:tcPr>
                  <w:tcW w:w="651" w:type="pct"/>
                  <w:tcBorders>
                    <w:tl2br w:val="nil"/>
                    <w:tr2bl w:val="nil"/>
                  </w:tcBorders>
                  <w:noWrap w:val="0"/>
                  <w:vAlign w:val="center"/>
                </w:tcPr>
                <w:p>
                  <w:pPr>
                    <w:keepNext w:val="0"/>
                    <w:keepLines w:val="0"/>
                    <w:pageBreakBefore w:val="0"/>
                    <w:kinsoku/>
                    <w:wordWrap/>
                    <w:overflowPunct/>
                    <w:topLinePunct w:val="0"/>
                    <w:autoSpaceDE w:val="0"/>
                    <w:autoSpaceDN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颗粒物</w:t>
                  </w:r>
                </w:p>
              </w:tc>
              <w:tc>
                <w:tcPr>
                  <w:tcW w:w="201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b/>
                      <w:bCs/>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喷雾干燥工序废气排放口（DA002）</w:t>
                  </w: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b/>
                      <w:bCs/>
                      <w:color w:val="000000" w:themeColor="text1"/>
                      <w:szCs w:val="21"/>
                      <w:u w:val="single"/>
                      <w14:textFill>
                        <w14:solidFill>
                          <w14:schemeClr w14:val="tx1"/>
                        </w14:solidFill>
                      </w14:textFill>
                    </w:rPr>
                  </w:pPr>
                  <w:r>
                    <w:rPr>
                      <w:b/>
                      <w:bCs/>
                      <w:color w:val="000000" w:themeColor="text1"/>
                      <w:szCs w:val="21"/>
                      <w:u w:val="single"/>
                      <w14:textFill>
                        <w14:solidFill>
                          <w14:schemeClr w14:val="tx1"/>
                        </w14:solidFill>
                      </w14:textFill>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71" w:hRule="atLeast"/>
              </w:trPr>
              <w:tc>
                <w:tcPr>
                  <w:tcW w:w="5000" w:type="pct"/>
                  <w:gridSpan w:val="6"/>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left"/>
                    <w:textAlignment w:val="auto"/>
                    <w:rPr>
                      <w:rFonts w:hint="default" w:eastAsia="宋体"/>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厂界无组织废气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356" w:hRule="atLeast"/>
              </w:trPr>
              <w:tc>
                <w:tcPr>
                  <w:tcW w:w="489" w:type="pct"/>
                  <w:vMerge w:val="restart"/>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right="113" w:rightChars="0" w:firstLine="0" w:firstLineChars="0"/>
                    <w:jc w:val="center"/>
                    <w:textAlignment w:val="auto"/>
                    <w:rPr>
                      <w:rFonts w:hint="eastAsia" w:eastAsia="宋体"/>
                      <w:b/>
                      <w:bCs/>
                      <w:color w:val="000000" w:themeColor="text1"/>
                      <w:sz w:val="21"/>
                      <w:szCs w:val="21"/>
                      <w:u w:val="single"/>
                      <w:lang w:val="en-US" w:eastAsia="zh-CN"/>
                      <w14:textFill>
                        <w14:solidFill>
                          <w14:schemeClr w14:val="tx1"/>
                        </w14:solidFill>
                      </w14:textFill>
                    </w:rPr>
                  </w:pPr>
                  <w:r>
                    <w:rPr>
                      <w:rFonts w:hint="eastAsia"/>
                      <w:b/>
                      <w:bCs/>
                      <w:color w:val="000000" w:themeColor="text1"/>
                      <w:sz w:val="21"/>
                      <w:szCs w:val="21"/>
                      <w:u w:val="single"/>
                      <w:lang w:val="en-US" w:eastAsia="zh-CN"/>
                      <w14:textFill>
                        <w14:solidFill>
                          <w14:schemeClr w14:val="tx1"/>
                        </w14:solidFill>
                      </w14:textFill>
                    </w:rPr>
                    <w:t>无组织</w:t>
                  </w:r>
                </w:p>
              </w:tc>
              <w:tc>
                <w:tcPr>
                  <w:tcW w:w="557" w:type="pct"/>
                  <w:vMerge w:val="restar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default"/>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w:t>
                  </w: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eastAsia="宋体"/>
                      <w:b/>
                      <w:bCs/>
                      <w:color w:val="000000" w:themeColor="text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颗粒物</w:t>
                  </w:r>
                </w:p>
              </w:tc>
              <w:tc>
                <w:tcPr>
                  <w:tcW w:w="2010" w:type="pct"/>
                  <w:vMerge w:val="restar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default" w:ascii="Times New Roman" w:hAnsi="Times New Roman"/>
                      <w:b/>
                      <w:bCs/>
                      <w:color w:val="000000" w:themeColor="text1"/>
                      <w:sz w:val="21"/>
                      <w:szCs w:val="21"/>
                      <w:u w:val="single"/>
                      <w:lang w:val="en-US" w:eastAsia="zh-CN"/>
                      <w14:textFill>
                        <w14:solidFill>
                          <w14:schemeClr w14:val="tx1"/>
                        </w14:solidFill>
                      </w14:textFill>
                    </w:rPr>
                  </w:pPr>
                  <w:r>
                    <w:rPr>
                      <w:rFonts w:hint="eastAsia"/>
                      <w:b/>
                      <w:bCs/>
                      <w:color w:val="000000" w:themeColor="text1"/>
                      <w:sz w:val="21"/>
                      <w:szCs w:val="21"/>
                      <w:u w:val="single"/>
                      <w:lang w:val="en-US" w:eastAsia="zh-CN"/>
                      <w14:textFill>
                        <w14:solidFill>
                          <w14:schemeClr w14:val="tx1"/>
                        </w14:solidFill>
                      </w14:textFill>
                    </w:rPr>
                    <w:t>厂界</w:t>
                  </w: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eastAsia="宋体"/>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default" w:eastAsia="宋体"/>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1次/半年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191"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right="113" w:righ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臭气浓度</w:t>
                  </w:r>
                </w:p>
              </w:tc>
              <w:tc>
                <w:tcPr>
                  <w:tcW w:w="2010"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88"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default"/>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手工</w:t>
                  </w:r>
                </w:p>
              </w:tc>
              <w:tc>
                <w:tcPr>
                  <w:tcW w:w="701" w:type="pct"/>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default"/>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1次/半年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146"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right="113" w:righ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氨</w:t>
                  </w:r>
                </w:p>
              </w:tc>
              <w:tc>
                <w:tcPr>
                  <w:tcW w:w="2010"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1047" w:type="dxa"/>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手工</w:t>
                  </w:r>
                </w:p>
              </w:tc>
              <w:tc>
                <w:tcPr>
                  <w:tcW w:w="1248" w:type="dxa"/>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1次/半年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46" w:hRule="atLeast"/>
              </w:trPr>
              <w:tc>
                <w:tcPr>
                  <w:tcW w:w="489" w:type="pct"/>
                  <w:vMerge w:val="continue"/>
                  <w:tcBorders>
                    <w:tl2br w:val="nil"/>
                    <w:tr2bl w:val="nil"/>
                  </w:tcBorders>
                  <w:noWrap w:val="0"/>
                  <w:vAlign w:val="center"/>
                </w:tcPr>
                <w:p>
                  <w:pPr>
                    <w:pStyle w:val="13"/>
                    <w:keepNext w:val="0"/>
                    <w:keepLines w:val="0"/>
                    <w:pageBreakBefore w:val="0"/>
                    <w:kinsoku/>
                    <w:wordWrap/>
                    <w:overflowPunct/>
                    <w:topLinePunct w:val="0"/>
                    <w:bidi w:val="0"/>
                    <w:adjustRightInd w:val="0"/>
                    <w:snapToGrid w:val="0"/>
                    <w:spacing w:before="0" w:after="0" w:line="240" w:lineRule="auto"/>
                    <w:ind w:left="0" w:leftChars="0" w:right="113" w:righ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557"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p>
              </w:tc>
              <w:tc>
                <w:tcPr>
                  <w:tcW w:w="65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u w:val="single"/>
                      <w:vertAlign w:val="baseline"/>
                      <w:lang w:val="en-US" w:eastAsia="zh-CN" w:bidi="ar-SA"/>
                      <w14:textFill>
                        <w14:solidFill>
                          <w14:schemeClr w14:val="tx1"/>
                        </w14:solidFill>
                      </w14:textFill>
                    </w:rPr>
                    <w:t>硫化氢</w:t>
                  </w:r>
                </w:p>
              </w:tc>
              <w:tc>
                <w:tcPr>
                  <w:tcW w:w="2010" w:type="pct"/>
                  <w:vMerge w:val="continue"/>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 w:val="21"/>
                      <w:szCs w:val="21"/>
                      <w:u w:val="single"/>
                      <w:lang w:val="en-US" w:eastAsia="zh-CN"/>
                      <w14:textFill>
                        <w14:solidFill>
                          <w14:schemeClr w14:val="tx1"/>
                        </w14:solidFill>
                      </w14:textFill>
                    </w:rPr>
                  </w:pPr>
                </w:p>
              </w:tc>
              <w:tc>
                <w:tcPr>
                  <w:tcW w:w="1047" w:type="dxa"/>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手工</w:t>
                  </w:r>
                </w:p>
              </w:tc>
              <w:tc>
                <w:tcPr>
                  <w:tcW w:w="1248" w:type="dxa"/>
                  <w:tcBorders>
                    <w:tl2br w:val="nil"/>
                    <w:tr2bl w:val="nil"/>
                  </w:tcBorders>
                  <w:noWrap w:val="0"/>
                  <w:vAlign w:val="center"/>
                </w:tcPr>
                <w:p>
                  <w:pPr>
                    <w:keepNext w:val="0"/>
                    <w:keepLines w:val="0"/>
                    <w:pageBreakBefore w:val="0"/>
                    <w:kinsoku/>
                    <w:wordWrap/>
                    <w:overflowPunct/>
                    <w:topLinePunct w:val="0"/>
                    <w:bidi w:val="0"/>
                    <w:adjustRightInd w:val="0"/>
                    <w:snapToGrid w:val="0"/>
                    <w:spacing w:line="240" w:lineRule="auto"/>
                    <w:ind w:left="0" w:leftChars="0" w:firstLine="0" w:firstLineChars="0"/>
                    <w:jc w:val="center"/>
                    <w:textAlignment w:val="auto"/>
                    <w:rPr>
                      <w:rFonts w:hint="eastAsia"/>
                      <w:b/>
                      <w:bCs/>
                      <w:color w:val="000000" w:themeColor="text1"/>
                      <w:szCs w:val="21"/>
                      <w:u w:val="single"/>
                      <w:lang w:val="en-US" w:eastAsia="zh-CN"/>
                      <w14:textFill>
                        <w14:solidFill>
                          <w14:schemeClr w14:val="tx1"/>
                        </w14:solidFill>
                      </w14:textFill>
                    </w:rPr>
                  </w:pPr>
                  <w:r>
                    <w:rPr>
                      <w:rFonts w:hint="eastAsia"/>
                      <w:b/>
                      <w:bCs/>
                      <w:color w:val="000000" w:themeColor="text1"/>
                      <w:szCs w:val="21"/>
                      <w:u w:val="single"/>
                      <w:lang w:val="en-US" w:eastAsia="zh-CN"/>
                      <w14:textFill>
                        <w14:solidFill>
                          <w14:schemeClr w14:val="tx1"/>
                        </w14:solidFill>
                      </w14:textFill>
                    </w:rPr>
                    <w:t>1次/半年</w:t>
                  </w:r>
                </w:p>
              </w:tc>
            </w:tr>
          </w:tbl>
          <w:p>
            <w:pPr>
              <w:keepNext/>
              <w:spacing w:line="460" w:lineRule="exact"/>
              <w:rPr>
                <w:rFonts w:cs="宋体"/>
                <w:b/>
                <w:bCs/>
                <w:color w:val="000000" w:themeColor="text1"/>
                <w:sz w:val="24"/>
                <w:highlight w:val="none"/>
                <w14:textFill>
                  <w14:solidFill>
                    <w14:schemeClr w14:val="tx1"/>
                  </w14:solidFill>
                </w14:textFill>
              </w:rPr>
            </w:pPr>
            <w:r>
              <w:rPr>
                <w:rFonts w:hint="eastAsia" w:cs="宋体"/>
                <w:b/>
                <w:bCs/>
                <w:color w:val="000000" w:themeColor="text1"/>
                <w:sz w:val="24"/>
                <w:highlight w:val="none"/>
                <w14:textFill>
                  <w14:solidFill>
                    <w14:schemeClr w14:val="tx1"/>
                  </w14:solidFill>
                </w14:textFill>
              </w:rPr>
              <w:t>1.</w:t>
            </w:r>
            <w:r>
              <w:rPr>
                <w:rFonts w:hint="eastAsia" w:cs="宋体"/>
                <w:b/>
                <w:bCs/>
                <w:color w:val="000000" w:themeColor="text1"/>
                <w:sz w:val="24"/>
                <w:highlight w:val="none"/>
                <w:lang w:val="en-US" w:eastAsia="zh-CN"/>
                <w14:textFill>
                  <w14:solidFill>
                    <w14:schemeClr w14:val="tx1"/>
                  </w14:solidFill>
                </w14:textFill>
              </w:rPr>
              <w:t>7</w:t>
            </w:r>
            <w:r>
              <w:rPr>
                <w:rFonts w:hint="eastAsia" w:cs="宋体"/>
                <w:b/>
                <w:bCs/>
                <w:color w:val="000000" w:themeColor="text1"/>
                <w:sz w:val="24"/>
                <w:highlight w:val="none"/>
                <w14:textFill>
                  <w14:solidFill>
                    <w14:schemeClr w14:val="tx1"/>
                  </w14:solidFill>
                </w14:textFill>
              </w:rPr>
              <w:t>非正常排放</w:t>
            </w:r>
          </w:p>
          <w:p>
            <w:pPr>
              <w:spacing w:line="460" w:lineRule="exact"/>
              <w:ind w:firstLine="480" w:firstLineChars="200"/>
              <w:rPr>
                <w:rFonts w:hint="eastAsia" w:cs="宋体"/>
                <w:b/>
                <w:bCs/>
                <w:color w:val="000000" w:themeColor="text1"/>
                <w:szCs w:val="21"/>
                <w:highlight w:val="none"/>
                <w:u w:val="single"/>
                <w14:textFill>
                  <w14:solidFill>
                    <w14:schemeClr w14:val="tx1"/>
                  </w14:solidFill>
                </w14:textFill>
              </w:rPr>
            </w:pPr>
            <w:r>
              <w:rPr>
                <w:rFonts w:hint="eastAsia" w:cs="宋体"/>
                <w:color w:val="000000" w:themeColor="text1"/>
                <w:sz w:val="24"/>
                <w:highlight w:val="none"/>
                <w14:textFill>
                  <w14:solidFill>
                    <w14:schemeClr w14:val="tx1"/>
                  </w14:solidFill>
                </w14:textFill>
              </w:rPr>
              <w:t>非正常排放是指生产过程中开停设备检修、工艺设备运转异常等非正常工况下的污染物排放，以及污染物排放控制措施达不到应有效率等情况下的排放。</w:t>
            </w:r>
            <w:r>
              <w:rPr>
                <w:rFonts w:hint="eastAsia" w:cs="宋体"/>
                <w:b/>
                <w:bCs/>
                <w:color w:val="000000" w:themeColor="text1"/>
                <w:sz w:val="24"/>
                <w:highlight w:val="none"/>
                <w:u w:val="single"/>
                <w14:textFill>
                  <w14:solidFill>
                    <w14:schemeClr w14:val="tx1"/>
                  </w14:solidFill>
                </w14:textFill>
              </w:rPr>
              <w:t>项目废气非正常工况排放主要</w:t>
            </w:r>
            <w:r>
              <w:rPr>
                <w:rFonts w:hint="eastAsia" w:ascii="Times New Roman" w:hAnsi="Times New Roman" w:eastAsia="宋体" w:cs="宋体"/>
                <w:b/>
                <w:bCs/>
                <w:color w:val="000000" w:themeColor="text1"/>
                <w:sz w:val="24"/>
                <w:highlight w:val="none"/>
                <w:u w:val="single"/>
                <w14:textFill>
                  <w14:solidFill>
                    <w14:schemeClr w14:val="tx1"/>
                  </w14:solidFill>
                </w14:textFill>
              </w:rPr>
              <w:t>为袋式除尘器</w:t>
            </w:r>
            <w:r>
              <w:rPr>
                <w:rFonts w:hint="eastAsia" w:cs="宋体"/>
                <w:b/>
                <w:bCs/>
                <w:color w:val="000000" w:themeColor="text1"/>
                <w:sz w:val="24"/>
                <w:highlight w:val="none"/>
                <w:u w:val="single"/>
                <w14:textFill>
                  <w14:solidFill>
                    <w14:schemeClr w14:val="tx1"/>
                  </w14:solidFill>
                </w14:textFill>
              </w:rPr>
              <w:t>因故障失效的情况，即净化效率为</w:t>
            </w:r>
            <w:r>
              <w:rPr>
                <w:rFonts w:hint="eastAsia" w:cs="宋体"/>
                <w:b/>
                <w:bCs/>
                <w:color w:val="000000" w:themeColor="text1"/>
                <w:sz w:val="24"/>
                <w:highlight w:val="none"/>
                <w:u w:val="single"/>
                <w:lang w:val="en-US" w:eastAsia="zh-CN"/>
                <w14:textFill>
                  <w14:solidFill>
                    <w14:schemeClr w14:val="tx1"/>
                  </w14:solidFill>
                </w14:textFill>
              </w:rPr>
              <w:t>0%</w:t>
            </w:r>
            <w:r>
              <w:rPr>
                <w:rFonts w:hint="eastAsia" w:cs="宋体"/>
                <w:b/>
                <w:bCs/>
                <w:color w:val="000000" w:themeColor="text1"/>
                <w:sz w:val="24"/>
                <w:highlight w:val="none"/>
                <w:u w:val="single"/>
                <w14:textFill>
                  <w14:solidFill>
                    <w14:schemeClr w14:val="tx1"/>
                  </w14:solidFill>
                </w14:textFill>
              </w:rPr>
              <w:t>，但废气收集系统可以正常运行，废气通过排气筒排放等情况。废气非正常工况源强情况见表4-</w:t>
            </w:r>
            <w:r>
              <w:rPr>
                <w:rFonts w:hint="eastAsia" w:cs="宋体"/>
                <w:b/>
                <w:bCs/>
                <w:color w:val="000000" w:themeColor="text1"/>
                <w:sz w:val="24"/>
                <w:highlight w:val="none"/>
                <w:u w:val="single"/>
                <w:lang w:val="en-US" w:eastAsia="zh-CN"/>
                <w14:textFill>
                  <w14:solidFill>
                    <w14:schemeClr w14:val="tx1"/>
                  </w14:solidFill>
                </w14:textFill>
              </w:rPr>
              <w:t>7</w:t>
            </w:r>
            <w:r>
              <w:rPr>
                <w:rFonts w:hint="eastAsia" w:cs="宋体"/>
                <w:b/>
                <w:bCs/>
                <w:color w:val="000000" w:themeColor="text1"/>
                <w:sz w:val="24"/>
                <w:highlight w:val="none"/>
                <w:u w:val="single"/>
                <w14:textFill>
                  <w14:solidFill>
                    <w14:schemeClr w14:val="tx1"/>
                  </w14:solidFill>
                </w14:textFill>
              </w:rPr>
              <w:t>。</w:t>
            </w:r>
          </w:p>
          <w:p>
            <w:pPr>
              <w:keepNext/>
              <w:spacing w:line="460" w:lineRule="exact"/>
              <w:jc w:val="center"/>
              <w:rPr>
                <w:rFonts w:hint="eastAsia"/>
                <w:b/>
                <w:bCs/>
                <w:color w:val="000000" w:themeColor="text1"/>
                <w:sz w:val="24"/>
                <w:highlight w:val="none"/>
                <w:u w:val="single"/>
                <w14:textFill>
                  <w14:solidFill>
                    <w14:schemeClr w14:val="tx1"/>
                  </w14:solidFill>
                </w14:textFill>
              </w:rPr>
            </w:pPr>
            <w:r>
              <w:rPr>
                <w:rFonts w:hint="eastAsia"/>
                <w:b/>
                <w:bCs/>
                <w:color w:val="000000" w:themeColor="text1"/>
                <w:sz w:val="24"/>
                <w:highlight w:val="none"/>
                <w:u w:val="single"/>
                <w14:textFill>
                  <w14:solidFill>
                    <w14:schemeClr w14:val="tx1"/>
                  </w14:solidFill>
                </w14:textFill>
              </w:rPr>
              <w:t>表4-</w:t>
            </w:r>
            <w:r>
              <w:rPr>
                <w:rFonts w:hint="eastAsia"/>
                <w:b/>
                <w:bCs/>
                <w:color w:val="000000" w:themeColor="text1"/>
                <w:sz w:val="24"/>
                <w:highlight w:val="none"/>
                <w:u w:val="single"/>
                <w:lang w:val="en-US" w:eastAsia="zh-CN"/>
                <w14:textFill>
                  <w14:solidFill>
                    <w14:schemeClr w14:val="tx1"/>
                  </w14:solidFill>
                </w14:textFill>
              </w:rPr>
              <w:t>7</w:t>
            </w:r>
            <w:r>
              <w:rPr>
                <w:b/>
                <w:bCs/>
                <w:color w:val="000000" w:themeColor="text1"/>
                <w:sz w:val="24"/>
                <w:highlight w:val="none"/>
                <w:u w:val="single"/>
                <w14:textFill>
                  <w14:solidFill>
                    <w14:schemeClr w14:val="tx1"/>
                  </w14:solidFill>
                </w14:textFill>
              </w:rPr>
              <w:t xml:space="preserve"> </w:t>
            </w:r>
            <w:r>
              <w:rPr>
                <w:rFonts w:hint="eastAsia"/>
                <w:b/>
                <w:bCs/>
                <w:color w:val="000000" w:themeColor="text1"/>
                <w:sz w:val="24"/>
                <w:highlight w:val="none"/>
                <w:u w:val="single"/>
                <w14:textFill>
                  <w14:solidFill>
                    <w14:schemeClr w14:val="tx1"/>
                  </w14:solidFill>
                </w14:textFill>
              </w:rPr>
              <w:t xml:space="preserve">  项目废气非正常工况排放源强情况</w:t>
            </w:r>
          </w:p>
          <w:tbl>
            <w:tblPr>
              <w:tblStyle w:val="2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8"/>
              <w:gridCol w:w="973"/>
              <w:gridCol w:w="526"/>
              <w:gridCol w:w="1309"/>
              <w:gridCol w:w="1429"/>
              <w:gridCol w:w="1156"/>
              <w:gridCol w:w="1172"/>
              <w:gridCol w:w="10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9"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污染源</w:t>
                  </w:r>
                </w:p>
              </w:tc>
              <w:tc>
                <w:tcPr>
                  <w:tcW w:w="546"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非正常排放原因</w:t>
                  </w:r>
                </w:p>
              </w:tc>
              <w:tc>
                <w:tcPr>
                  <w:tcW w:w="295"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污染物</w:t>
                  </w:r>
                </w:p>
              </w:tc>
              <w:tc>
                <w:tcPr>
                  <w:tcW w:w="735"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非正常排放浓度（mg/m</w:t>
                  </w:r>
                  <w:r>
                    <w:rPr>
                      <w:rFonts w:hint="default" w:ascii="Times New Roman" w:hAnsi="Times New Roman" w:eastAsia="宋体" w:cs="Times New Roman"/>
                      <w:b/>
                      <w:bCs/>
                      <w:color w:val="000000" w:themeColor="text1"/>
                      <w:sz w:val="21"/>
                      <w:szCs w:val="21"/>
                      <w:highlight w:val="none"/>
                      <w:u w:val="single"/>
                      <w:vertAlign w:val="superscript"/>
                      <w14:textFill>
                        <w14:solidFill>
                          <w14:schemeClr w14:val="tx1"/>
                        </w14:solidFill>
                      </w14:textFill>
                    </w:rPr>
                    <w:t>3</w:t>
                  </w: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w:t>
                  </w:r>
                </w:p>
              </w:tc>
              <w:tc>
                <w:tcPr>
                  <w:tcW w:w="802"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非正常排放速率（kg/h）</w:t>
                  </w:r>
                </w:p>
              </w:tc>
              <w:tc>
                <w:tcPr>
                  <w:tcW w:w="649"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单次持续时间（h）</w:t>
                  </w:r>
                </w:p>
              </w:tc>
              <w:tc>
                <w:tcPr>
                  <w:tcW w:w="658"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发生频次（次/年）</w:t>
                  </w:r>
                </w:p>
              </w:tc>
              <w:tc>
                <w:tcPr>
                  <w:tcW w:w="582"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应对措施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6" w:hRule="atLeast"/>
                <w:jc w:val="center"/>
              </w:trPr>
              <w:tc>
                <w:tcPr>
                  <w:tcW w:w="729" w:type="pct"/>
                  <w:noWrap w:val="0"/>
                  <w:vAlign w:val="center"/>
                </w:tcPr>
                <w:p>
                  <w:pPr>
                    <w:keepNext w:val="0"/>
                    <w:keepLines w:val="0"/>
                    <w:widowControl/>
                    <w:suppressLineNumbers w:val="0"/>
                    <w:spacing w:line="240" w:lineRule="auto"/>
                    <w:jc w:val="center"/>
                    <w:textAlignment w:val="center"/>
                    <w:rPr>
                      <w:rFonts w:hint="default" w:ascii="Times New Roman" w:hAnsi="Times New Roman" w:eastAsia="宋体" w:cs="Times New Roman"/>
                      <w:b/>
                      <w:bCs/>
                      <w:color w:val="000000" w:themeColor="text1"/>
                      <w:sz w:val="21"/>
                      <w:szCs w:val="21"/>
                      <w:highlight w:val="none"/>
                      <w:u w:val="single"/>
                      <w:lang w:val="en-US"/>
                      <w14:textFill>
                        <w14:solidFill>
                          <w14:schemeClr w14:val="tx1"/>
                        </w14:solidFill>
                      </w14:textFill>
                    </w:rPr>
                  </w:pPr>
                  <w:r>
                    <w:rPr>
                      <w:rFonts w:hint="eastAsia"/>
                      <w:b/>
                      <w:bCs/>
                      <w:color w:val="000000" w:themeColor="text1"/>
                      <w:szCs w:val="21"/>
                      <w:u w:val="single"/>
                      <w:lang w:eastAsia="zh-CN"/>
                      <w14:textFill>
                        <w14:solidFill>
                          <w14:schemeClr w14:val="tx1"/>
                        </w14:solidFill>
                      </w14:textFill>
                    </w:rPr>
                    <w:t>生产</w:t>
                  </w:r>
                  <w:r>
                    <w:rPr>
                      <w:rFonts w:hint="eastAsia"/>
                      <w:b/>
                      <w:bCs/>
                      <w:color w:val="000000" w:themeColor="text1"/>
                      <w:szCs w:val="21"/>
                      <w:u w:val="single"/>
                      <w14:textFill>
                        <w14:solidFill>
                          <w14:schemeClr w14:val="tx1"/>
                        </w14:solidFill>
                      </w14:textFill>
                    </w:rPr>
                    <w:t>废气</w:t>
                  </w:r>
                </w:p>
              </w:tc>
              <w:tc>
                <w:tcPr>
                  <w:tcW w:w="546" w:type="pct"/>
                  <w:noWrap w:val="0"/>
                  <w:vAlign w:val="center"/>
                </w:tcPr>
                <w:p>
                  <w:pPr>
                    <w:pStyle w:val="9"/>
                    <w:keepNext/>
                    <w:adjustRightInd w:val="0"/>
                    <w:snapToGrid w:val="0"/>
                    <w:ind w:firstLine="0"/>
                    <w:jc w:val="center"/>
                    <w:rPr>
                      <w:rFonts w:hint="eastAsia"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废气治理设施故障，处理效率为</w:t>
                  </w:r>
                  <w:r>
                    <w:rPr>
                      <w:rFonts w:hint="eastAsia" w:cs="Times New Roman"/>
                      <w:b/>
                      <w:bCs/>
                      <w:color w:val="000000" w:themeColor="text1"/>
                      <w:sz w:val="21"/>
                      <w:szCs w:val="21"/>
                      <w:highlight w:val="none"/>
                      <w:u w:val="single"/>
                      <w:lang w:val="en-US" w:eastAsia="zh-CN"/>
                      <w14:textFill>
                        <w14:solidFill>
                          <w14:schemeClr w14:val="tx1"/>
                        </w14:solidFill>
                      </w14:textFill>
                    </w:rPr>
                    <w:t>0%</w:t>
                  </w:r>
                </w:p>
              </w:tc>
              <w:tc>
                <w:tcPr>
                  <w:tcW w:w="295"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颗粒物</w:t>
                  </w:r>
                </w:p>
              </w:tc>
              <w:tc>
                <w:tcPr>
                  <w:tcW w:w="735"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eastAsia" w:cs="Times New Roman"/>
                      <w:b/>
                      <w:bCs/>
                      <w:color w:val="000000" w:themeColor="text1"/>
                      <w:sz w:val="21"/>
                      <w:szCs w:val="21"/>
                      <w:highlight w:val="none"/>
                      <w:u w:val="single"/>
                      <w:lang w:val="en-US" w:eastAsia="zh-CN"/>
                      <w14:textFill>
                        <w14:solidFill>
                          <w14:schemeClr w14:val="tx1"/>
                        </w14:solidFill>
                      </w14:textFill>
                    </w:rPr>
                    <w:t>79</w:t>
                  </w:r>
                </w:p>
              </w:tc>
              <w:tc>
                <w:tcPr>
                  <w:tcW w:w="802"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lang w:val="en-US" w:eastAsia="zh-CN"/>
                      <w14:textFill>
                        <w14:solidFill>
                          <w14:schemeClr w14:val="tx1"/>
                        </w14:solidFill>
                      </w14:textFill>
                    </w:rPr>
                  </w:pPr>
                  <w:r>
                    <w:rPr>
                      <w:rFonts w:hint="eastAsia" w:cs="Times New Roman"/>
                      <w:b/>
                      <w:bCs/>
                      <w:color w:val="000000" w:themeColor="text1"/>
                      <w:sz w:val="21"/>
                      <w:szCs w:val="21"/>
                      <w:highlight w:val="none"/>
                      <w:u w:val="single"/>
                      <w:lang w:val="en-US" w:eastAsia="zh-CN"/>
                      <w14:textFill>
                        <w14:solidFill>
                          <w14:schemeClr w14:val="tx1"/>
                        </w14:solidFill>
                      </w14:textFill>
                    </w:rPr>
                    <w:t>0.79</w:t>
                  </w:r>
                </w:p>
              </w:tc>
              <w:tc>
                <w:tcPr>
                  <w:tcW w:w="649"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1</w:t>
                  </w:r>
                </w:p>
              </w:tc>
              <w:tc>
                <w:tcPr>
                  <w:tcW w:w="658"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1</w:t>
                  </w:r>
                </w:p>
              </w:tc>
              <w:tc>
                <w:tcPr>
                  <w:tcW w:w="582" w:type="pct"/>
                  <w:noWrap w:val="0"/>
                  <w:vAlign w:val="center"/>
                </w:tcPr>
                <w:p>
                  <w:pPr>
                    <w:pStyle w:val="9"/>
                    <w:keepNext/>
                    <w:adjustRightInd w:val="0"/>
                    <w:snapToGrid w:val="0"/>
                    <w:ind w:firstLine="0"/>
                    <w:jc w:val="cente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pPr>
                  <w:r>
                    <w:rPr>
                      <w:rFonts w:hint="default" w:ascii="Times New Roman" w:hAnsi="Times New Roman" w:eastAsia="宋体" w:cs="Times New Roman"/>
                      <w:b/>
                      <w:bCs/>
                      <w:color w:val="000000" w:themeColor="text1"/>
                      <w:sz w:val="21"/>
                      <w:szCs w:val="21"/>
                      <w:highlight w:val="none"/>
                      <w:u w:val="single"/>
                      <w14:textFill>
                        <w14:solidFill>
                          <w14:schemeClr w14:val="tx1"/>
                        </w14:solidFill>
                      </w14:textFill>
                    </w:rPr>
                    <w:t>立即停产检修</w:t>
                  </w:r>
                </w:p>
              </w:tc>
            </w:tr>
          </w:tbl>
          <w:p>
            <w:pPr>
              <w:keepNext w:val="0"/>
              <w:keepLines w:val="0"/>
              <w:pageBreakBefore w:val="0"/>
              <w:widowControl w:val="0"/>
              <w:kinsoku/>
              <w:wordWrap/>
              <w:overflowPunct/>
              <w:topLinePunct w:val="0"/>
              <w:autoSpaceDE/>
              <w:autoSpaceDN/>
              <w:bidi w:val="0"/>
              <w:adjustRightInd w:val="0"/>
              <w:snapToGrid w:val="0"/>
              <w:spacing w:before="313" w:beforeLines="100" w:line="360" w:lineRule="auto"/>
              <w:ind w:firstLine="480" w:firstLineChars="200"/>
              <w:textAlignment w:val="auto"/>
              <w:rPr>
                <w:rFonts w:hint="eastAsia" w:cs="宋体"/>
                <w:color w:val="000000" w:themeColor="text1"/>
                <w:sz w:val="24"/>
                <w:highlight w:val="none"/>
                <w14:textFill>
                  <w14:solidFill>
                    <w14:schemeClr w14:val="tx1"/>
                  </w14:solidFill>
                </w14:textFill>
              </w:rPr>
            </w:pPr>
            <w:r>
              <w:rPr>
                <w:rFonts w:hint="eastAsia" w:cs="宋体"/>
                <w:color w:val="000000" w:themeColor="text1"/>
                <w:sz w:val="24"/>
                <w:highlight w:val="none"/>
                <w14:textFill>
                  <w14:solidFill>
                    <w14:schemeClr w14:val="tx1"/>
                  </w14:solidFill>
                </w14:textFill>
              </w:rPr>
              <w:t>由上表可知，非正常工况下，废气污染物的排放浓度都不能满足标准要求，</w:t>
            </w:r>
            <w:r>
              <w:rPr>
                <w:rFonts w:hint="eastAsia" w:cs="宋体"/>
                <w:color w:val="000000" w:themeColor="text1"/>
                <w:sz w:val="24"/>
                <w:highlight w:val="none"/>
                <w:lang w:val="en-US" w:eastAsia="zh-CN"/>
                <w14:textFill>
                  <w14:solidFill>
                    <w14:schemeClr w14:val="tx1"/>
                  </w14:solidFill>
                </w14:textFill>
              </w:rPr>
              <w:t>要求</w:t>
            </w:r>
            <w:r>
              <w:rPr>
                <w:rFonts w:hint="eastAsia" w:cs="宋体"/>
                <w:color w:val="000000" w:themeColor="text1"/>
                <w:sz w:val="24"/>
                <w:highlight w:val="none"/>
                <w14:textFill>
                  <w14:solidFill>
                    <w14:schemeClr w14:val="tx1"/>
                  </w14:solidFill>
                </w14:textFill>
              </w:rPr>
              <w:t>建设单位定期对车间废气治理措施进行维护和保养，一旦发现设施运行异常，应停止生产，迅速抢修或更换，待废气治理措施运行正常后方可恢复生产。</w:t>
            </w:r>
          </w:p>
          <w:p>
            <w:pPr>
              <w:keepNext/>
              <w:keepLines w:val="0"/>
              <w:pageBreakBefore w:val="0"/>
              <w:widowControl w:val="0"/>
              <w:kinsoku/>
              <w:wordWrap/>
              <w:overflowPunct/>
              <w:topLinePunct w:val="0"/>
              <w:bidi w:val="0"/>
              <w:adjustRightInd w:val="0"/>
              <w:snapToGrid w:val="0"/>
              <w:spacing w:line="360" w:lineRule="auto"/>
              <w:textAlignment w:val="auto"/>
              <w:rPr>
                <w:rFonts w:hint="default" w:cs="宋体"/>
                <w:b/>
                <w:bCs/>
                <w:color w:val="000000" w:themeColor="text1"/>
                <w:sz w:val="24"/>
                <w:highlight w:val="none"/>
                <w:lang w:val="en-US" w:eastAsia="zh-CN"/>
                <w14:textFill>
                  <w14:solidFill>
                    <w14:schemeClr w14:val="tx1"/>
                  </w14:solidFill>
                </w14:textFill>
              </w:rPr>
            </w:pPr>
            <w:r>
              <w:rPr>
                <w:rFonts w:hint="default" w:cs="宋体"/>
                <w:b/>
                <w:bCs/>
                <w:color w:val="000000" w:themeColor="text1"/>
                <w:sz w:val="24"/>
                <w:highlight w:val="none"/>
                <w:lang w:val="en-US" w:eastAsia="zh-CN"/>
                <w14:textFill>
                  <w14:solidFill>
                    <w14:schemeClr w14:val="tx1"/>
                  </w14:solidFill>
                </w14:textFill>
              </w:rPr>
              <w:t>1.</w:t>
            </w:r>
            <w:r>
              <w:rPr>
                <w:rFonts w:hint="eastAsia" w:cs="宋体"/>
                <w:b/>
                <w:bCs/>
                <w:color w:val="000000" w:themeColor="text1"/>
                <w:sz w:val="24"/>
                <w:highlight w:val="none"/>
                <w:lang w:val="en-US" w:eastAsia="zh-CN"/>
                <w14:textFill>
                  <w14:solidFill>
                    <w14:schemeClr w14:val="tx1"/>
                  </w14:solidFill>
                </w14:textFill>
              </w:rPr>
              <w:t>8</w:t>
            </w:r>
            <w:r>
              <w:rPr>
                <w:rFonts w:hint="default" w:cs="宋体"/>
                <w:b/>
                <w:bCs/>
                <w:color w:val="000000" w:themeColor="text1"/>
                <w:sz w:val="24"/>
                <w:highlight w:val="none"/>
                <w:lang w:val="en-US" w:eastAsia="zh-CN"/>
                <w14:textFill>
                  <w14:solidFill>
                    <w14:schemeClr w14:val="tx1"/>
                  </w14:solidFill>
                </w14:textFill>
              </w:rPr>
              <w:t>环境影响及污染防治措施可行性分析</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本项目原料为香菇、木耳及猴头菇等菌类植物，提取及浓缩过程主要为植物气味，无刺激性气味产生，提取及浓缩过程采用车间通排风+密闭设备进行治理，措施可行。</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根据《排污许可证申请与核发技术规范 锅炉》（HJ953</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2018）中推荐的锅炉烟气污染防治可行技术可知，燃气锅炉产生的颗粒物和二氧化硫可不采取治理措施，氮氧化物采用低氮燃烧技术。本项目燃料类型为天然气，采用低氮燃烧器进行治理可行。</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喷雾干燥工序废气主要为颗粒物，项目采用</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旋风+布袋除尘器</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进行治理</w:t>
            </w:r>
            <w:r>
              <w:rPr>
                <w:rFonts w:hint="eastAsia" w:cs="Times New Roman"/>
                <w:b/>
                <w:bCs/>
                <w:color w:val="000000" w:themeColor="text1"/>
                <w:kern w:val="0"/>
                <w:sz w:val="24"/>
                <w:szCs w:val="24"/>
                <w:u w:val="single"/>
                <w:vertAlign w:val="baseline"/>
                <w:lang w:val="en-US" w:eastAsia="zh-CN"/>
                <w14:textFill>
                  <w14:solidFill>
                    <w14:schemeClr w14:val="tx1"/>
                  </w14:solidFill>
                </w14:textFill>
              </w:rPr>
              <w:t>，</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参照《排污许可证申请与核发技术规范 食品制造工业-方便食品、食品及饲料添加剂制造工业》（HJ1030.3-2019）中推荐措施可行。</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参照《排污许可证申请与核发技术规范 食品制造工业-方便食品、食品及饲料添加剂制造工业》（HJ1030.3-2019）中推荐的厂区污水处理站污染防治可行技术可知，污水处理站产生的恶臭气体可采用无组织排放，定期投加除臭剂进行治理，本项目污水处理站采用周边设置绿化带+投加除臭剂进行治理后无组织排放，措施可行。</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综上所述，项目废气治理措施符合要求，治理措施可行。</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left"/>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14:textFill>
                  <w14:solidFill>
                    <w14:schemeClr w14:val="tx1"/>
                  </w14:solidFill>
                </w14:textFill>
              </w:rPr>
              <w:t>2</w:t>
            </w:r>
            <w:r>
              <w:rPr>
                <w:rFonts w:hint="eastAsia" w:ascii="Times New Roman" w:hAnsi="Times New Roman"/>
                <w:b/>
                <w:snapToGrid w:val="0"/>
                <w:color w:val="000000" w:themeColor="text1"/>
                <w:kern w:val="0"/>
                <w:sz w:val="24"/>
                <w:lang w:val="en-US" w:eastAsia="zh-CN"/>
                <w14:textFill>
                  <w14:solidFill>
                    <w14:schemeClr w14:val="tx1"/>
                  </w14:solidFill>
                </w14:textFill>
              </w:rPr>
              <w:t xml:space="preserve"> </w:t>
            </w:r>
            <w:r>
              <w:rPr>
                <w:rFonts w:ascii="Times New Roman" w:hAnsi="Times New Roman"/>
                <w:b/>
                <w:snapToGrid w:val="0"/>
                <w:color w:val="000000" w:themeColor="text1"/>
                <w:kern w:val="0"/>
                <w:sz w:val="24"/>
                <w14:textFill>
                  <w14:solidFill>
                    <w14:schemeClr w14:val="tx1"/>
                  </w14:solidFill>
                </w14:textFill>
              </w:rPr>
              <w:t>废</w:t>
            </w:r>
            <w:r>
              <w:rPr>
                <w:rFonts w:hint="eastAsia" w:ascii="Times New Roman" w:hAnsi="Times New Roman"/>
                <w:b/>
                <w:snapToGrid w:val="0"/>
                <w:color w:val="000000" w:themeColor="text1"/>
                <w:kern w:val="0"/>
                <w:sz w:val="24"/>
                <w14:textFill>
                  <w14:solidFill>
                    <w14:schemeClr w14:val="tx1"/>
                  </w14:solidFill>
                </w14:textFill>
              </w:rPr>
              <w:t>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（1）产排污情况</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本项目废水主要为浸泡、蒸煮、浓缩过程冷凝定排水、设备清洗废水、</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及职工生活污水。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根据前文分析，本项目具体产排污情况见下表。</w:t>
            </w:r>
          </w:p>
          <w:p>
            <w:pPr>
              <w:pStyle w:val="53"/>
              <w:keepNext w:val="0"/>
              <w:keepLines w:val="0"/>
              <w:pageBreakBefore w:val="0"/>
              <w:widowControl w:val="0"/>
              <w:kinsoku/>
              <w:wordWrap/>
              <w:overflowPunct/>
              <w:topLinePunct w:val="0"/>
              <w:autoSpaceDE/>
              <w:autoSpaceDN/>
              <w:bidi w:val="0"/>
              <w:spacing w:line="360" w:lineRule="auto"/>
              <w:ind w:left="0" w:leftChars="0" w:right="0" w:rightChars="0"/>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表4-8  废水产排污情况一览表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6"/>
              <w:gridCol w:w="1715"/>
              <w:gridCol w:w="1109"/>
              <w:gridCol w:w="1471"/>
              <w:gridCol w:w="1218"/>
              <w:gridCol w:w="17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项目</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14:textFill>
                        <w14:solidFill>
                          <w14:schemeClr w14:val="tx1"/>
                        </w14:solidFill>
                      </w14:textFill>
                    </w:rPr>
                    <w:t>指标</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vertAlign w:val="baseline"/>
                      <w:lang w:val="en-US" w:eastAsia="zh-CN" w:bidi="ar-SA"/>
                      <w14:textFill>
                        <w14:solidFill>
                          <w14:schemeClr w14:val="tx1"/>
                        </w14:solidFill>
                      </w14:textFill>
                    </w:rPr>
                    <w:t>数量</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t>用水量</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bidi="ar-SA"/>
                      <w14:textFill>
                        <w14:solidFill>
                          <w14:schemeClr w14:val="tx1"/>
                        </w14:solidFill>
                      </w14:textFill>
                    </w:rPr>
                    <w:t>排污系数</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pPr>
                  <w:r>
                    <w:rPr>
                      <w:rFonts w:hint="eastAsia" w:ascii="Times New Roman" w:hAnsi="Times New Roman" w:cs="Times New Roman"/>
                      <w:b/>
                      <w:bCs/>
                      <w:color w:val="000000" w:themeColor="text1"/>
                      <w:spacing w:val="0"/>
                      <w:kern w:val="0"/>
                      <w:sz w:val="21"/>
                      <w:szCs w:val="21"/>
                      <w:vertAlign w:val="baseline"/>
                      <w:lang w:val="en-US" w:eastAsia="zh-CN"/>
                      <w14:textFill>
                        <w14:solidFill>
                          <w14:schemeClr w14:val="tx1"/>
                        </w14:solidFill>
                      </w14:textFill>
                    </w:rPr>
                    <w:t>排水量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浸泡、蒸煮、浓缩过程冷凝定排水</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1975.68m</w:t>
                  </w:r>
                  <w:r>
                    <w:rPr>
                      <w:rFonts w:hint="eastAsia" w:ascii="Times New Roman" w:hAnsi="Times New Roman" w:eastAsia="宋体" w:cs="Times New Roman"/>
                      <w:b w:val="0"/>
                      <w:bCs w:val="0"/>
                      <w:color w:val="000000" w:themeColor="text1"/>
                      <w:spacing w:val="0"/>
                      <w:kern w:val="0"/>
                      <w:sz w:val="21"/>
                      <w:szCs w:val="21"/>
                      <w:highlight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/a</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247.68m</w:t>
                  </w:r>
                  <w:r>
                    <w:rPr>
                      <w:rFonts w:hint="eastAsia" w:ascii="Times New Roman" w:hAnsi="Times New Roman" w:eastAsia="宋体" w:cs="Times New Roman"/>
                      <w:b w:val="0"/>
                      <w:bCs w:val="0"/>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软水制备系统排的浓水</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1320</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highlight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/a</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0.8</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1056</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锅炉软水制备排污水</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237.6m</w:t>
                  </w:r>
                  <w:r>
                    <w:rPr>
                      <w:rFonts w:hint="eastAsia" w:ascii="Times New Roman" w:hAnsi="Times New Roman" w:eastAsia="宋体" w:cs="Times New Roman"/>
                      <w:b w:val="0"/>
                      <w:bCs w:val="0"/>
                      <w:color w:val="000000" w:themeColor="text1"/>
                      <w:spacing w:val="0"/>
                      <w:kern w:val="0"/>
                      <w:sz w:val="21"/>
                      <w:szCs w:val="21"/>
                      <w:highlight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/a</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21.6m</w:t>
                  </w:r>
                  <w:r>
                    <w:rPr>
                      <w:rFonts w:hint="eastAsia" w:ascii="Times New Roman" w:hAnsi="Times New Roman" w:eastAsia="宋体" w:cs="Times New Roman"/>
                      <w:b w:val="0"/>
                      <w:bCs w:val="0"/>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生活污水</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100</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L/（人·d）</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30人</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900</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highlight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/a</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0.8</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720</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合计</w:t>
                  </w:r>
                </w:p>
              </w:tc>
              <w:tc>
                <w:tcPr>
                  <w:tcW w:w="96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623"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82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4433.28</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highlight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highlight w:val="none"/>
                      <w:vertAlign w:val="baseline"/>
                      <w:lang w:val="en-US" w:eastAsia="zh-CN" w:bidi="ar-SA"/>
                      <w14:textFill>
                        <w14:solidFill>
                          <w14:schemeClr w14:val="tx1"/>
                        </w14:solidFill>
                      </w14:textFill>
                    </w:rPr>
                    <w:t>/a</w:t>
                  </w:r>
                </w:p>
              </w:tc>
              <w:tc>
                <w:tcPr>
                  <w:tcW w:w="68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w:t>
                  </w:r>
                </w:p>
              </w:tc>
              <w:tc>
                <w:tcPr>
                  <w:tcW w:w="96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0"/>
                      <w:kern w:val="0"/>
                      <w:sz w:val="21"/>
                      <w:szCs w:val="21"/>
                      <w:vertAlign w:val="baseline"/>
                      <w:lang w:val="en-US" w:eastAsia="zh-CN" w:bidi="ar-SA"/>
                      <w14:textFill>
                        <w14:solidFill>
                          <w14:schemeClr w14:val="tx1"/>
                        </w14:solidFill>
                      </w14:textFill>
                    </w:rPr>
                    <w:t>2045.28</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0"/>
                      <w:kern w:val="0"/>
                      <w:sz w:val="21"/>
                      <w:szCs w:val="21"/>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0"/>
                      <w:kern w:val="0"/>
                      <w:sz w:val="21"/>
                      <w:szCs w:val="21"/>
                      <w:vertAlign w:val="baseline"/>
                      <w:lang w:val="en-US" w:eastAsia="zh-CN" w:bidi="ar-SA"/>
                      <w14:textFill>
                        <w14:solidFill>
                          <w14:schemeClr w14:val="tx1"/>
                        </w14:solidFill>
                      </w14:textFill>
                    </w:rPr>
                    <w:t>/a</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jc w:val="left"/>
              <w:textAlignment w:val="auto"/>
              <w:rPr>
                <w:rFonts w:hint="eastAsia" w:ascii="Times New Roman" w:hAnsi="Times New Roman" w:eastAsia="宋体" w:cs="Times New Roman"/>
                <w:bCs/>
                <w:color w:val="000000" w:themeColor="text1"/>
                <w:sz w:val="24"/>
                <w:szCs w:val="24"/>
                <w:u w:val="none"/>
                <w:lang w:val="en-US" w:eastAsia="zh-CN"/>
                <w14:textFill>
                  <w14:solidFill>
                    <w14:schemeClr w14:val="tx1"/>
                  </w14:solidFill>
                </w14:textFill>
              </w:rPr>
            </w:pPr>
            <w:r>
              <w:rPr>
                <w:rFonts w:hint="eastAsia" w:ascii="Times New Roman" w:hAnsi="Times New Roman" w:eastAsia="宋体" w:cs="Times New Roman"/>
                <w:bCs/>
                <w:color w:val="000000" w:themeColor="text1"/>
                <w:sz w:val="24"/>
                <w:szCs w:val="24"/>
                <w:u w:val="none"/>
                <w:lang w:val="en-US" w:eastAsia="zh-CN"/>
                <w14:textFill>
                  <w14:solidFill>
                    <w14:schemeClr w14:val="tx1"/>
                  </w14:solidFill>
                </w14:textFill>
              </w:rPr>
              <w:t>（2）污水处理站设置</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default" w:ascii="Times New Roman" w:hAnsi="Times New Roman" w:eastAsia="宋体" w:cs="Times New Roman"/>
                <w:b/>
                <w:bCs w:val="0"/>
                <w:color w:val="000000" w:themeColor="text1"/>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参照《排污许可证申请与核发技术 食品制造业-方便食品、食品及饲料添加剂制造行业》（HJ1030.3-2019）中“表2厂区综合污水处理站的综合污水”</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可采用“厌氧+好氧+MBR膜+消毒”进行治理</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。本项目浸泡、蒸煮、浓缩过程冷凝定排水及设备清洗废水经收集后进入污水处理站进行治理，因此，本项目新建1座处理规模为10m</w:t>
            </w:r>
            <w:r>
              <w:rPr>
                <w:rFonts w:hint="eastAsia" w:ascii="Times New Roman" w:hAnsi="Times New Roman" w:eastAsia="宋体" w:cs="Times New Roman"/>
                <w:b/>
                <w:bCs w:val="0"/>
                <w:color w:val="000000" w:themeColor="text1"/>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/d的地埋式一体化污水处理站，</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采用“格栅+调节池+混凝气浮+生化工艺+消毒”</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，废水主要污染物为COD、氨氮、BOD</w:t>
            </w:r>
            <w:r>
              <w:rPr>
                <w:rFonts w:hint="eastAsia" w:ascii="Times New Roman" w:hAnsi="Times New Roman" w:eastAsia="宋体" w:cs="Times New Roman"/>
                <w:b/>
                <w:bCs w:val="0"/>
                <w:color w:val="000000" w:themeColor="text1"/>
                <w:sz w:val="24"/>
                <w:szCs w:val="24"/>
                <w:u w:val="single"/>
                <w:vertAlign w:val="subscript"/>
                <w:lang w:val="en-US" w:eastAsia="zh-CN"/>
                <w14:textFill>
                  <w14:solidFill>
                    <w14:schemeClr w14:val="tx1"/>
                  </w14:solidFill>
                </w14:textFill>
              </w:rPr>
              <w:t>5</w:t>
            </w:r>
            <w:r>
              <w:rPr>
                <w:rFonts w:hint="eastAsia" w:ascii="Times New Roman" w:hAnsi="Times New Roman" w:eastAsia="宋体" w:cs="Times New Roman"/>
                <w:b/>
                <w:bCs w:val="0"/>
                <w:color w:val="000000" w:themeColor="text1"/>
                <w:sz w:val="24"/>
                <w:szCs w:val="24"/>
                <w:u w:val="single"/>
                <w:vertAlign w:val="baseline"/>
                <w:lang w:val="en-US" w:eastAsia="zh-CN"/>
                <w14:textFill>
                  <w14:solidFill>
                    <w14:schemeClr w14:val="tx1"/>
                  </w14:solidFill>
                </w14:textFill>
              </w:rPr>
              <w:t>、SS等。</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本项目地埋式一体化污水处理站具体处理工艺如下：</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object>
                <v:shape id="_x0000_i1027" o:spt="75" type="#_x0000_t75" style="height:392.3pt;width:232.55pt;" o:ole="t" filled="f" o:preferrelative="t" stroked="f" coordsize="21600,21600">
                  <v:path/>
                  <v:fill on="f" focussize="0,0"/>
                  <v:stroke on="f"/>
                  <v:imagedata r:id="rId12" o:title=""/>
                  <o:lock v:ext="edit" aspectratio="f"/>
                  <w10:wrap type="none"/>
                  <w10:anchorlock/>
                </v:shape>
                <o:OLEObject Type="Embed" ProgID="Visio.Drawing.11" ShapeID="_x0000_i1027" DrawAspect="Content" ObjectID="_1468075727" r:id="rId11">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z w:val="44"/>
                <w:szCs w:val="4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图</w:t>
            </w:r>
            <w:r>
              <w:rPr>
                <w:rFonts w:hint="eastAsia" w:cs="Times New Roman"/>
                <w:b/>
                <w:bCs w:val="0"/>
                <w:color w:val="000000" w:themeColor="text1"/>
                <w:sz w:val="24"/>
                <w:szCs w:val="24"/>
                <w:u w:val="single"/>
                <w:lang w:val="en-US" w:eastAsia="zh-CN"/>
                <w14:textFill>
                  <w14:solidFill>
                    <w14:schemeClr w14:val="tx1"/>
                  </w14:solidFill>
                </w14:textFill>
              </w:rPr>
              <w:t>4-1</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 xml:space="preserve">  污水处理站工艺流程图</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default"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参照《</w:t>
            </w:r>
            <w:r>
              <w:rPr>
                <w:rFonts w:hint="eastAsia" w:cs="Times New Roman"/>
                <w:b/>
                <w:bCs w:val="0"/>
                <w:color w:val="000000" w:themeColor="text1"/>
                <w:sz w:val="24"/>
                <w:szCs w:val="24"/>
                <w:u w:val="single"/>
                <w:lang w:val="en-US" w:eastAsia="zh-CN"/>
                <w14:textFill>
                  <w14:solidFill>
                    <w14:schemeClr w14:val="tx1"/>
                  </w14:solidFill>
                </w14:textFill>
              </w:rPr>
              <w:t>二污</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排放源统计调查产排污核算方法和系数手册</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-137蔬菜、菌类、水果和坚果加工行业系数手册</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》，并类比同类项目，浸泡、蒸煮、浓缩过程冷凝定排水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污染物主要为COD、氨氮、SS、BOD</w:t>
            </w:r>
            <w:r>
              <w:rPr>
                <w:rFonts w:hint="eastAsia" w:ascii="Times New Roman" w:hAnsi="Times New Roman" w:cs="Times New Roman"/>
                <w:b/>
                <w:bCs w:val="0"/>
                <w:color w:val="000000" w:themeColor="text1"/>
                <w:sz w:val="24"/>
                <w:szCs w:val="24"/>
                <w:u w:val="single"/>
                <w:vertAlign w:val="subscript"/>
                <w:lang w:val="en-US" w:eastAsia="zh-CN"/>
                <w14:textFill>
                  <w14:solidFill>
                    <w14:schemeClr w14:val="tx1"/>
                  </w14:solidFill>
                </w14:textFill>
              </w:rPr>
              <w:t>5</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，废水量为247.68m</w:t>
            </w:r>
            <w:r>
              <w:rPr>
                <w:rFonts w:hint="eastAsia" w:ascii="Times New Roman" w:hAnsi="Times New Roman" w:cs="Times New Roman"/>
                <w:b/>
                <w:bCs w:val="0"/>
                <w:color w:val="000000" w:themeColor="text1"/>
                <w:sz w:val="24"/>
                <w:szCs w:val="24"/>
                <w:u w:val="single"/>
                <w:vertAlign w:val="superscript"/>
                <w:lang w:val="en-US" w:eastAsia="zh-CN"/>
                <w14:textFill>
                  <w14:solidFill>
                    <w14:schemeClr w14:val="tx1"/>
                  </w14:solidFill>
                </w14:textFill>
              </w:rPr>
              <w:t>3</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/a，浓度分别为280mg/L、9mg/L、170mg/L、200mg/L；设备清洗废水污染物主要为</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COD、氨氮、SS、BOD</w:t>
            </w:r>
            <w:r>
              <w:rPr>
                <w:rFonts w:hint="eastAsia" w:ascii="Times New Roman" w:hAnsi="Times New Roman" w:cs="Times New Roman"/>
                <w:b/>
                <w:bCs w:val="0"/>
                <w:color w:val="000000" w:themeColor="text1"/>
                <w:sz w:val="24"/>
                <w:szCs w:val="24"/>
                <w:u w:val="single"/>
                <w:vertAlign w:val="subscript"/>
                <w:lang w:val="en-US" w:eastAsia="zh-CN"/>
                <w14:textFill>
                  <w14:solidFill>
                    <w14:schemeClr w14:val="tx1"/>
                  </w14:solidFill>
                </w14:textFill>
              </w:rPr>
              <w:t>5</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，废水量为105m</w:t>
            </w:r>
            <w:r>
              <w:rPr>
                <w:rFonts w:hint="eastAsia" w:ascii="Times New Roman" w:hAnsi="Times New Roman" w:cs="Times New Roman"/>
                <w:b/>
                <w:bCs w:val="0"/>
                <w:color w:val="000000" w:themeColor="text1"/>
                <w:sz w:val="24"/>
                <w:szCs w:val="24"/>
                <w:u w:val="single"/>
                <w:vertAlign w:val="superscript"/>
                <w:lang w:val="en-US" w:eastAsia="zh-CN"/>
                <w14:textFill>
                  <w14:solidFill>
                    <w14:schemeClr w14:val="tx1"/>
                  </w14:solidFill>
                </w14:textFill>
              </w:rPr>
              <w:t>3</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/a，浓度分别为180mg/L、5mg/L、100mg/L、120mg/L。</w:t>
            </w:r>
          </w:p>
          <w:p>
            <w:pPr>
              <w:pStyle w:val="53"/>
              <w:keepNext w:val="0"/>
              <w:keepLines w:val="0"/>
              <w:pageBreakBefore w:val="0"/>
              <w:widowControl w:val="0"/>
              <w:kinsoku/>
              <w:wordWrap/>
              <w:overflowPunct/>
              <w:topLinePunct w:val="0"/>
              <w:autoSpaceDE/>
              <w:autoSpaceDN/>
              <w:bidi w:val="0"/>
              <w:spacing w:line="360" w:lineRule="auto"/>
              <w:ind w:left="0" w:leftChars="0" w:right="0" w:right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表4-9   本项目废水污染物产生情况一览表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776"/>
              <w:gridCol w:w="1758"/>
              <w:gridCol w:w="901"/>
              <w:gridCol w:w="778"/>
              <w:gridCol w:w="794"/>
              <w:gridCol w:w="8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jc w:val="center"/>
              </w:trPr>
              <w:tc>
                <w:tcPr>
                  <w:tcW w:w="2120" w:type="pct"/>
                  <w:tcBorders>
                    <w:tl2br w:val="nil"/>
                    <w:tr2bl w:val="nil"/>
                  </w:tcBorders>
                  <w:noWrap w:val="0"/>
                  <w:vAlign w:val="center"/>
                  <mc:AlternateContent>
                    <mc:Choice Requires="wpsCustomData">
                      <wpsCustomData:diagonals>
                        <wpsCustomData:diagonal from="10000" to="30000">
                          <wpsCustomData:border w:val="single" w:color="auto" w:sz="4" w:space="0"/>
                        </wpsCustomData:diagonal>
                      </wpsCustomData:diagonals>
                    </mc:Choice>
                  </mc:AlternateContent>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mc:AlternateContent>
                      <mc:Choice Requires="wpsCustomData">
                        <wpsCustomData:diagonalParaType/>
                      </mc:Choice>
                    </mc:AlternateContent>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污水类别</w:t>
                  </w:r>
                </w:p>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主要污染物</w:t>
                  </w:r>
                </w:p>
              </w:tc>
              <w:tc>
                <w:tcPr>
                  <w:tcW w:w="98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废水量（m</w:t>
                  </w:r>
                  <w:r>
                    <w:rPr>
                      <w:rFonts w:hint="eastAsia" w:ascii="Times New Roman" w:hAnsi="Times New Roman" w:eastAsia="宋体" w:cs="Times New Roman"/>
                      <w:b/>
                      <w:bCs w:val="0"/>
                      <w:color w:val="000000" w:themeColor="text1"/>
                      <w:spacing w:val="0"/>
                      <w:kern w:val="0"/>
                      <w:sz w:val="21"/>
                      <w:szCs w:val="21"/>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/a）</w:t>
                  </w:r>
                </w:p>
              </w:tc>
              <w:tc>
                <w:tcPr>
                  <w:tcW w:w="5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COD</w:t>
                  </w:r>
                </w:p>
              </w:tc>
              <w:tc>
                <w:tcPr>
                  <w:tcW w:w="43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氨氮</w:t>
                  </w:r>
                </w:p>
              </w:tc>
              <w:tc>
                <w:tcPr>
                  <w:tcW w:w="44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SS</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cs="Times New Roman"/>
                      <w:b/>
                      <w:bCs w:val="0"/>
                      <w:color w:val="000000" w:themeColor="text1"/>
                      <w:spacing w:val="0"/>
                      <w:kern w:val="0"/>
                      <w:sz w:val="21"/>
                      <w:szCs w:val="21"/>
                      <w:u w:val="single"/>
                      <w:vertAlign w:val="subscript"/>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BOD</w:t>
                  </w:r>
                  <w:r>
                    <w:rPr>
                      <w:rFonts w:hint="eastAsia" w:ascii="Times New Roman" w:hAnsi="Times New Roman" w:cs="Times New Roman"/>
                      <w:b/>
                      <w:bCs w:val="0"/>
                      <w:color w:val="000000" w:themeColor="text1"/>
                      <w:spacing w:val="0"/>
                      <w:kern w:val="0"/>
                      <w:sz w:val="21"/>
                      <w:szCs w:val="21"/>
                      <w:u w:val="single"/>
                      <w:vertAlign w:val="subscript"/>
                      <w:lang w:val="en-US" w:eastAsia="zh-CN" w:bidi="ar-SA"/>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12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浸泡、蒸煮、浓缩过程冷凝定排水</w:t>
                  </w:r>
                </w:p>
              </w:tc>
              <w:tc>
                <w:tcPr>
                  <w:tcW w:w="98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247.68</w:t>
                  </w:r>
                </w:p>
              </w:tc>
              <w:tc>
                <w:tcPr>
                  <w:tcW w:w="5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280</w:t>
                  </w:r>
                </w:p>
              </w:tc>
              <w:tc>
                <w:tcPr>
                  <w:tcW w:w="43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9</w:t>
                  </w:r>
                </w:p>
              </w:tc>
              <w:tc>
                <w:tcPr>
                  <w:tcW w:w="44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170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12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设备清洗废水</w:t>
                  </w:r>
                </w:p>
              </w:tc>
              <w:tc>
                <w:tcPr>
                  <w:tcW w:w="98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1056</w:t>
                  </w:r>
                </w:p>
              </w:tc>
              <w:tc>
                <w:tcPr>
                  <w:tcW w:w="5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180</w:t>
                  </w:r>
                </w:p>
              </w:tc>
              <w:tc>
                <w:tcPr>
                  <w:tcW w:w="43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5</w:t>
                  </w:r>
                </w:p>
              </w:tc>
              <w:tc>
                <w:tcPr>
                  <w:tcW w:w="44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100</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12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混合水质</w:t>
                  </w:r>
                </w:p>
              </w:tc>
              <w:tc>
                <w:tcPr>
                  <w:tcW w:w="98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1303.68</w:t>
                  </w:r>
                </w:p>
              </w:tc>
              <w:tc>
                <w:tcPr>
                  <w:tcW w:w="50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250.2</w:t>
                  </w:r>
                </w:p>
              </w:tc>
              <w:tc>
                <w:tcPr>
                  <w:tcW w:w="43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7.8</w:t>
                  </w:r>
                </w:p>
              </w:tc>
              <w:tc>
                <w:tcPr>
                  <w:tcW w:w="44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149.2</w:t>
                  </w:r>
                </w:p>
              </w:tc>
              <w:tc>
                <w:tcPr>
                  <w:tcW w:w="50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176.2</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综上所述，</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浸泡、蒸煮、浓缩过程冷凝定排水及设备清洗废水</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经收集后进入污水处理站处理后用于厂区洒水抑尘或绿化，废水污染物</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浓度分别为</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 xml:space="preserve">COD </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250.2mg/L</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、氨氮7.8mg/L、SS 149.2mg/L、BOD</w:t>
            </w:r>
            <w:r>
              <w:rPr>
                <w:rFonts w:hint="eastAsia" w:ascii="Times New Roman" w:hAnsi="Times New Roman" w:cs="Times New Roman"/>
                <w:b/>
                <w:bCs w:val="0"/>
                <w:color w:val="000000" w:themeColor="text1"/>
                <w:sz w:val="24"/>
                <w:szCs w:val="24"/>
                <w:u w:val="single"/>
                <w:vertAlign w:val="subscript"/>
                <w:lang w:val="en-US" w:eastAsia="zh-CN"/>
                <w14:textFill>
                  <w14:solidFill>
                    <w14:schemeClr w14:val="tx1"/>
                  </w14:solidFill>
                </w14:textFill>
              </w:rPr>
              <w:t>5</w:t>
            </w:r>
            <w:r>
              <w:rPr>
                <w:rFonts w:hint="eastAsia" w:ascii="Times New Roman" w:hAnsi="Times New Roman" w:cs="Times New Roman"/>
                <w:b/>
                <w:bCs w:val="0"/>
                <w:color w:val="000000" w:themeColor="text1"/>
                <w:sz w:val="24"/>
                <w:szCs w:val="24"/>
                <w:u w:val="single"/>
                <w:vertAlign w:val="baseline"/>
                <w:lang w:val="en-US" w:eastAsia="zh-CN"/>
                <w14:textFill>
                  <w14:solidFill>
                    <w14:schemeClr w14:val="tx1"/>
                  </w14:solidFill>
                </w14:textFill>
              </w:rPr>
              <w:t xml:space="preserve"> 176.2mg/L。</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项目混合污水经污水处理站处理后，各单元去除效率见下表。</w:t>
            </w:r>
          </w:p>
          <w:p>
            <w:pPr>
              <w:pStyle w:val="53"/>
              <w:keepNext w:val="0"/>
              <w:keepLines w:val="0"/>
              <w:pageBreakBefore w:val="0"/>
              <w:widowControl w:val="0"/>
              <w:kinsoku/>
              <w:wordWrap/>
              <w:overflowPunct/>
              <w:topLinePunct w:val="0"/>
              <w:autoSpaceDE/>
              <w:autoSpaceDN/>
              <w:bidi w:val="0"/>
              <w:spacing w:line="360" w:lineRule="auto"/>
              <w:ind w:left="0" w:leftChars="0" w:right="0" w:right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表4-10  主要处理单元处理效果一览表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8"/>
              <w:gridCol w:w="2329"/>
              <w:gridCol w:w="1213"/>
              <w:gridCol w:w="1457"/>
              <w:gridCol w:w="1311"/>
              <w:gridCol w:w="14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1931" w:type="pct"/>
                  <w:gridSpan w:val="2"/>
                  <w:tcBorders>
                    <w:tl2br w:val="nil"/>
                    <w:tr2bl w:val="nil"/>
                  </w:tcBorders>
                  <w:noWrap w:val="0"/>
                  <w:vAlign w:val="center"/>
                  <mc:AlternateContent>
                    <mc:Choice Requires="wpsCustomData">
                      <wpsCustomData:diagonals>
                        <wpsCustomData:diagonal from="10000" to="30000">
                          <wpsCustomData:border w:val="single" w:color="auto" w:sz="4" w:space="0"/>
                        </wpsCustomData:diagonal>
                      </wpsCustomData:diagonals>
                    </mc:Choice>
                  </mc:AlternateContent>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mc:AlternateContent>
                      <mc:Choice Requires="wpsCustomData">
                        <wpsCustomData:diagonalParaType/>
                      </mc:Choice>
                    </mc:AlternateContent>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处理单元</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主要污染物</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COD</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氨氮</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SS</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cs="Times New Roman"/>
                      <w:b/>
                      <w:bCs w:val="0"/>
                      <w:color w:val="000000" w:themeColor="text1"/>
                      <w:spacing w:val="0"/>
                      <w:kern w:val="0"/>
                      <w:sz w:val="21"/>
                      <w:szCs w:val="21"/>
                      <w:u w:val="single"/>
                      <w:vertAlign w:val="subscript"/>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BOD</w:t>
                  </w:r>
                  <w:r>
                    <w:rPr>
                      <w:rFonts w:hint="eastAsia" w:ascii="Times New Roman" w:hAnsi="Times New Roman" w:cs="Times New Roman"/>
                      <w:b/>
                      <w:bCs w:val="0"/>
                      <w:color w:val="000000" w:themeColor="text1"/>
                      <w:spacing w:val="0"/>
                      <w:kern w:val="0"/>
                      <w:sz w:val="21"/>
                      <w:szCs w:val="21"/>
                      <w:u w:val="single"/>
                      <w:vertAlign w:val="subscript"/>
                      <w:lang w:val="en-US" w:eastAsia="zh-CN" w:bidi="ar-SA"/>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193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进水浓度（mg/L）</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250.2</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7.8</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149.2</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176.2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23"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厌氧+好氧+MBR膜</w:t>
                  </w:r>
                </w:p>
              </w:tc>
              <w:tc>
                <w:tcPr>
                  <w:tcW w:w="13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去除率</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95%</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85%</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85%</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23"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130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出水浓度（mg/L）</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12.51</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1.17</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22.38</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8.81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3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《农田灌溉水质标准》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（GB 5084-2021）</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mg/L</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200</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100</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100</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93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达标情况</w:t>
                  </w:r>
                </w:p>
              </w:tc>
              <w:tc>
                <w:tcPr>
                  <w:tcW w:w="68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达标</w:t>
                  </w:r>
                </w:p>
              </w:tc>
              <w:tc>
                <w:tcPr>
                  <w:tcW w:w="818"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达标</w:t>
                  </w:r>
                </w:p>
              </w:tc>
              <w:tc>
                <w:tcPr>
                  <w:tcW w:w="73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达标</w:t>
                  </w:r>
                </w:p>
              </w:tc>
              <w:tc>
                <w:tcPr>
                  <w:tcW w:w="8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达标</w:t>
                  </w:r>
                </w:p>
              </w:tc>
            </w:tr>
          </w:tbl>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由上表可知，本项目浸泡、蒸煮、浓缩过程冷凝定排水</w:t>
            </w:r>
            <w:r>
              <w:rPr>
                <w:rFonts w:hint="eastAsia" w:ascii="Times New Roman" w:hAnsi="Times New Roman" w:cs="Times New Roman"/>
                <w:b/>
                <w:bCs w:val="0"/>
                <w:color w:val="000000" w:themeColor="text1"/>
                <w:sz w:val="24"/>
                <w:szCs w:val="24"/>
                <w:u w:val="single"/>
                <w:lang w:eastAsia="zh-CN"/>
                <w14:textFill>
                  <w14:solidFill>
                    <w14:schemeClr w14:val="tx1"/>
                  </w14:solidFill>
                </w14:textFill>
              </w:rPr>
              <w:t>及设备清洗废水经污水处理站处理后，出水浓度均可满足《农田灌溉水质标准》（GB 5084-2021）</w:t>
            </w:r>
            <w:r>
              <w:rPr>
                <w:rFonts w:hint="eastAsia" w:ascii="Times New Roman" w:hAnsi="Times New Roman" w:cs="Times New Roman"/>
                <w:b/>
                <w:bCs w:val="0"/>
                <w:color w:val="000000" w:themeColor="text1"/>
                <w:sz w:val="24"/>
                <w:szCs w:val="24"/>
                <w:u w:val="single"/>
                <w:lang w:val="en-US" w:eastAsia="zh-CN"/>
                <w14:textFill>
                  <w14:solidFill>
                    <w14:schemeClr w14:val="tx1"/>
                  </w14:solidFill>
                </w14:textFill>
              </w:rPr>
              <w:t>标准要求，用于厂区洒水抑尘或绿化是可行的。</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污水处理站设置在租赁厂房北侧，环评建议日常加强对污水处理设施的管理，定期杀灭蚊蝇和消毒，同时对污水处理站采取一些必要的防护措施，如设置绿化带等，以减轻臭气对周边环境的影响。</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jc w:val="left"/>
              <w:textAlignment w:val="auto"/>
              <w:rPr>
                <w:rFonts w:hint="default" w:ascii="Times New Roman" w:hAnsi="Times New Roman" w:eastAsia="宋体" w:cs="Times New Roman"/>
                <w:b/>
                <w:bCs w:val="0"/>
                <w:color w:val="000000" w:themeColor="text1"/>
                <w:sz w:val="24"/>
                <w:szCs w:val="24"/>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（3）废水排放基本情况</w:t>
            </w:r>
          </w:p>
          <w:p>
            <w:pPr>
              <w:keepNext w:val="0"/>
              <w:keepLines w:val="0"/>
              <w:pageBreakBefore w:val="0"/>
              <w:widowControl w:val="0"/>
              <w:kinsoku/>
              <w:wordWrap/>
              <w:overflowPunct/>
              <w:topLinePunct w:val="0"/>
              <w:autoSpaceDE/>
              <w:autoSpaceDN/>
              <w:bidi w:val="0"/>
              <w:adjustRightInd w:val="0"/>
              <w:snapToGrid w:val="0"/>
              <w:spacing w:line="460" w:lineRule="exact"/>
              <w:ind w:firstLine="482" w:firstLineChars="200"/>
              <w:textAlignment w:val="auto"/>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本项目废水排放基本情况见下表。</w:t>
            </w:r>
          </w:p>
          <w:p>
            <w:pPr>
              <w:pStyle w:val="53"/>
              <w:keepNext w:val="0"/>
              <w:keepLines w:val="0"/>
              <w:pageBreakBefore w:val="0"/>
              <w:widowControl w:val="0"/>
              <w:kinsoku/>
              <w:wordWrap/>
              <w:overflowPunct/>
              <w:topLinePunct w:val="0"/>
              <w:autoSpaceDE/>
              <w:autoSpaceDN/>
              <w:bidi w:val="0"/>
              <w:spacing w:line="360" w:lineRule="auto"/>
              <w:ind w:left="0" w:leftChars="0" w:right="0" w:rightChars="0"/>
              <w:textAlignment w:val="auto"/>
              <w:rPr>
                <w:rFonts w:hint="default" w:ascii="Times New Roman" w:hAnsi="Times New Roman" w:eastAsia="宋体" w:cs="Times New Roman"/>
                <w:b/>
                <w:bCs w:val="0"/>
                <w:color w:val="000000" w:themeColor="text1"/>
                <w:sz w:val="21"/>
                <w:szCs w:val="21"/>
                <w:u w:val="single"/>
                <w:lang w:val="en-US" w:eastAsia="zh-CN"/>
                <w14:textFill>
                  <w14:solidFill>
                    <w14:schemeClr w14:val="tx1"/>
                  </w14:solidFill>
                </w14:textFill>
              </w:rPr>
            </w:pPr>
            <w:r>
              <w:rPr>
                <w:rFonts w:hint="eastAsia" w:ascii="Times New Roman" w:hAnsi="Times New Roman" w:eastAsia="宋体" w:cs="Times New Roman"/>
                <w:b/>
                <w:bCs w:val="0"/>
                <w:color w:val="000000" w:themeColor="text1"/>
                <w:sz w:val="21"/>
                <w:szCs w:val="21"/>
                <w:u w:val="single"/>
                <w:lang w:val="en-US" w:eastAsia="zh-CN"/>
                <w14:textFill>
                  <w14:solidFill>
                    <w14:schemeClr w14:val="tx1"/>
                  </w14:solidFill>
                </w14:textFill>
              </w:rPr>
              <w:t>表4-11   废水排放基本情况一览表</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4"/>
              <w:gridCol w:w="1008"/>
              <w:gridCol w:w="1496"/>
              <w:gridCol w:w="1209"/>
              <w:gridCol w:w="773"/>
              <w:gridCol w:w="1295"/>
              <w:gridCol w:w="18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70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产污环节</w:t>
                  </w:r>
                </w:p>
              </w:tc>
              <w:tc>
                <w:tcPr>
                  <w:tcW w:w="5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14:textFill>
                        <w14:solidFill>
                          <w14:schemeClr w14:val="tx1"/>
                        </w14:solidFill>
                      </w14:textFill>
                    </w:rPr>
                    <w:t>污染物类别</w:t>
                  </w:r>
                </w:p>
              </w:tc>
              <w:tc>
                <w:tcPr>
                  <w:tcW w:w="84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污染物种类</w:t>
                  </w:r>
                </w:p>
              </w:tc>
              <w:tc>
                <w:tcPr>
                  <w:tcW w:w="67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治理设施</w:t>
                  </w:r>
                </w:p>
              </w:tc>
              <w:tc>
                <w:tcPr>
                  <w:tcW w:w="4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bidi="ar-SA"/>
                      <w14:textFill>
                        <w14:solidFill>
                          <w14:schemeClr w14:val="tx1"/>
                        </w14:solidFill>
                      </w14:textFill>
                    </w:rPr>
                    <w:t>排放方式</w:t>
                  </w:r>
                </w:p>
              </w:tc>
              <w:tc>
                <w:tcPr>
                  <w:tcW w:w="7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14:textFill>
                        <w14:solidFill>
                          <w14:schemeClr w14:val="tx1"/>
                        </w14:solidFill>
                      </w14:textFill>
                    </w:rPr>
                    <w:t>排放去向</w:t>
                  </w:r>
                </w:p>
              </w:tc>
              <w:tc>
                <w:tcPr>
                  <w:tcW w:w="10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cs="Times New Roman"/>
                      <w:b/>
                      <w:bCs w:val="0"/>
                      <w:color w:val="000000" w:themeColor="text1"/>
                      <w:spacing w:val="0"/>
                      <w:kern w:val="0"/>
                      <w:sz w:val="21"/>
                      <w:szCs w:val="21"/>
                      <w:u w:val="single"/>
                      <w:vertAlign w:val="baseline"/>
                      <w:lang w:val="en-US" w:eastAsia="zh-CN"/>
                      <w14:textFill>
                        <w14:solidFill>
                          <w14:schemeClr w14:val="tx1"/>
                        </w14:solidFill>
                      </w14:textFill>
                    </w:rPr>
                  </w:pPr>
                  <w:r>
                    <w:rPr>
                      <w:rFonts w:hint="eastAsia" w:ascii="Times New Roman" w:hAnsi="Times New Roman" w:cs="Times New Roman"/>
                      <w:b/>
                      <w:bCs w:val="0"/>
                      <w:color w:val="000000" w:themeColor="text1"/>
                      <w:spacing w:val="0"/>
                      <w:kern w:val="0"/>
                      <w:sz w:val="21"/>
                      <w:szCs w:val="21"/>
                      <w:u w:val="single"/>
                      <w:vertAlign w:val="baseline"/>
                      <w:lang w:val="en-US" w:eastAsia="zh-CN"/>
                      <w14:textFill>
                        <w14:solidFill>
                          <w14:schemeClr w14:val="tx1"/>
                        </w14:solidFill>
                      </w14:textFill>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浸泡、蒸煮、浓缩过程冷凝定排水</w:t>
                  </w:r>
                </w:p>
              </w:tc>
              <w:tc>
                <w:tcPr>
                  <w:tcW w:w="56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生产废水</w:t>
                  </w:r>
                </w:p>
              </w:tc>
              <w:tc>
                <w:tcPr>
                  <w:tcW w:w="840"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COD、SS、BOD</w:t>
                  </w:r>
                  <w:r>
                    <w:rPr>
                      <w:rFonts w:hint="eastAsia" w:ascii="Times New Roman" w:hAnsi="Times New Roman" w:eastAsia="宋体" w:cs="Times New Roman"/>
                      <w:b/>
                      <w:bCs w:val="0"/>
                      <w:color w:val="000000" w:themeColor="text1"/>
                      <w:spacing w:val="0"/>
                      <w:kern w:val="0"/>
                      <w:sz w:val="21"/>
                      <w:szCs w:val="21"/>
                      <w:u w:val="single"/>
                      <w:vertAlign w:val="subscript"/>
                      <w:lang w:val="en-US" w:eastAsia="zh-CN" w:bidi="ar-SA"/>
                      <w14:textFill>
                        <w14:solidFill>
                          <w14:schemeClr w14:val="tx1"/>
                        </w14:solidFill>
                      </w14:textFill>
                    </w:rPr>
                    <w:t>5</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、氨氮</w:t>
                  </w:r>
                </w:p>
              </w:tc>
              <w:tc>
                <w:tcPr>
                  <w:tcW w:w="67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冷凝+污水处理站</w:t>
                  </w:r>
                </w:p>
              </w:tc>
              <w:tc>
                <w:tcPr>
                  <w:tcW w:w="4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不外排</w:t>
                  </w:r>
                </w:p>
              </w:tc>
              <w:tc>
                <w:tcPr>
                  <w:tcW w:w="727"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定期洒水抑尘、绿化</w:t>
                  </w:r>
                </w:p>
              </w:tc>
              <w:tc>
                <w:tcPr>
                  <w:tcW w:w="1047"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《农田灌溉水质标准》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（GB 5084-2021）</w:t>
                  </w: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设备清洗废水</w:t>
                  </w:r>
                </w:p>
              </w:tc>
              <w:tc>
                <w:tcPr>
                  <w:tcW w:w="56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840"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67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污水处理站</w:t>
                  </w:r>
                </w:p>
              </w:tc>
              <w:tc>
                <w:tcPr>
                  <w:tcW w:w="4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不排放</w:t>
                  </w:r>
                </w:p>
              </w:tc>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104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锅炉软水制备排污水</w:t>
                  </w:r>
                </w:p>
              </w:tc>
              <w:tc>
                <w:tcPr>
                  <w:tcW w:w="56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84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COD、SS</w:t>
                  </w:r>
                </w:p>
              </w:tc>
              <w:tc>
                <w:tcPr>
                  <w:tcW w:w="67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c>
                <w:tcPr>
                  <w:tcW w:w="4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不排放</w:t>
                  </w:r>
                </w:p>
              </w:tc>
              <w:tc>
                <w:tcPr>
                  <w:tcW w:w="72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c>
                <w:tcPr>
                  <w:tcW w:w="1047"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0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生活污水</w:t>
                  </w:r>
                </w:p>
              </w:tc>
              <w:tc>
                <w:tcPr>
                  <w:tcW w:w="56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生活污水</w:t>
                  </w:r>
                </w:p>
              </w:tc>
              <w:tc>
                <w:tcPr>
                  <w:tcW w:w="840"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COD、氨氮、SS、粪大肠杆菌、BOD</w:t>
                  </w:r>
                  <w:r>
                    <w:rPr>
                      <w:rFonts w:hint="eastAsia" w:ascii="Times New Roman" w:hAnsi="Times New Roman" w:eastAsia="宋体" w:cs="Times New Roman"/>
                      <w:b/>
                      <w:bCs w:val="0"/>
                      <w:color w:val="000000" w:themeColor="text1"/>
                      <w:spacing w:val="0"/>
                      <w:kern w:val="0"/>
                      <w:sz w:val="21"/>
                      <w:szCs w:val="21"/>
                      <w:u w:val="single"/>
                      <w:vertAlign w:val="subscript"/>
                      <w:lang w:val="en-US" w:eastAsia="zh-CN" w:bidi="ar-SA"/>
                      <w14:textFill>
                        <w14:solidFill>
                          <w14:schemeClr w14:val="tx1"/>
                        </w14:solidFill>
                      </w14:textFill>
                    </w:rPr>
                    <w:t>5</w:t>
                  </w:r>
                </w:p>
              </w:tc>
              <w:tc>
                <w:tcPr>
                  <w:tcW w:w="67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依托吉尔木化粪池</w:t>
                  </w:r>
                </w:p>
              </w:tc>
              <w:tc>
                <w:tcPr>
                  <w:tcW w:w="43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不排放</w:t>
                  </w:r>
                </w:p>
              </w:tc>
              <w:tc>
                <w:tcPr>
                  <w:tcW w:w="72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定期清掏肥田</w:t>
                  </w:r>
                </w:p>
              </w:tc>
              <w:tc>
                <w:tcPr>
                  <w:tcW w:w="104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pPr>
                  <w:r>
                    <w:rPr>
                      <w:rFonts w:hint="eastAsia" w:ascii="Times New Roman" w:hAnsi="Times New Roman" w:eastAsia="宋体" w:cs="Times New Roman"/>
                      <w:b/>
                      <w:bCs w:val="0"/>
                      <w:color w:val="000000" w:themeColor="text1"/>
                      <w:spacing w:val="0"/>
                      <w:kern w:val="0"/>
                      <w:sz w:val="21"/>
                      <w:szCs w:val="21"/>
                      <w:u w:val="single"/>
                      <w:vertAlign w:val="baseline"/>
                      <w:lang w:val="en-US" w:eastAsia="zh-CN" w:bidi="ar-SA"/>
                      <w14:textFill>
                        <w14:solidFill>
                          <w14:schemeClr w14:val="tx1"/>
                        </w14:solidFill>
                      </w14:textFill>
                    </w:rPr>
                    <w:t>/</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（4）生产废水用于</w:t>
            </w:r>
            <w:r>
              <w:rPr>
                <w:rFonts w:hint="eastAsia" w:cs="Times New Roman"/>
                <w:b/>
                <w:bCs w:val="0"/>
                <w:color w:val="000000" w:themeColor="text1"/>
                <w:kern w:val="0"/>
                <w:sz w:val="24"/>
                <w:szCs w:val="24"/>
                <w:u w:val="single"/>
                <w:vertAlign w:val="baseline"/>
                <w:lang w:val="en-US" w:eastAsia="zh-CN"/>
                <w14:textFill>
                  <w14:solidFill>
                    <w14:schemeClr w14:val="tx1"/>
                  </w14:solidFill>
                </w14:textFill>
              </w:rPr>
              <w:t>周边梨园</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灌溉的可行性分析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项</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目废水主要为浸泡、蒸煮、浓缩过程冷凝定排水、</w:t>
            </w:r>
            <w:r>
              <w:rPr>
                <w:rFonts w:hint="eastAsia" w:cs="Times New Roman"/>
                <w:b/>
                <w:bCs w:val="0"/>
                <w:color w:val="000000" w:themeColor="text1"/>
                <w:kern w:val="0"/>
                <w:sz w:val="24"/>
                <w:szCs w:val="24"/>
                <w:u w:val="single"/>
                <w:vertAlign w:val="baseline"/>
                <w:lang w:val="en-US" w:eastAsia="zh-CN"/>
                <w14:textFill>
                  <w14:solidFill>
                    <w14:schemeClr w14:val="tx1"/>
                  </w14:solidFill>
                </w14:textFill>
              </w:rPr>
              <w:t>锅炉软水制备排污水</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、设备清洗废水及职工生活污水。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项目浸泡、蒸煮、浓缩过程冷凝定排水废水排放量为247.68m</w:t>
            </w:r>
            <w:r>
              <w:rPr>
                <w:rFonts w:hint="default"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/a，设备清洗废水排放量为1056m</w:t>
            </w:r>
            <w:r>
              <w:rPr>
                <w:rFonts w:hint="default"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/a，污水处理站规模为10m</w:t>
            </w:r>
            <w:r>
              <w:rPr>
                <w:rFonts w:hint="default"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/d，废水经收集后进入厂区污水处理站处理后水质可满足《农田灌溉水质标准》（GB 5084-2021）。</w:t>
            </w:r>
          </w:p>
          <w:p>
            <w:pPr>
              <w:adjustRightInd w:val="0"/>
              <w:snapToGrid w:val="0"/>
              <w:ind w:firstLine="482"/>
              <w:rPr>
                <w:rFonts w:hint="default" w:ascii="Times New Roman" w:hAnsi="Times New Roman" w:eastAsia="宋体" w:cs="Times New Roman"/>
                <w:b/>
                <w:bCs w:val="0"/>
                <w:color w:val="000000" w:themeColor="text1"/>
                <w:sz w:val="24"/>
                <w:szCs w:val="24"/>
                <w:u w:val="single"/>
                <w14:textFill>
                  <w14:solidFill>
                    <w14:schemeClr w14:val="tx1"/>
                  </w14:solidFill>
                </w14:textFill>
              </w:rPr>
            </w:pPr>
            <w:r>
              <w:rPr>
                <w:rFonts w:hint="default" w:ascii="Times New Roman" w:hAnsi="Times New Roman" w:eastAsia="宋体" w:cs="Times New Roman"/>
                <w:b/>
                <w:bCs w:val="0"/>
                <w:color w:val="000000" w:themeColor="text1"/>
                <w:sz w:val="24"/>
                <w:szCs w:val="24"/>
                <w:u w:val="single"/>
                <w14:textFill>
                  <w14:solidFill>
                    <w14:schemeClr w14:val="tx1"/>
                  </w14:solidFill>
                </w14:textFill>
              </w:rPr>
              <w:t>该项目周围配套种植</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梨树</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，该项目运营期间，农田主要以种植</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梨树等果树</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为主，厂区绿化面积根据《河南省地方标准农业用水定额》（DB41T985-2014），其中</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果树</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每次灌溉用水量为</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120</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m³/667m</w:t>
            </w:r>
            <w:r>
              <w:rPr>
                <w:rFonts w:hint="default" w:ascii="Times New Roman" w:hAnsi="Times New Roman" w:eastAsia="宋体" w:cs="Times New Roman"/>
                <w:b/>
                <w:bCs w:val="0"/>
                <w:color w:val="000000" w:themeColor="text1"/>
                <w:sz w:val="24"/>
                <w:szCs w:val="24"/>
                <w:u w:val="single"/>
                <w:vertAlign w:val="superscript"/>
                <w14:textFill>
                  <w14:solidFill>
                    <w14:schemeClr w14:val="tx1"/>
                  </w14:solidFill>
                </w14:textFill>
              </w:rPr>
              <w:t>2</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。根据建设单位提供的资料和现场调查，本项目周围</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梨园</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较多，周围林地每次灌溉的用水量约为</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120</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m</w:t>
            </w:r>
            <w:r>
              <w:rPr>
                <w:rFonts w:hint="default" w:ascii="Times New Roman" w:hAnsi="Times New Roman" w:eastAsia="宋体" w:cs="Times New Roman"/>
                <w:b/>
                <w:bCs w:val="0"/>
                <w:color w:val="000000" w:themeColor="text1"/>
                <w:sz w:val="24"/>
                <w:szCs w:val="24"/>
                <w:u w:val="single"/>
                <w:vertAlign w:val="superscript"/>
                <w14:textFill>
                  <w14:solidFill>
                    <w14:schemeClr w14:val="tx1"/>
                  </w14:solidFill>
                </w14:textFill>
              </w:rPr>
              <w:t>3</w:t>
            </w:r>
            <w:r>
              <w:rPr>
                <w:rFonts w:hint="eastAsia" w:ascii="Times New Roman" w:hAnsi="Times New Roman" w:eastAsia="宋体" w:cs="Times New Roman"/>
                <w:b/>
                <w:bCs w:val="0"/>
                <w:color w:val="000000" w:themeColor="text1"/>
                <w:sz w:val="24"/>
                <w:szCs w:val="24"/>
                <w:u w:val="single"/>
                <w:lang w:eastAsia="zh-CN"/>
                <w14:textFill>
                  <w14:solidFill>
                    <w14:schemeClr w14:val="tx1"/>
                  </w14:solidFill>
                </w14:textFill>
              </w:rPr>
              <w:t>，</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每年浇灌30次/年</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。故本项目农田、林地及厂区绿化用水共</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3600</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m³＞2045.28m</w:t>
            </w:r>
            <w:r>
              <w:rPr>
                <w:rFonts w:hint="default" w:ascii="Times New Roman" w:hAnsi="Times New Roman" w:eastAsia="宋体" w:cs="Times New Roman"/>
                <w:b/>
                <w:bCs w:val="0"/>
                <w:color w:val="000000" w:themeColor="text1"/>
                <w:sz w:val="24"/>
                <w:szCs w:val="24"/>
                <w:u w:val="single"/>
                <w:vertAlign w:val="superscript"/>
                <w14:textFill>
                  <w14:solidFill>
                    <w14:schemeClr w14:val="tx1"/>
                  </w14:solidFill>
                </w14:textFill>
              </w:rPr>
              <w:t>3</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，因此废水可完全用于周围</w:t>
            </w:r>
            <w:r>
              <w:rPr>
                <w:rFonts w:hint="eastAsia" w:ascii="Times New Roman" w:hAnsi="Times New Roman" w:eastAsia="宋体" w:cs="Times New Roman"/>
                <w:b/>
                <w:bCs w:val="0"/>
                <w:color w:val="000000" w:themeColor="text1"/>
                <w:sz w:val="24"/>
                <w:szCs w:val="24"/>
                <w:u w:val="single"/>
                <w:lang w:val="en-US" w:eastAsia="zh-CN"/>
                <w14:textFill>
                  <w14:solidFill>
                    <w14:schemeClr w14:val="tx1"/>
                  </w14:solidFill>
                </w14:textFill>
              </w:rPr>
              <w:t>梨园</w:t>
            </w:r>
            <w:r>
              <w:rPr>
                <w:rFonts w:hint="default" w:ascii="Times New Roman" w:hAnsi="Times New Roman" w:eastAsia="宋体" w:cs="Times New Roman"/>
                <w:b/>
                <w:bCs w:val="0"/>
                <w:color w:val="000000" w:themeColor="text1"/>
                <w:sz w:val="24"/>
                <w:szCs w:val="24"/>
                <w:u w:val="single"/>
                <w14:textFill>
                  <w14:solidFill>
                    <w14:schemeClr w14:val="tx1"/>
                  </w14:solidFill>
                </w14:textFill>
              </w:rPr>
              <w:t>的灌溉。综上所述本项目所产生的污水回用可行，满足要求。</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厂区设置1座</w:t>
            </w:r>
            <w:r>
              <w:rPr>
                <w:rFonts w:hint="eastAsia" w:cs="Times New Roman"/>
                <w:b/>
                <w:bCs w:val="0"/>
                <w:color w:val="000000" w:themeColor="text1"/>
                <w:kern w:val="0"/>
                <w:sz w:val="24"/>
                <w:szCs w:val="24"/>
                <w:u w:val="single"/>
                <w:vertAlign w:val="baseline"/>
                <w:lang w:val="en-US" w:eastAsia="zh-CN"/>
                <w14:textFill>
                  <w14:solidFill>
                    <w14:schemeClr w14:val="tx1"/>
                  </w14:solidFill>
                </w14:textFill>
              </w:rPr>
              <w:t>1</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20m</w:t>
            </w:r>
            <w:r>
              <w:rPr>
                <w:rFonts w:hint="eastAsia"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清水池，用于雨天等特殊情况下废水处理后收集暂存，约能暂存20天，定期用于厂区洒水抑尘或绿化，禁止外排。</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综上所述，本项目废水治理措施可行。</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（5）生活污水用于周围农田施肥的可行性分析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textAlignment w:val="auto"/>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根据对河南吉尔木食品有限公司现场调查，河南吉尔木食品有限公司现有化粪池容积为20m</w:t>
            </w:r>
            <w:r>
              <w:rPr>
                <w:rFonts w:hint="eastAsia"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、废水产生量为1.68m</w:t>
            </w:r>
            <w:r>
              <w:rPr>
                <w:rFonts w:hint="eastAsia"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/d，本项目废水产生量为0.72m</w:t>
            </w:r>
            <w:r>
              <w:rPr>
                <w:rFonts w:hint="eastAsia" w:ascii="Times New Roman" w:hAnsi="Times New Roman" w:eastAsia="宋体" w:cs="Times New Roman"/>
                <w:b/>
                <w:bCs w:val="0"/>
                <w:color w:val="000000" w:themeColor="text1"/>
                <w:kern w:val="0"/>
                <w:sz w:val="24"/>
                <w:szCs w:val="24"/>
                <w:u w:val="single"/>
                <w:vertAlign w:val="superscript"/>
                <w:lang w:val="en-US" w:eastAsia="zh-CN"/>
                <w14:textFill>
                  <w14:solidFill>
                    <w14:schemeClr w14:val="tx1"/>
                  </w14:solidFill>
                </w14:textFill>
              </w:rPr>
              <w:t>3</w:t>
            </w:r>
            <w:r>
              <w:rPr>
                <w:rFonts w:hint="eastAsia" w:ascii="Times New Roman" w:hAnsi="Times New Roman" w:eastAsia="宋体" w:cs="Times New Roman"/>
                <w:b/>
                <w:bCs w:val="0"/>
                <w:color w:val="000000" w:themeColor="text1"/>
                <w:kern w:val="0"/>
                <w:sz w:val="24"/>
                <w:szCs w:val="24"/>
                <w:u w:val="single"/>
                <w:vertAlign w:val="baseline"/>
                <w:lang w:val="en-US" w:eastAsia="zh-CN"/>
                <w14:textFill>
                  <w14:solidFill>
                    <w14:schemeClr w14:val="tx1"/>
                  </w14:solidFill>
                </w14:textFill>
              </w:rPr>
              <w:t>/d，本项目依托河南吉尔木食品有限公司现有化粪池后，化粪池容积最大储存量约8天，项目用水量较小，依托河南吉尔木食品有限公司现有化粪池可行。</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left"/>
              <w:textAlignment w:val="auto"/>
              <w:outlineLvl w:val="9"/>
              <w:rPr>
                <w:rFonts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14:textFill>
                  <w14:solidFill>
                    <w14:schemeClr w14:val="tx1"/>
                  </w14:solidFill>
                </w14:textFill>
              </w:rPr>
              <w:t>3</w:t>
            </w:r>
            <w:r>
              <w:rPr>
                <w:rFonts w:hint="eastAsia" w:ascii="Times New Roman" w:hAnsi="Times New Roman"/>
                <w:b/>
                <w:snapToGrid w:val="0"/>
                <w:color w:val="000000" w:themeColor="text1"/>
                <w:kern w:val="0"/>
                <w:sz w:val="24"/>
                <w:lang w:val="en-US" w:eastAsia="zh-CN"/>
                <w14:textFill>
                  <w14:solidFill>
                    <w14:schemeClr w14:val="tx1"/>
                  </w14:solidFill>
                </w14:textFill>
              </w:rPr>
              <w:t xml:space="preserve"> </w:t>
            </w:r>
            <w:r>
              <w:rPr>
                <w:rFonts w:ascii="Times New Roman" w:hAnsi="Times New Roman"/>
                <w:b/>
                <w:snapToGrid w:val="0"/>
                <w:color w:val="000000" w:themeColor="text1"/>
                <w:kern w:val="0"/>
                <w:sz w:val="24"/>
                <w14:textFill>
                  <w14:solidFill>
                    <w14:schemeClr w14:val="tx1"/>
                  </w14:solidFill>
                </w14:textFill>
              </w:rPr>
              <w:t>噪声</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left"/>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14:textFill>
                  <w14:solidFill>
                    <w14:schemeClr w14:val="tx1"/>
                  </w14:solidFill>
                </w14:textFill>
              </w:rPr>
              <w:t>3.1 噪声源强产生情况</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olor w:val="000000" w:themeColor="text1"/>
                <w:kern w:val="0"/>
                <w:sz w:val="24"/>
                <w14:textFill>
                  <w14:solidFill>
                    <w14:schemeClr w14:val="tx1"/>
                  </w14:solidFill>
                </w14:textFill>
              </w:rPr>
            </w:pPr>
            <w:r>
              <w:rPr>
                <w:rFonts w:hint="eastAsia" w:ascii="Times New Roman" w:hAnsi="Times New Roman"/>
                <w:color w:val="000000" w:themeColor="text1"/>
                <w:kern w:val="0"/>
                <w:sz w:val="24"/>
                <w14:textFill>
                  <w14:solidFill>
                    <w14:schemeClr w14:val="tx1"/>
                  </w14:solidFill>
                </w14:textFill>
              </w:rPr>
              <w:t>本项</w:t>
            </w:r>
            <w:r>
              <w:rPr>
                <w:rFonts w:hint="eastAsia" w:ascii="Times New Roman" w:hAnsi="Times New Roman"/>
                <w:color w:val="000000" w:themeColor="text1"/>
                <w:kern w:val="0"/>
                <w:sz w:val="24"/>
                <w:lang w:eastAsia="zh-CN"/>
                <w14:textFill>
                  <w14:solidFill>
                    <w14:schemeClr w14:val="tx1"/>
                  </w14:solidFill>
                </w14:textFill>
              </w:rPr>
              <w:t>目</w:t>
            </w:r>
            <w:r>
              <w:rPr>
                <w:rFonts w:hint="eastAsia" w:ascii="Times New Roman" w:hAnsi="Times New Roman"/>
                <w:color w:val="000000" w:themeColor="text1"/>
                <w:kern w:val="0"/>
                <w:sz w:val="24"/>
                <w14:textFill>
                  <w14:solidFill>
                    <w14:schemeClr w14:val="tx1"/>
                  </w14:solidFill>
                </w14:textFill>
              </w:rPr>
              <w:t>营运期噪声源主要是搅拌机、</w:t>
            </w:r>
            <w:r>
              <w:rPr>
                <w:rFonts w:hint="eastAsia" w:ascii="Times New Roman" w:hAnsi="Times New Roman"/>
                <w:color w:val="000000" w:themeColor="text1"/>
                <w:kern w:val="0"/>
                <w:sz w:val="24"/>
                <w:lang w:eastAsia="zh-CN"/>
                <w14:textFill>
                  <w14:solidFill>
                    <w14:schemeClr w14:val="tx1"/>
                  </w14:solidFill>
                </w14:textFill>
              </w:rPr>
              <w:t>砂石分离机</w:t>
            </w:r>
            <w:r>
              <w:rPr>
                <w:rFonts w:hint="eastAsia" w:ascii="Times New Roman" w:hAnsi="Times New Roman"/>
                <w:color w:val="000000" w:themeColor="text1"/>
                <w:kern w:val="0"/>
                <w:sz w:val="24"/>
                <w14:textFill>
                  <w14:solidFill>
                    <w14:schemeClr w14:val="tx1"/>
                  </w14:solidFill>
                </w14:textFill>
              </w:rPr>
              <w:t>、铲车等设备运行产生的噪声</w:t>
            </w:r>
            <w:r>
              <w:rPr>
                <w:rFonts w:hint="eastAsia" w:ascii="Times New Roman" w:hAnsi="Times New Roman"/>
                <w:color w:val="000000" w:themeColor="text1"/>
                <w:kern w:val="0"/>
                <w:sz w:val="24"/>
                <w:lang w:eastAsia="zh-CN"/>
                <w14:textFill>
                  <w14:solidFill>
                    <w14:schemeClr w14:val="tx1"/>
                  </w14:solidFill>
                </w14:textFill>
              </w:rPr>
              <w:t>及风机运行时产生的空气动力性噪声</w:t>
            </w:r>
            <w:r>
              <w:rPr>
                <w:rFonts w:hint="eastAsia" w:ascii="Times New Roman" w:hAnsi="Times New Roman"/>
                <w:color w:val="000000" w:themeColor="text1"/>
                <w:kern w:val="0"/>
                <w:sz w:val="24"/>
                <w14:textFill>
                  <w14:solidFill>
                    <w14:schemeClr w14:val="tx1"/>
                  </w14:solidFill>
                </w14:textFill>
              </w:rPr>
              <w:t>，其声级值约为70~85dB（A）。各设备噪声源强详见表</w:t>
            </w:r>
            <w:r>
              <w:rPr>
                <w:rFonts w:hint="eastAsia"/>
                <w:color w:val="000000" w:themeColor="text1"/>
                <w:kern w:val="0"/>
                <w:sz w:val="24"/>
                <w:lang w:val="en-US" w:eastAsia="zh-CN"/>
                <w14:textFill>
                  <w14:solidFill>
                    <w14:schemeClr w14:val="tx1"/>
                  </w14:solidFill>
                </w14:textFill>
              </w:rPr>
              <w:t>4-12</w:t>
            </w:r>
            <w:r>
              <w:rPr>
                <w:rFonts w:hint="eastAsia" w:ascii="Times New Roman" w:hAnsi="Times New Roman"/>
                <w:color w:val="000000" w:themeColor="text1"/>
                <w:kern w:val="0"/>
                <w:sz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olor w:val="000000" w:themeColor="text1"/>
                <w:kern w:val="0"/>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olor w:val="000000" w:themeColor="text1"/>
                <w:kern w:val="0"/>
                <w:sz w:val="24"/>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val="0"/>
              <w:snapToGrid w:val="0"/>
              <w:spacing w:line="40" w:lineRule="atLeast"/>
              <w:ind w:left="0" w:leftChars="0" w:right="0" w:rightChars="0" w:firstLine="0" w:firstLineChars="0"/>
              <w:jc w:val="left"/>
              <w:textAlignment w:val="auto"/>
              <w:outlineLvl w:val="9"/>
              <w:rPr>
                <w:color w:val="000000" w:themeColor="text1"/>
                <w:sz w:val="24"/>
                <w14:textFill>
                  <w14:solidFill>
                    <w14:schemeClr w14:val="tx1"/>
                  </w14:solidFill>
                </w14:textFill>
              </w:rPr>
            </w:pPr>
          </w:p>
        </w:tc>
      </w:tr>
    </w:tbl>
    <w:p>
      <w:pPr>
        <w:adjustRightInd w:val="0"/>
        <w:snapToGrid w:val="0"/>
        <w:spacing w:line="360" w:lineRule="auto"/>
        <w:rPr>
          <w:rFonts w:cs="宋体"/>
          <w:b/>
          <w:color w:val="000000" w:themeColor="text1"/>
          <w:kern w:val="0"/>
          <w:sz w:val="28"/>
          <w:szCs w:val="28"/>
          <w14:textFill>
            <w14:solidFill>
              <w14:schemeClr w14:val="tx1"/>
            </w14:solidFill>
          </w14:textFill>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9"/>
        <w:gridCol w:w="127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9" w:type="dxa"/>
          </w:tcPr>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rPr>
                <w:color w:val="000000" w:themeColor="text1"/>
                <w:vertAlign w:val="baseline"/>
                <w14:textFill>
                  <w14:solidFill>
                    <w14:schemeClr w14:val="tx1"/>
                  </w14:solidFill>
                </w14:textFill>
              </w:rPr>
            </w:pPr>
          </w:p>
        </w:tc>
        <w:tc>
          <w:tcPr>
            <w:tcW w:w="12759" w:type="dxa"/>
          </w:tcPr>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表4-1</w:t>
            </w:r>
            <w:r>
              <w:rPr>
                <w:rFonts w:hint="eastAsia"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本项目噪声源强调查清单（室外声源）  单位：声 dB(A)、距离 m</w:t>
            </w:r>
          </w:p>
          <w:tbl>
            <w:tblPr>
              <w:tblStyle w:val="95"/>
              <w:tblW w:w="5011" w:type="pct"/>
              <w:tblInd w:w="-3" w:type="dxa"/>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Layout w:type="autofit"/>
              <w:tblCellMar>
                <w:top w:w="0" w:type="dxa"/>
                <w:left w:w="0" w:type="dxa"/>
                <w:bottom w:w="0" w:type="dxa"/>
                <w:right w:w="0" w:type="dxa"/>
              </w:tblCellMar>
            </w:tblPr>
            <w:tblGrid>
              <w:gridCol w:w="660"/>
              <w:gridCol w:w="2567"/>
              <w:gridCol w:w="955"/>
              <w:gridCol w:w="1021"/>
              <w:gridCol w:w="1360"/>
              <w:gridCol w:w="1403"/>
              <w:gridCol w:w="1802"/>
              <w:gridCol w:w="1393"/>
              <w:gridCol w:w="1400"/>
            </w:tblGrid>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385" w:hRule="atLeast"/>
              </w:trPr>
              <w:tc>
                <w:tcPr>
                  <w:tcW w:w="263"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5"/>
                      <w:sz w:val="21"/>
                      <w:szCs w:val="21"/>
                      <w14:textFill>
                        <w14:solidFill>
                          <w14:schemeClr w14:val="tx1"/>
                        </w14:solidFill>
                      </w14:textFill>
                    </w:rPr>
                    <w:t>序号</w:t>
                  </w:r>
                </w:p>
              </w:tc>
              <w:tc>
                <w:tcPr>
                  <w:tcW w:w="1021"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声源名称</w:t>
                  </w:r>
                </w:p>
              </w:tc>
              <w:tc>
                <w:tcPr>
                  <w:tcW w:w="380"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设备数量</w:t>
                  </w:r>
                </w:p>
              </w:tc>
              <w:tc>
                <w:tcPr>
                  <w:tcW w:w="1505" w:type="pct"/>
                  <w:gridSpan w:val="3"/>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空间相对位置/m</w:t>
                  </w:r>
                </w:p>
              </w:tc>
              <w:tc>
                <w:tcPr>
                  <w:tcW w:w="717"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声源源强</w:t>
                  </w:r>
                </w:p>
              </w:tc>
              <w:tc>
                <w:tcPr>
                  <w:tcW w:w="554"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7"/>
                      <w:sz w:val="21"/>
                      <w:szCs w:val="21"/>
                      <w14:textFill>
                        <w14:solidFill>
                          <w14:schemeClr w14:val="tx1"/>
                        </w14:solidFill>
                      </w14:textFill>
                    </w:rPr>
                    <w:t>声源控制措</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1"/>
                      <w:sz w:val="21"/>
                      <w:szCs w:val="21"/>
                      <w14:textFill>
                        <w14:solidFill>
                          <w14:schemeClr w14:val="tx1"/>
                        </w14:solidFill>
                      </w14:textFill>
                    </w:rPr>
                    <w:t>施</w:t>
                  </w:r>
                </w:p>
              </w:tc>
              <w:tc>
                <w:tcPr>
                  <w:tcW w:w="557"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pacing w:val="7"/>
                      <w:sz w:val="21"/>
                      <w:szCs w:val="21"/>
                      <w14:textFill>
                        <w14:solidFill>
                          <w14:schemeClr w14:val="tx1"/>
                        </w14:solidFill>
                      </w14:textFill>
                    </w:rPr>
                    <w:t>运行时段</w:t>
                  </w:r>
                </w:p>
              </w:tc>
            </w:tr>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263"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1021"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380"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406"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X</w:t>
                  </w:r>
                </w:p>
              </w:tc>
              <w:tc>
                <w:tcPr>
                  <w:tcW w:w="54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Y</w:t>
                  </w:r>
                </w:p>
              </w:tc>
              <w:tc>
                <w:tcPr>
                  <w:tcW w:w="55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Z</w:t>
                  </w:r>
                </w:p>
              </w:tc>
              <w:tc>
                <w:tcPr>
                  <w:tcW w:w="717"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554"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c>
                <w:tcPr>
                  <w:tcW w:w="557"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263"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102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pacing w:val="5"/>
                      <w:sz w:val="21"/>
                      <w:szCs w:val="21"/>
                      <w14:textFill>
                        <w14:solidFill>
                          <w14:schemeClr w14:val="tx1"/>
                        </w14:solidFill>
                      </w14:textFill>
                    </w:rPr>
                    <w:t>风机</w:t>
                  </w:r>
                </w:p>
              </w:tc>
              <w:tc>
                <w:tcPr>
                  <w:tcW w:w="38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406"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123</w:t>
                  </w:r>
                </w:p>
              </w:tc>
              <w:tc>
                <w:tcPr>
                  <w:tcW w:w="54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38</w:t>
                  </w:r>
                </w:p>
              </w:tc>
              <w:tc>
                <w:tcPr>
                  <w:tcW w:w="55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71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80</w:t>
                  </w:r>
                </w:p>
              </w:tc>
              <w:tc>
                <w:tcPr>
                  <w:tcW w:w="554"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7"/>
                      <w:sz w:val="21"/>
                      <w:szCs w:val="21"/>
                      <w14:textFill>
                        <w14:solidFill>
                          <w14:schemeClr w14:val="tx1"/>
                        </w14:solidFill>
                      </w14:textFill>
                    </w:rPr>
                    <w:t>基础减震</w:t>
                  </w:r>
                </w:p>
              </w:tc>
              <w:tc>
                <w:tcPr>
                  <w:tcW w:w="557" w:type="pct"/>
                  <w:vMerge w:val="restart"/>
                  <w:tcBorders>
                    <w:bottom w:val="nil"/>
                  </w:tcBorders>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4"/>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4"/>
                      <w:sz w:val="21"/>
                      <w:szCs w:val="21"/>
                      <w:lang w:val="en-US" w:eastAsia="zh-CN"/>
                      <w14:textFill>
                        <w14:solidFill>
                          <w14:schemeClr w14:val="tx1"/>
                        </w14:solidFill>
                      </w14:textFill>
                    </w:rPr>
                    <w:t>8：00—20:00</w:t>
                  </w:r>
                </w:p>
              </w:tc>
            </w:tr>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263"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102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cs="Times New Roman"/>
                      <w:color w:val="000000" w:themeColor="text1"/>
                      <w:spacing w:val="5"/>
                      <w:sz w:val="21"/>
                      <w:szCs w:val="21"/>
                      <w:lang w:val="en-US" w:eastAsia="zh-CN"/>
                      <w14:textFill>
                        <w14:solidFill>
                          <w14:schemeClr w14:val="tx1"/>
                        </w14:solidFill>
                      </w14:textFill>
                    </w:rPr>
                    <w:t>循环水泵</w:t>
                  </w:r>
                </w:p>
              </w:tc>
              <w:tc>
                <w:tcPr>
                  <w:tcW w:w="38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406"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141</w:t>
                  </w:r>
                </w:p>
              </w:tc>
              <w:tc>
                <w:tcPr>
                  <w:tcW w:w="54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43</w:t>
                  </w:r>
                </w:p>
              </w:tc>
              <w:tc>
                <w:tcPr>
                  <w:tcW w:w="55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71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75</w:t>
                  </w:r>
                </w:p>
              </w:tc>
              <w:tc>
                <w:tcPr>
                  <w:tcW w:w="554"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pacing w:val="7"/>
                      <w:sz w:val="21"/>
                      <w:szCs w:val="21"/>
                      <w14:textFill>
                        <w14:solidFill>
                          <w14:schemeClr w14:val="tx1"/>
                        </w14:solidFill>
                      </w14:textFill>
                    </w:rPr>
                    <w:t>基础减震</w:t>
                  </w:r>
                </w:p>
              </w:tc>
              <w:tc>
                <w:tcPr>
                  <w:tcW w:w="557" w:type="pct"/>
                  <w:vMerge w:val="continue"/>
                  <w:tcBorders>
                    <w:top w:val="nil"/>
                    <w:bottom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263"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3</w:t>
                  </w:r>
                </w:p>
              </w:tc>
              <w:tc>
                <w:tcPr>
                  <w:tcW w:w="102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5"/>
                      <w:sz w:val="21"/>
                      <w:szCs w:val="21"/>
                      <w14:textFill>
                        <w14:solidFill>
                          <w14:schemeClr w14:val="tx1"/>
                        </w14:solidFill>
                      </w14:textFill>
                    </w:rPr>
                  </w:pPr>
                  <w:r>
                    <w:rPr>
                      <w:rFonts w:hint="eastAsia" w:ascii="Times New Roman" w:hAnsi="Times New Roman" w:eastAsia="宋体" w:cs="Times New Roman"/>
                      <w:color w:val="000000" w:themeColor="text1"/>
                      <w:spacing w:val="7"/>
                      <w:sz w:val="21"/>
                      <w:szCs w:val="21"/>
                      <w:lang w:val="en-US" w:eastAsia="zh-CN"/>
                      <w14:textFill>
                        <w14:solidFill>
                          <w14:schemeClr w14:val="tx1"/>
                        </w14:solidFill>
                      </w14:textFill>
                    </w:rPr>
                    <w:t>污水处理站</w:t>
                  </w:r>
                  <w:r>
                    <w:rPr>
                      <w:rFonts w:hint="default" w:ascii="Times New Roman" w:hAnsi="Times New Roman" w:eastAsia="宋体" w:cs="Times New Roman"/>
                      <w:color w:val="000000" w:themeColor="text1"/>
                      <w:spacing w:val="7"/>
                      <w:sz w:val="21"/>
                      <w:szCs w:val="21"/>
                      <w14:textFill>
                        <w14:solidFill>
                          <w14:schemeClr w14:val="tx1"/>
                        </w14:solidFill>
                      </w14:textFill>
                    </w:rPr>
                    <w:t>水泵</w:t>
                  </w:r>
                </w:p>
              </w:tc>
              <w:tc>
                <w:tcPr>
                  <w:tcW w:w="38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406"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143</w:t>
                  </w:r>
                </w:p>
              </w:tc>
              <w:tc>
                <w:tcPr>
                  <w:tcW w:w="54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48</w:t>
                  </w:r>
                </w:p>
              </w:tc>
              <w:tc>
                <w:tcPr>
                  <w:tcW w:w="55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71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75</w:t>
                  </w:r>
                </w:p>
              </w:tc>
              <w:tc>
                <w:tcPr>
                  <w:tcW w:w="554"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7"/>
                      <w:sz w:val="21"/>
                      <w:szCs w:val="21"/>
                      <w14:textFill>
                        <w14:solidFill>
                          <w14:schemeClr w14:val="tx1"/>
                        </w14:solidFill>
                      </w14:textFill>
                    </w:rPr>
                  </w:pPr>
                  <w:r>
                    <w:rPr>
                      <w:rFonts w:hint="default" w:ascii="Times New Roman" w:hAnsi="Times New Roman" w:eastAsia="宋体" w:cs="Times New Roman"/>
                      <w:color w:val="000000" w:themeColor="text1"/>
                      <w:spacing w:val="7"/>
                      <w:sz w:val="21"/>
                      <w:szCs w:val="21"/>
                      <w14:textFill>
                        <w14:solidFill>
                          <w14:schemeClr w14:val="tx1"/>
                        </w14:solidFill>
                      </w14:textFill>
                    </w:rPr>
                    <w:t>基础减震</w:t>
                  </w:r>
                </w:p>
              </w:tc>
              <w:tc>
                <w:tcPr>
                  <w:tcW w:w="557" w:type="pct"/>
                  <w:vMerge w:val="continue"/>
                  <w:tcBorders>
                    <w:top w:val="nil"/>
                    <w:bottom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263"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4</w:t>
                  </w:r>
                </w:p>
              </w:tc>
              <w:tc>
                <w:tcPr>
                  <w:tcW w:w="102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5"/>
                      <w:sz w:val="21"/>
                      <w:szCs w:val="21"/>
                      <w14:textFill>
                        <w14:solidFill>
                          <w14:schemeClr w14:val="tx1"/>
                        </w14:solidFill>
                      </w14:textFill>
                    </w:rPr>
                  </w:pPr>
                  <w:r>
                    <w:rPr>
                      <w:rFonts w:hint="eastAsia" w:ascii="Times New Roman" w:hAnsi="Times New Roman" w:eastAsia="宋体" w:cs="Times New Roman"/>
                      <w:color w:val="000000" w:themeColor="text1"/>
                      <w:spacing w:val="7"/>
                      <w:sz w:val="21"/>
                      <w:szCs w:val="21"/>
                      <w:lang w:val="en-US" w:eastAsia="zh-CN"/>
                      <w14:textFill>
                        <w14:solidFill>
                          <w14:schemeClr w14:val="tx1"/>
                        </w14:solidFill>
                      </w14:textFill>
                    </w:rPr>
                    <w:t>污水处理站</w:t>
                  </w:r>
                  <w:r>
                    <w:rPr>
                      <w:rFonts w:hint="default" w:ascii="Times New Roman" w:hAnsi="Times New Roman" w:eastAsia="宋体" w:cs="Times New Roman"/>
                      <w:color w:val="000000" w:themeColor="text1"/>
                      <w:spacing w:val="7"/>
                      <w:sz w:val="21"/>
                      <w:szCs w:val="21"/>
                      <w14:textFill>
                        <w14:solidFill>
                          <w14:schemeClr w14:val="tx1"/>
                        </w14:solidFill>
                      </w14:textFill>
                    </w:rPr>
                    <w:t>水泵</w:t>
                  </w:r>
                </w:p>
              </w:tc>
              <w:tc>
                <w:tcPr>
                  <w:tcW w:w="38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406"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142</w:t>
                  </w:r>
                </w:p>
              </w:tc>
              <w:tc>
                <w:tcPr>
                  <w:tcW w:w="541"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1"/>
                      <w:sz w:val="21"/>
                      <w:szCs w:val="21"/>
                      <w:lang w:val="en-US" w:eastAsia="zh-CN"/>
                      <w14:textFill>
                        <w14:solidFill>
                          <w14:schemeClr w14:val="tx1"/>
                        </w14:solidFill>
                      </w14:textFill>
                    </w:rPr>
                  </w:pPr>
                  <w:r>
                    <w:rPr>
                      <w:rFonts w:hint="eastAsia" w:ascii="Times New Roman" w:hAnsi="Times New Roman" w:cs="Times New Roman"/>
                      <w:color w:val="000000" w:themeColor="text1"/>
                      <w:spacing w:val="1"/>
                      <w:sz w:val="21"/>
                      <w:szCs w:val="21"/>
                      <w:lang w:val="en-US" w:eastAsia="zh-CN"/>
                      <w14:textFill>
                        <w14:solidFill>
                          <w14:schemeClr w14:val="tx1"/>
                        </w14:solidFill>
                      </w14:textFill>
                    </w:rPr>
                    <w:t>51</w:t>
                  </w:r>
                </w:p>
              </w:tc>
              <w:tc>
                <w:tcPr>
                  <w:tcW w:w="55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w:t>
                  </w:r>
                </w:p>
              </w:tc>
              <w:tc>
                <w:tcPr>
                  <w:tcW w:w="717"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75</w:t>
                  </w:r>
                </w:p>
              </w:tc>
              <w:tc>
                <w:tcPr>
                  <w:tcW w:w="554"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7"/>
                      <w:sz w:val="21"/>
                      <w:szCs w:val="21"/>
                      <w14:textFill>
                        <w14:solidFill>
                          <w14:schemeClr w14:val="tx1"/>
                        </w14:solidFill>
                      </w14:textFill>
                    </w:rPr>
                  </w:pPr>
                  <w:r>
                    <w:rPr>
                      <w:rFonts w:hint="default" w:ascii="Times New Roman" w:hAnsi="Times New Roman" w:eastAsia="宋体" w:cs="Times New Roman"/>
                      <w:color w:val="000000" w:themeColor="text1"/>
                      <w:spacing w:val="7"/>
                      <w:sz w:val="21"/>
                      <w:szCs w:val="21"/>
                      <w14:textFill>
                        <w14:solidFill>
                          <w14:schemeClr w14:val="tx1"/>
                        </w14:solidFill>
                      </w14:textFill>
                    </w:rPr>
                    <w:t>基础减震</w:t>
                  </w:r>
                </w:p>
              </w:tc>
              <w:tc>
                <w:tcPr>
                  <w:tcW w:w="557" w:type="pct"/>
                  <w:vMerge w:val="continue"/>
                  <w:tcBorders>
                    <w:top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color w:val="000000" w:themeColor="text1"/>
                      <w:sz w:val="21"/>
                      <w:szCs w:val="21"/>
                      <w14:textFill>
                        <w14:solidFill>
                          <w14:schemeClr w14:val="tx1"/>
                        </w14:solidFill>
                      </w14:textFill>
                    </w:rPr>
                  </w:pPr>
                </w:p>
              </w:tc>
            </w:tr>
          </w:tbl>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表4-1</w:t>
            </w:r>
            <w:r>
              <w:rPr>
                <w:rFonts w:hint="eastAsia" w:eastAsia="宋体" w:cs="Times New Roman"/>
                <w:color w:val="000000" w:themeColor="text1"/>
                <w:sz w:val="24"/>
                <w:szCs w:val="24"/>
                <w:lang w:val="en-US" w:eastAsia="zh-CN"/>
                <w14:textFill>
                  <w14:solidFill>
                    <w14:schemeClr w14:val="tx1"/>
                  </w14:solidFill>
                </w14:textFill>
              </w:rPr>
              <w:t>3</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本项目噪声源强调查清单（室内声源）  单位：声 dB(A)、距离 m</w:t>
            </w:r>
          </w:p>
          <w:tbl>
            <w:tblPr>
              <w:tblStyle w:val="9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46"/>
              <w:gridCol w:w="782"/>
              <w:gridCol w:w="881"/>
              <w:gridCol w:w="454"/>
              <w:gridCol w:w="1089"/>
              <w:gridCol w:w="1003"/>
              <w:gridCol w:w="597"/>
              <w:gridCol w:w="682"/>
              <w:gridCol w:w="462"/>
              <w:gridCol w:w="758"/>
              <w:gridCol w:w="685"/>
              <w:gridCol w:w="903"/>
              <w:gridCol w:w="1041"/>
              <w:gridCol w:w="951"/>
              <w:gridCol w:w="760"/>
              <w:gridCol w:w="10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01" w:hRule="atLeast"/>
              </w:trPr>
              <w:tc>
                <w:tcPr>
                  <w:tcW w:w="178" w:type="pct"/>
                  <w:vMerge w:val="restart"/>
                  <w:textDirection w:val="tbRlV"/>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b/>
                      <w:bCs/>
                      <w:color w:val="000000" w:themeColor="text1"/>
                      <w:spacing w:val="6"/>
                      <w:sz w:val="21"/>
                      <w:szCs w:val="21"/>
                      <w:lang w:eastAsia="zh-CN"/>
                      <w14:textFill>
                        <w14:solidFill>
                          <w14:schemeClr w14:val="tx1"/>
                        </w14:solidFill>
                      </w14:textFill>
                    </w:rPr>
                  </w:pPr>
                  <w:r>
                    <w:rPr>
                      <w:rFonts w:hint="eastAsia" w:ascii="Times New Roman" w:hAnsi="Times New Roman" w:eastAsia="宋体" w:cs="Times New Roman"/>
                      <w:b/>
                      <w:bCs/>
                      <w:color w:val="000000" w:themeColor="text1"/>
                      <w:spacing w:val="6"/>
                      <w:sz w:val="21"/>
                      <w:szCs w:val="21"/>
                      <w:lang w:val="en-US" w:eastAsia="zh-CN"/>
                      <w14:textFill>
                        <w14:solidFill>
                          <w14:schemeClr w14:val="tx1"/>
                        </w14:solidFill>
                      </w14:textFill>
                    </w:rPr>
                    <w:t>序号</w:t>
                  </w:r>
                </w:p>
              </w:tc>
              <w:tc>
                <w:tcPr>
                  <w:tcW w:w="31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建筑</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物名</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称</w:t>
                  </w: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声源名称</w:t>
                  </w:r>
                </w:p>
              </w:tc>
              <w:tc>
                <w:tcPr>
                  <w:tcW w:w="181" w:type="pct"/>
                  <w:vMerge w:val="restart"/>
                  <w:textDirection w:val="tbRlV"/>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数 量</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声源源强</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(声功率</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级)</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声源控</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制措施</w:t>
                  </w:r>
                </w:p>
              </w:tc>
              <w:tc>
                <w:tcPr>
                  <w:tcW w:w="694" w:type="pct"/>
                  <w:gridSpan w:val="3"/>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空间相对位置</w:t>
                  </w:r>
                </w:p>
              </w:tc>
              <w:tc>
                <w:tcPr>
                  <w:tcW w:w="575" w:type="pct"/>
                  <w:gridSpan w:val="2"/>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距离室内边</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界最近距离</w:t>
                  </w:r>
                </w:p>
              </w:tc>
              <w:tc>
                <w:tcPr>
                  <w:tcW w:w="36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室内边界声级</w:t>
                  </w:r>
                </w:p>
              </w:tc>
              <w:tc>
                <w:tcPr>
                  <w:tcW w:w="415"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运行</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时段</w:t>
                  </w:r>
                </w:p>
              </w:tc>
              <w:tc>
                <w:tcPr>
                  <w:tcW w:w="379"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建筑物插入损失</w:t>
                  </w:r>
                </w:p>
              </w:tc>
              <w:tc>
                <w:tcPr>
                  <w:tcW w:w="715" w:type="pct"/>
                  <w:gridSpan w:val="2"/>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建筑外噪声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9" w:hRule="atLeast"/>
              </w:trPr>
              <w:tc>
                <w:tcPr>
                  <w:tcW w:w="178" w:type="pct"/>
                  <w:vMerge w:val="continue"/>
                  <w:textDirection w:val="tbRlV"/>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181" w:type="pct"/>
                  <w:vMerge w:val="continue"/>
                  <w:textDirection w:val="tbRlV"/>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238"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X</w:t>
                  </w:r>
                </w:p>
              </w:tc>
              <w:tc>
                <w:tcPr>
                  <w:tcW w:w="27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Y</w:t>
                  </w:r>
                </w:p>
              </w:tc>
              <w:tc>
                <w:tcPr>
                  <w:tcW w:w="184"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Z</w:t>
                  </w:r>
                </w:p>
              </w:tc>
              <w:tc>
                <w:tcPr>
                  <w:tcW w:w="575" w:type="pct"/>
                  <w:gridSpan w:val="2"/>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36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p>
              </w:tc>
              <w:tc>
                <w:tcPr>
                  <w:tcW w:w="303"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声压级</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建筑物</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b/>
                      <w:bCs/>
                      <w:color w:val="000000" w:themeColor="text1"/>
                      <w:spacing w:val="6"/>
                      <w:sz w:val="21"/>
                      <w:szCs w:val="21"/>
                      <w14:textFill>
                        <w14:solidFill>
                          <w14:schemeClr w14:val="tx1"/>
                        </w14:solidFill>
                      </w14:textFill>
                    </w:rPr>
                  </w:pPr>
                  <w:r>
                    <w:rPr>
                      <w:rFonts w:hint="default" w:ascii="Times New Roman" w:hAnsi="Times New Roman" w:eastAsia="宋体" w:cs="Times New Roman"/>
                      <w:b/>
                      <w:bCs/>
                      <w:color w:val="000000" w:themeColor="text1"/>
                      <w:spacing w:val="6"/>
                      <w:sz w:val="21"/>
                      <w:szCs w:val="21"/>
                      <w14:textFill>
                        <w14:solidFill>
                          <w14:schemeClr w14:val="tx1"/>
                        </w14:solidFill>
                      </w14:textFill>
                    </w:rPr>
                    <w:t>距离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5" w:hRule="atLeast"/>
              </w:trPr>
              <w:tc>
                <w:tcPr>
                  <w:tcW w:w="17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1</w:t>
                  </w:r>
                </w:p>
              </w:tc>
              <w:tc>
                <w:tcPr>
                  <w:tcW w:w="31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生产车间</w:t>
                  </w: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离心机</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85</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36</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90</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38</w:t>
                  </w:r>
                </w:p>
              </w:tc>
              <w:tc>
                <w:tcPr>
                  <w:tcW w:w="36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53.4</w:t>
                  </w:r>
                </w:p>
              </w:tc>
              <w:tc>
                <w:tcPr>
                  <w:tcW w:w="415"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8</w:t>
                  </w:r>
                  <w:r>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t>：</w:t>
                  </w:r>
                  <w:r>
                    <w:rPr>
                      <w:rFonts w:hint="default" w:ascii="Times New Roman" w:hAnsi="Times New Roman" w:eastAsia="宋体" w:cs="Times New Roman"/>
                      <w:color w:val="000000" w:themeColor="text1"/>
                      <w:spacing w:val="6"/>
                      <w:sz w:val="21"/>
                      <w:szCs w:val="21"/>
                      <w14:textFill>
                        <w14:solidFill>
                          <w14:schemeClr w14:val="tx1"/>
                        </w14:solidFill>
                      </w14:textFill>
                    </w:rPr>
                    <w:t>00</w:t>
                  </w:r>
                  <w:r>
                    <w:rPr>
                      <w:rFonts w:hint="eastAsia" w:ascii="Times New Roman" w:hAnsi="Times New Roman" w:cs="Times New Roman"/>
                      <w:color w:val="000000" w:themeColor="text1"/>
                      <w:spacing w:val="6"/>
                      <w:sz w:val="21"/>
                      <w:szCs w:val="21"/>
                      <w:lang w:eastAsia="zh-CN"/>
                      <w14:textFill>
                        <w14:solidFill>
                          <w14:schemeClr w14:val="tx1"/>
                        </w14:solidFill>
                      </w14:textFill>
                    </w:rPr>
                    <w:t>—</w:t>
                  </w:r>
                  <w:r>
                    <w:rPr>
                      <w:rFonts w:hint="eastAsia" w:ascii="Times New Roman" w:hAnsi="Times New Roman" w:cs="Times New Roman"/>
                      <w:color w:val="000000" w:themeColor="text1"/>
                      <w:spacing w:val="6"/>
                      <w:sz w:val="21"/>
                      <w:szCs w:val="21"/>
                      <w:lang w:val="en-US" w:eastAsia="zh-CN"/>
                      <w14:textFill>
                        <w14:solidFill>
                          <w14:schemeClr w14:val="tx1"/>
                        </w14:solidFill>
                      </w14:textFill>
                    </w:rPr>
                    <w:t>20</w:t>
                  </w: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:00</w:t>
                  </w:r>
                </w:p>
              </w:tc>
              <w:tc>
                <w:tcPr>
                  <w:tcW w:w="379"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15</w:t>
                  </w: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38.4</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3"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58.1</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43.1</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3"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14</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62.07</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47.07</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3</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75.5</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60.5</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喷雾干燥塔</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color w:val="000000" w:themeColor="text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30</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85</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32</w:t>
                  </w:r>
                </w:p>
              </w:tc>
              <w:tc>
                <w:tcPr>
                  <w:tcW w:w="36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49.9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34.9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20</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53.9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38.9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15</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56.5</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41.5</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73.9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58.9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2"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万能粉碎机</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23</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25</w:t>
                  </w:r>
                </w:p>
              </w:tc>
              <w:tc>
                <w:tcPr>
                  <w:tcW w:w="36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52.0</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37</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37</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48.6</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33.6</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4</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67.9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52.9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13</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57.7</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42.7</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旋振筛</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400" w:type="pct"/>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18</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20</w:t>
                  </w:r>
                </w:p>
              </w:tc>
              <w:tc>
                <w:tcPr>
                  <w:tcW w:w="36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53.9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38.9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42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47.5</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32.5</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5</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66.0</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51</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12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58.4</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43.4</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二维运动混合机</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15</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80</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20</w:t>
                  </w:r>
                </w:p>
              </w:tc>
              <w:tc>
                <w:tcPr>
                  <w:tcW w:w="360"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53.9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38.9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42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47.5</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32.5</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3</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70.5</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55.5</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14</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57</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42</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2</w:t>
                  </w:r>
                </w:p>
              </w:tc>
              <w:tc>
                <w:tcPr>
                  <w:tcW w:w="31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锅炉房</w:t>
                  </w:r>
                </w:p>
              </w:tc>
              <w:tc>
                <w:tcPr>
                  <w:tcW w:w="35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锅炉风机</w:t>
                  </w:r>
                </w:p>
              </w:tc>
              <w:tc>
                <w:tcPr>
                  <w:tcW w:w="181"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c>
                <w:tcPr>
                  <w:tcW w:w="43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75</w:t>
                  </w:r>
                </w:p>
              </w:tc>
              <w:tc>
                <w:tcPr>
                  <w:tcW w:w="400"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基础减</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震、厂房</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隔音</w:t>
                  </w:r>
                </w:p>
              </w:tc>
              <w:tc>
                <w:tcPr>
                  <w:tcW w:w="238"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38</w:t>
                  </w:r>
                </w:p>
              </w:tc>
              <w:tc>
                <w:tcPr>
                  <w:tcW w:w="272"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78</w:t>
                  </w:r>
                </w:p>
              </w:tc>
              <w:tc>
                <w:tcPr>
                  <w:tcW w:w="184"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cs="Times New Roman"/>
                      <w:color w:val="000000" w:themeColor="text1"/>
                      <w:spacing w:val="6"/>
                      <w:sz w:val="21"/>
                      <w:szCs w:val="21"/>
                      <w:lang w:val="en-US" w:eastAsia="zh-CN"/>
                      <w14:textFill>
                        <w14:solidFill>
                          <w14:schemeClr w14:val="tx1"/>
                        </w14:solidFill>
                      </w14:textFill>
                    </w:rPr>
                    <w:t>1</w:t>
                  </w: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东</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68.9</w:t>
                  </w:r>
                </w:p>
              </w:tc>
              <w:tc>
                <w:tcPr>
                  <w:tcW w:w="415"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8</w:t>
                  </w:r>
                  <w:r>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t>：</w:t>
                  </w:r>
                  <w:r>
                    <w:rPr>
                      <w:rFonts w:hint="default" w:ascii="Times New Roman" w:hAnsi="Times New Roman" w:eastAsia="宋体" w:cs="Times New Roman"/>
                      <w:color w:val="000000" w:themeColor="text1"/>
                      <w:spacing w:val="6"/>
                      <w:sz w:val="21"/>
                      <w:szCs w:val="21"/>
                      <w14:textFill>
                        <w14:solidFill>
                          <w14:schemeClr w14:val="tx1"/>
                        </w14:solidFill>
                      </w14:textFill>
                    </w:rPr>
                    <w:t>00-</w:t>
                  </w: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12:00</w:t>
                  </w:r>
                </w:p>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14</w:t>
                  </w:r>
                  <w:r>
                    <w:rPr>
                      <w:rFonts w:hint="eastAsia" w:ascii="Times New Roman" w:hAnsi="Times New Roman" w:eastAsia="宋体" w:cs="Times New Roman"/>
                      <w:color w:val="000000" w:themeColor="text1"/>
                      <w:spacing w:val="6"/>
                      <w:sz w:val="21"/>
                      <w:szCs w:val="21"/>
                      <w:lang w:eastAsia="zh-CN"/>
                      <w14:textFill>
                        <w14:solidFill>
                          <w14:schemeClr w14:val="tx1"/>
                        </w14:solidFill>
                      </w14:textFill>
                    </w:rPr>
                    <w:t>：</w:t>
                  </w:r>
                  <w:r>
                    <w:rPr>
                      <w:rFonts w:hint="default" w:ascii="Times New Roman" w:hAnsi="Times New Roman" w:eastAsia="宋体" w:cs="Times New Roman"/>
                      <w:color w:val="000000" w:themeColor="text1"/>
                      <w:spacing w:val="6"/>
                      <w:sz w:val="21"/>
                      <w:szCs w:val="21"/>
                      <w14:textFill>
                        <w14:solidFill>
                          <w14:schemeClr w14:val="tx1"/>
                        </w14:solidFill>
                      </w14:textFill>
                    </w:rPr>
                    <w:t>00-</w:t>
                  </w: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18:00</w:t>
                  </w:r>
                </w:p>
              </w:tc>
              <w:tc>
                <w:tcPr>
                  <w:tcW w:w="379" w:type="pct"/>
                  <w:vMerge w:val="restar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default" w:ascii="Times New Roman" w:hAnsi="Times New Roman" w:eastAsia="宋体" w:cs="Times New Roman"/>
                      <w:color w:val="000000" w:themeColor="text1"/>
                      <w:spacing w:val="6"/>
                      <w:sz w:val="21"/>
                      <w:szCs w:val="21"/>
                      <w14:textFill>
                        <w14:solidFill>
                          <w14:schemeClr w14:val="tx1"/>
                        </w14:solidFill>
                      </w14:textFill>
                    </w:rPr>
                    <w:t>15</w:t>
                  </w: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53.9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西</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68.9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53.9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68.9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53.9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 w:hRule="atLeast"/>
              </w:trPr>
              <w:tc>
                <w:tcPr>
                  <w:tcW w:w="17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1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5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1"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3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400"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38"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272"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184"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0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北</w:t>
                  </w:r>
                </w:p>
              </w:tc>
              <w:tc>
                <w:tcPr>
                  <w:tcW w:w="27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default" w:ascii="Times New Roman" w:hAnsi="Times New Roman" w:eastAsia="宋体" w:cs="Times New Roman"/>
                      <w:color w:val="000000" w:themeColor="text1"/>
                      <w:spacing w:val="6"/>
                      <w:kern w:val="2"/>
                      <w:sz w:val="21"/>
                      <w:szCs w:val="21"/>
                      <w:lang w:val="en-US" w:eastAsia="zh-CN" w:bidi="ar-SA"/>
                      <w14:textFill>
                        <w14:solidFill>
                          <w14:schemeClr w14:val="tx1"/>
                        </w14:solidFill>
                      </w14:textFill>
                    </w:rPr>
                  </w:pPr>
                  <w:r>
                    <w:rPr>
                      <w:rFonts w:hint="eastAsia" w:cs="Times New Roman"/>
                      <w:color w:val="000000" w:themeColor="text1"/>
                      <w:spacing w:val="6"/>
                      <w:kern w:val="2"/>
                      <w:sz w:val="21"/>
                      <w:szCs w:val="21"/>
                      <w:lang w:val="en-US" w:eastAsia="zh-CN" w:bidi="ar-SA"/>
                      <w14:textFill>
                        <w14:solidFill>
                          <w14:schemeClr w14:val="tx1"/>
                        </w14:solidFill>
                      </w14:textFill>
                    </w:rPr>
                    <w:t>2</w:t>
                  </w:r>
                </w:p>
              </w:tc>
              <w:tc>
                <w:tcPr>
                  <w:tcW w:w="360"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jc w:val="center"/>
                    <w:textAlignment w:val="auto"/>
                    <w:outlineLvl w:val="0"/>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cs="Times New Roman"/>
                      <w:color w:val="000000" w:themeColor="text1"/>
                      <w:spacing w:val="6"/>
                      <w:sz w:val="21"/>
                      <w:szCs w:val="21"/>
                      <w:lang w:val="en-US" w:eastAsia="zh-CN"/>
                      <w14:textFill>
                        <w14:solidFill>
                          <w14:schemeClr w14:val="tx1"/>
                        </w14:solidFill>
                      </w14:textFill>
                    </w:rPr>
                    <w:t>68.9</w:t>
                  </w:r>
                </w:p>
              </w:tc>
              <w:tc>
                <w:tcPr>
                  <w:tcW w:w="415"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379" w:type="pct"/>
                  <w:vMerge w:val="continue"/>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14:textFill>
                        <w14:solidFill>
                          <w14:schemeClr w14:val="tx1"/>
                        </w14:solidFill>
                      </w14:textFill>
                    </w:rPr>
                  </w:pPr>
                </w:p>
              </w:tc>
              <w:tc>
                <w:tcPr>
                  <w:tcW w:w="760" w:type="dxa"/>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53.9</w:t>
                  </w:r>
                </w:p>
              </w:tc>
              <w:tc>
                <w:tcPr>
                  <w:tcW w:w="412" w:type="pct"/>
                  <w:vAlign w:val="center"/>
                </w:tcPr>
                <w:p>
                  <w:pPr>
                    <w:pStyle w:val="94"/>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outlineLvl w:val="0"/>
                    <w:rPr>
                      <w:rFonts w:hint="default" w:ascii="Times New Roman" w:hAnsi="Times New Roman" w:eastAsia="宋体" w:cs="Times New Roman"/>
                      <w:color w:val="000000" w:themeColor="text1"/>
                      <w:spacing w:val="6"/>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pacing w:val="6"/>
                      <w:sz w:val="21"/>
                      <w:szCs w:val="21"/>
                      <w:lang w:val="en-US" w:eastAsia="zh-CN"/>
                      <w14:textFill>
                        <w14:solidFill>
                          <w14:schemeClr w14:val="tx1"/>
                        </w14:solidFill>
                      </w14:textFill>
                    </w:rPr>
                    <w:t>1</w:t>
                  </w:r>
                </w:p>
              </w:tc>
            </w:tr>
          </w:tbl>
          <w:p>
            <w:pPr>
              <w:pStyle w:val="25"/>
              <w:ind w:left="0" w:leftChars="0" w:firstLine="0" w:firstLineChars="0"/>
              <w:rPr>
                <w:color w:val="000000" w:themeColor="text1"/>
                <w:vertAlign w:val="baseline"/>
                <w14:textFill>
                  <w14:solidFill>
                    <w14:schemeClr w14:val="tx1"/>
                  </w14:solidFill>
                </w14:textFill>
              </w:rPr>
            </w:pPr>
          </w:p>
        </w:tc>
      </w:tr>
    </w:tbl>
    <w:p>
      <w:pPr>
        <w:pStyle w:val="25"/>
        <w:ind w:left="0" w:leftChars="0" w:firstLine="0" w:firstLineChars="0"/>
        <w:rPr>
          <w:color w:val="000000" w:themeColor="text1"/>
          <w14:textFill>
            <w14:solidFill>
              <w14:schemeClr w14:val="tx1"/>
            </w14:solidFill>
          </w14:textFill>
        </w:rPr>
      </w:pPr>
    </w:p>
    <w:p>
      <w:pPr>
        <w:pStyle w:val="25"/>
        <w:ind w:left="0" w:leftChars="0" w:firstLine="0" w:firstLineChars="0"/>
        <w:rPr>
          <w:rFonts w:cs="宋体"/>
          <w:b/>
          <w:color w:val="000000" w:themeColor="text1"/>
          <w:kern w:val="0"/>
          <w:sz w:val="28"/>
          <w:szCs w:val="28"/>
          <w14:textFill>
            <w14:solidFill>
              <w14:schemeClr w14:val="tx1"/>
            </w14:solidFill>
          </w14:textFill>
        </w:rPr>
        <w:sectPr>
          <w:pgSz w:w="16840" w:h="11907" w:orient="landscape"/>
          <w:pgMar w:top="1531" w:right="1701" w:bottom="1531" w:left="2127" w:header="851" w:footer="850" w:gutter="0"/>
          <w:pgBorders>
            <w:top w:val="none" w:sz="0" w:space="0"/>
            <w:left w:val="none" w:sz="0" w:space="0"/>
            <w:bottom w:val="none" w:sz="0" w:space="0"/>
            <w:right w:val="none" w:sz="0" w:space="0"/>
          </w:pgBorders>
          <w:cols w:space="0" w:num="1"/>
          <w:rtlGutter w:val="0"/>
          <w:docGrid w:linePitch="312" w:charSpace="0"/>
        </w:sectPr>
      </w:pP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48"/>
        <w:gridCol w:w="85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8" w:type="dxa"/>
          </w:tcPr>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hint="eastAsia"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left="0" w:leftChars="0"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pStyle w:val="25"/>
              <w:keepNext w:val="0"/>
              <w:keepLines w:val="0"/>
              <w:pageBreakBefore w:val="0"/>
              <w:widowControl w:val="0"/>
              <w:kinsoku/>
              <w:wordWrap/>
              <w:overflowPunct/>
              <w:topLinePunct w:val="0"/>
              <w:autoSpaceDE/>
              <w:autoSpaceDN/>
              <w:bidi w:val="0"/>
              <w:snapToGrid w:val="0"/>
              <w:ind w:right="0" w:firstLine="0" w:firstLineChars="0"/>
              <w:textAlignment w:val="auto"/>
              <w:rPr>
                <w:rFonts w:cs="宋体"/>
                <w:bCs/>
                <w:color w:val="000000" w:themeColor="text1"/>
                <w:sz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运营</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期环</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境影</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响和</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保护</w:t>
            </w:r>
          </w:p>
          <w:p>
            <w:pPr>
              <w:keepNext w:val="0"/>
              <w:keepLines w:val="0"/>
              <w:pageBreakBefore w:val="0"/>
              <w:widowControl w:val="0"/>
              <w:kinsoku/>
              <w:wordWrap/>
              <w:overflowPunct/>
              <w:topLinePunct w:val="0"/>
              <w:autoSpaceDE/>
              <w:autoSpaceDN/>
              <w:bidi w:val="0"/>
              <w:adjustRightInd w:val="0"/>
              <w:snapToGrid w:val="0"/>
              <w:ind w:right="0" w:firstLine="0" w:firstLineChars="0"/>
              <w:jc w:val="center"/>
              <w:textAlignment w:val="auto"/>
              <w:rPr>
                <w:rFonts w:cs="宋体"/>
                <w:bCs/>
                <w:color w:val="000000" w:themeColor="text1"/>
                <w:sz w:val="24"/>
                <w14:textFill>
                  <w14:solidFill>
                    <w14:schemeClr w14:val="tx1"/>
                  </w14:solidFill>
                </w14:textFill>
              </w:rPr>
            </w:pPr>
            <w:r>
              <w:rPr>
                <w:rFonts w:hint="eastAsia" w:cs="宋体"/>
                <w:bCs/>
                <w:color w:val="000000" w:themeColor="text1"/>
                <w:sz w:val="24"/>
                <w14:textFill>
                  <w14:solidFill>
                    <w14:schemeClr w14:val="tx1"/>
                  </w14:solidFill>
                </w14:textFill>
              </w:rPr>
              <w:t>措施</w:t>
            </w: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rPr>
                <w:rFonts w:cs="宋体"/>
                <w:b/>
                <w:color w:val="000000" w:themeColor="text1"/>
                <w:kern w:val="0"/>
                <w:sz w:val="28"/>
                <w:szCs w:val="28"/>
                <w:vertAlign w:val="baseline"/>
                <w14:textFill>
                  <w14:solidFill>
                    <w14:schemeClr w14:val="tx1"/>
                  </w14:solidFill>
                </w14:textFill>
              </w:rPr>
            </w:pPr>
          </w:p>
          <w:p>
            <w:pPr>
              <w:pStyle w:val="25"/>
              <w:ind w:left="0" w:leftChars="0" w:firstLine="0" w:firstLineChars="0"/>
              <w:rPr>
                <w:rFonts w:cs="宋体"/>
                <w:b/>
                <w:color w:val="000000" w:themeColor="text1"/>
                <w:kern w:val="0"/>
                <w:sz w:val="28"/>
                <w:szCs w:val="28"/>
                <w:vertAlign w:val="baseline"/>
                <w14:textFill>
                  <w14:solidFill>
                    <w14:schemeClr w14:val="tx1"/>
                  </w14:solidFill>
                </w14:textFill>
              </w:rPr>
            </w:pPr>
          </w:p>
        </w:tc>
        <w:tc>
          <w:tcPr>
            <w:tcW w:w="8513" w:type="dxa"/>
          </w:tcPr>
          <w:p>
            <w:pPr>
              <w:keepNext w:val="0"/>
              <w:keepLines w:val="0"/>
              <w:pageBreakBefore w:val="0"/>
              <w:widowControl w:val="0"/>
              <w:kinsoku/>
              <w:wordWrap/>
              <w:overflowPunct/>
              <w:topLinePunct w:val="0"/>
              <w:autoSpaceDE/>
              <w:autoSpaceDN/>
              <w:bidi w:val="0"/>
              <w:adjustRightInd w:val="0"/>
              <w:snapToGrid w:val="0"/>
              <w:spacing w:before="157" w:beforeLines="50" w:line="360" w:lineRule="auto"/>
              <w:ind w:right="0" w:rightChars="0"/>
              <w:jc w:val="left"/>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14:textFill>
                  <w14:solidFill>
                    <w14:schemeClr w14:val="tx1"/>
                  </w14:solidFill>
                </w14:textFill>
              </w:rPr>
              <w:t>3.2 声环境影响分析</w:t>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color w:val="000000" w:themeColor="text1"/>
                <w:position w:val="21"/>
                <w:sz w:val="24"/>
                <w:szCs w:val="24"/>
                <w14:textFill>
                  <w14:solidFill>
                    <w14:schemeClr w14:val="tx1"/>
                  </w14:solidFill>
                </w14:textFill>
              </w:rPr>
              <w:t>评价采用《环境影响评价技术导则 声环境》（</w:t>
            </w:r>
            <w:r>
              <w:rPr>
                <w:rFonts w:ascii="Times New Roman" w:hAnsi="Times New Roman" w:eastAsia="Times New Roman" w:cs="Times New Roman"/>
                <w:color w:val="000000" w:themeColor="text1"/>
                <w:position w:val="21"/>
                <w:sz w:val="24"/>
                <w:szCs w:val="24"/>
                <w14:textFill>
                  <w14:solidFill>
                    <w14:schemeClr w14:val="tx1"/>
                  </w14:solidFill>
                </w14:textFill>
              </w:rPr>
              <w:t>HJ2.4-20</w:t>
            </w:r>
            <w:r>
              <w:rPr>
                <w:rFonts w:ascii="Times New Roman" w:hAnsi="Times New Roman" w:eastAsia="Times New Roman" w:cs="Times New Roman"/>
                <w:color w:val="000000" w:themeColor="text1"/>
                <w:spacing w:val="-1"/>
                <w:position w:val="21"/>
                <w:sz w:val="24"/>
                <w:szCs w:val="24"/>
                <w14:textFill>
                  <w14:solidFill>
                    <w14:schemeClr w14:val="tx1"/>
                  </w14:solidFill>
                </w14:textFill>
              </w:rPr>
              <w:t>21</w:t>
            </w:r>
            <w:r>
              <w:rPr>
                <w:color w:val="000000" w:themeColor="text1"/>
                <w:spacing w:val="-1"/>
                <w:position w:val="21"/>
                <w:sz w:val="24"/>
                <w:szCs w:val="24"/>
                <w14:textFill>
                  <w14:solidFill>
                    <w14:schemeClr w14:val="tx1"/>
                  </w14:solidFill>
                </w14:textFill>
              </w:rPr>
              <w:t>）推荐的预测模</w:t>
            </w:r>
            <w:r>
              <w:rPr>
                <w:color w:val="000000" w:themeColor="text1"/>
                <w:spacing w:val="-1"/>
                <w:sz w:val="24"/>
                <w:szCs w:val="24"/>
                <w14:textFill>
                  <w14:solidFill>
                    <w14:schemeClr w14:val="tx1"/>
                  </w14:solidFill>
                </w14:textFill>
              </w:rPr>
              <w:t>式进行预测，应用过程中根据具体情况做必要简化：</w:t>
            </w:r>
          </w:p>
          <w:p>
            <w:pPr>
              <w:pStyle w:val="94"/>
              <w:keepNext w:val="0"/>
              <w:keepLines w:val="0"/>
              <w:pageBreakBefore w:val="0"/>
              <w:widowControl w:val="0"/>
              <w:kinsoku/>
              <w:wordWrap/>
              <w:overflowPunct/>
              <w:topLinePunct w:val="0"/>
              <w:autoSpaceDE/>
              <w:autoSpaceDN/>
              <w:bidi w:val="0"/>
              <w:spacing w:line="360" w:lineRule="auto"/>
              <w:ind w:left="0" w:right="0" w:firstLine="468" w:firstLineChars="200"/>
              <w:textAlignment w:val="auto"/>
              <w:rPr>
                <w:color w:val="000000" w:themeColor="text1"/>
                <w:sz w:val="24"/>
                <w:szCs w:val="24"/>
                <w14:textFill>
                  <w14:solidFill>
                    <w14:schemeClr w14:val="tx1"/>
                  </w14:solidFill>
                </w14:textFill>
              </w:rPr>
            </w:pPr>
            <w:r>
              <w:rPr>
                <w:color w:val="000000" w:themeColor="text1"/>
                <w:spacing w:val="-3"/>
                <w:sz w:val="24"/>
                <w:szCs w:val="24"/>
                <w14:textFill>
                  <w14:solidFill>
                    <w14:schemeClr w14:val="tx1"/>
                  </w14:solidFill>
                </w14:textFill>
              </w:rPr>
              <w:t>（</w:t>
            </w:r>
            <w:r>
              <w:rPr>
                <w:rFonts w:ascii="Times New Roman" w:hAnsi="Times New Roman" w:eastAsia="Times New Roman" w:cs="Times New Roman"/>
                <w:color w:val="000000" w:themeColor="text1"/>
                <w:spacing w:val="-3"/>
                <w:sz w:val="24"/>
                <w:szCs w:val="24"/>
                <w14:textFill>
                  <w14:solidFill>
                    <w14:schemeClr w14:val="tx1"/>
                  </w14:solidFill>
                </w14:textFill>
              </w:rPr>
              <w:t>1</w:t>
            </w:r>
            <w:r>
              <w:rPr>
                <w:color w:val="000000" w:themeColor="text1"/>
                <w:spacing w:val="-3"/>
                <w:sz w:val="24"/>
                <w:szCs w:val="24"/>
                <w14:textFill>
                  <w14:solidFill>
                    <w14:schemeClr w14:val="tx1"/>
                  </w14:solidFill>
                </w14:textFill>
              </w:rPr>
              <w:t>）噪声贡献值</w:t>
            </w:r>
          </w:p>
          <w:p>
            <w:pPr>
              <w:keepNext w:val="0"/>
              <w:keepLines w:val="0"/>
              <w:pageBreakBefore w:val="0"/>
              <w:widowControl w:val="0"/>
              <w:kinsoku/>
              <w:wordWrap/>
              <w:overflowPunct/>
              <w:topLinePunct w:val="0"/>
              <w:autoSpaceDE/>
              <w:autoSpaceDN/>
              <w:bidi w:val="0"/>
              <w:spacing w:line="360" w:lineRule="auto"/>
              <w:ind w:left="0" w:right="0" w:firstLine="420" w:firstLineChars="200"/>
              <w:textAlignment w:val="auto"/>
              <w:rPr>
                <w:color w:val="000000" w:themeColor="text1"/>
                <w14:textFill>
                  <w14:solidFill>
                    <w14:schemeClr w14:val="tx1"/>
                  </w14:solidFill>
                </w14:textFill>
              </w:rPr>
            </w:pPr>
            <w:r>
              <w:rPr>
                <w:color w:val="000000" w:themeColor="text1"/>
                <w:position w:val="-19"/>
                <w14:textFill>
                  <w14:solidFill>
                    <w14:schemeClr w14:val="tx1"/>
                  </w14:solidFill>
                </w14:textFill>
              </w:rPr>
              <w:drawing>
                <wp:inline distT="0" distB="0" distL="0" distR="0">
                  <wp:extent cx="2054225" cy="630555"/>
                  <wp:effectExtent l="0" t="0" r="3175" b="17145"/>
                  <wp:docPr id="508" name="IM 508"/>
                  <wp:cNvGraphicFramePr/>
                  <a:graphic xmlns:a="http://schemas.openxmlformats.org/drawingml/2006/main">
                    <a:graphicData uri="http://schemas.openxmlformats.org/drawingml/2006/picture">
                      <pic:pic xmlns:pic="http://schemas.openxmlformats.org/drawingml/2006/picture">
                        <pic:nvPicPr>
                          <pic:cNvPr id="508" name="IM 508"/>
                          <pic:cNvPicPr/>
                        </pic:nvPicPr>
                        <pic:blipFill>
                          <a:blip r:embed="rId13"/>
                          <a:stretch>
                            <a:fillRect/>
                          </a:stretch>
                        </pic:blipFill>
                        <pic:spPr>
                          <a:xfrm>
                            <a:off x="0" y="0"/>
                            <a:ext cx="2054351" cy="630796"/>
                          </a:xfrm>
                          <a:prstGeom prst="rect">
                            <a:avLst/>
                          </a:prstGeom>
                        </pic:spPr>
                      </pic:pic>
                    </a:graphicData>
                  </a:graphic>
                </wp:inline>
              </w:drawing>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color w:val="000000" w:themeColor="text1"/>
                <w:spacing w:val="-1"/>
                <w:position w:val="3"/>
                <w:sz w:val="24"/>
                <w:szCs w:val="24"/>
                <w14:textFill>
                  <w14:solidFill>
                    <w14:schemeClr w14:val="tx1"/>
                  </w14:solidFill>
                </w14:textFill>
              </w:rPr>
              <w:t xml:space="preserve">式中： </w:t>
            </w:r>
            <w:r>
              <w:rPr>
                <w:rFonts w:ascii="Times New Roman" w:hAnsi="Times New Roman" w:eastAsia="Times New Roman" w:cs="Times New Roman"/>
                <w:i/>
                <w:iCs/>
                <w:color w:val="000000" w:themeColor="text1"/>
                <w:spacing w:val="-1"/>
                <w:position w:val="3"/>
                <w:sz w:val="24"/>
                <w:szCs w:val="24"/>
                <w14:textFill>
                  <w14:solidFill>
                    <w14:schemeClr w14:val="tx1"/>
                  </w14:solidFill>
                </w14:textFill>
              </w:rPr>
              <w:t>L</w:t>
            </w:r>
            <w:r>
              <w:rPr>
                <w:rFonts w:ascii="Times New Roman" w:hAnsi="Times New Roman" w:eastAsia="Times New Roman" w:cs="Times New Roman"/>
                <w:color w:val="000000" w:themeColor="text1"/>
                <w:spacing w:val="-1"/>
                <w:position w:val="2"/>
                <w:sz w:val="15"/>
                <w:szCs w:val="15"/>
                <w14:textFill>
                  <w14:solidFill>
                    <w14:schemeClr w14:val="tx1"/>
                  </w14:solidFill>
                </w14:textFill>
              </w:rPr>
              <w:t>eqg</w:t>
            </w:r>
            <w:r>
              <w:rPr>
                <w:rFonts w:ascii="Times New Roman" w:hAnsi="Times New Roman" w:eastAsia="Times New Roman" w:cs="Times New Roman"/>
                <w:color w:val="000000" w:themeColor="text1"/>
                <w:spacing w:val="35"/>
                <w:w w:val="101"/>
                <w:position w:val="2"/>
                <w:sz w:val="15"/>
                <w:szCs w:val="15"/>
                <w14:textFill>
                  <w14:solidFill>
                    <w14:schemeClr w14:val="tx1"/>
                  </w14:solidFill>
                </w14:textFill>
              </w:rPr>
              <w:t xml:space="preserve"> </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 xml:space="preserve">——  </w:t>
            </w:r>
            <w:r>
              <w:rPr>
                <w:color w:val="000000" w:themeColor="text1"/>
                <w:spacing w:val="-1"/>
                <w:position w:val="3"/>
                <w:sz w:val="24"/>
                <w:szCs w:val="24"/>
                <w14:textFill>
                  <w14:solidFill>
                    <w14:schemeClr w14:val="tx1"/>
                  </w14:solidFill>
                </w14:textFill>
              </w:rPr>
              <w:t>噪声贡献值，</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dB</w:t>
            </w:r>
            <w:r>
              <w:rPr>
                <w:color w:val="000000" w:themeColor="text1"/>
                <w:spacing w:val="-1"/>
                <w:position w:val="3"/>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z w:val="24"/>
                <w:szCs w:val="24"/>
                <w14:textFill>
                  <w14:solidFill>
                    <w14:schemeClr w14:val="tx1"/>
                  </w14:solidFill>
                </w14:textFill>
              </w:rPr>
              <w:t>T</w:t>
            </w:r>
            <w:r>
              <w:rPr>
                <w:rFonts w:ascii="Times New Roman" w:hAnsi="Times New Roman" w:eastAsia="Times New Roman" w:cs="Times New Roman"/>
                <w:i/>
                <w:iCs/>
                <w:color w:val="000000" w:themeColor="text1"/>
                <w:spacing w:val="-17"/>
                <w:sz w:val="24"/>
                <w:szCs w:val="24"/>
                <w14:textFill>
                  <w14:solidFill>
                    <w14:schemeClr w14:val="tx1"/>
                  </w14:solidFill>
                </w14:textFill>
              </w:rPr>
              <w:t xml:space="preserve"> </w:t>
            </w:r>
            <w:r>
              <w:rPr>
                <w:rFonts w:ascii="Times New Roman" w:hAnsi="Times New Roman" w:eastAsia="Times New Roman" w:cs="Times New Roman"/>
                <w:color w:val="000000" w:themeColor="text1"/>
                <w:sz w:val="24"/>
                <w:szCs w:val="24"/>
                <w14:textFill>
                  <w14:solidFill>
                    <w14:schemeClr w14:val="tx1"/>
                  </w14:solidFill>
                </w14:textFill>
              </w:rPr>
              <w:t xml:space="preserve">——  </w:t>
            </w:r>
            <w:r>
              <w:rPr>
                <w:color w:val="000000" w:themeColor="text1"/>
                <w:sz w:val="24"/>
                <w:szCs w:val="24"/>
                <w14:textFill>
                  <w14:solidFill>
                    <w14:schemeClr w14:val="tx1"/>
                  </w14:solidFill>
                </w14:textFill>
              </w:rPr>
              <w:t>预测计算的时间段，</w:t>
            </w:r>
            <w:r>
              <w:rPr>
                <w:rFonts w:ascii="Times New Roman" w:hAnsi="Times New Roman" w:eastAsia="Times New Roman" w:cs="Times New Roman"/>
                <w:color w:val="000000" w:themeColor="text1"/>
                <w:sz w:val="24"/>
                <w:szCs w:val="24"/>
                <w14:textFill>
                  <w14:solidFill>
                    <w14:schemeClr w14:val="tx1"/>
                  </w14:solidFill>
                </w14:textFill>
              </w:rPr>
              <w:t>s</w:t>
            </w:r>
            <w:r>
              <w:rPr>
                <w:color w:val="000000" w:themeColor="text1"/>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1"/>
                <w:sz w:val="24"/>
                <w:szCs w:val="24"/>
                <w14:textFill>
                  <w14:solidFill>
                    <w14:schemeClr w14:val="tx1"/>
                  </w14:solidFill>
                </w14:textFill>
              </w:rPr>
              <w:t xml:space="preserve">t i </w:t>
            </w:r>
            <w:r>
              <w:rPr>
                <w:rFonts w:ascii="Times New Roman" w:hAnsi="Times New Roman" w:eastAsia="Times New Roman" w:cs="Times New Roman"/>
                <w:color w:val="000000" w:themeColor="text1"/>
                <w:spacing w:val="-1"/>
                <w:sz w:val="24"/>
                <w:szCs w:val="24"/>
                <w14:textFill>
                  <w14:solidFill>
                    <w14:schemeClr w14:val="tx1"/>
                  </w14:solidFill>
                </w14:textFill>
              </w:rPr>
              <w:t xml:space="preserve">—— </w:t>
            </w:r>
            <w:r>
              <w:rPr>
                <w:rFonts w:ascii="Times New Roman" w:hAnsi="Times New Roman" w:eastAsia="Times New Roman" w:cs="Times New Roman"/>
                <w:i/>
                <w:iCs/>
                <w:color w:val="000000" w:themeColor="text1"/>
                <w:spacing w:val="-1"/>
                <w:sz w:val="24"/>
                <w:szCs w:val="24"/>
                <w14:textFill>
                  <w14:solidFill>
                    <w14:schemeClr w14:val="tx1"/>
                  </w14:solidFill>
                </w14:textFill>
              </w:rPr>
              <w:t xml:space="preserve">i  </w:t>
            </w:r>
            <w:r>
              <w:rPr>
                <w:color w:val="000000" w:themeColor="text1"/>
                <w:spacing w:val="-1"/>
                <w:sz w:val="24"/>
                <w:szCs w:val="24"/>
                <w14:textFill>
                  <w14:solidFill>
                    <w14:schemeClr w14:val="tx1"/>
                  </w14:solidFill>
                </w14:textFill>
              </w:rPr>
              <w:t>声源在</w:t>
            </w:r>
            <w:r>
              <w:rPr>
                <w:color w:val="000000" w:themeColor="text1"/>
                <w:spacing w:val="16"/>
                <w:sz w:val="24"/>
                <w:szCs w:val="24"/>
                <w14:textFill>
                  <w14:solidFill>
                    <w14:schemeClr w14:val="tx1"/>
                  </w14:solidFill>
                </w14:textFill>
              </w:rPr>
              <w:t xml:space="preserve"> </w:t>
            </w:r>
            <w:r>
              <w:rPr>
                <w:rFonts w:ascii="Times New Roman" w:hAnsi="Times New Roman" w:eastAsia="Times New Roman" w:cs="Times New Roman"/>
                <w:i/>
                <w:iCs/>
                <w:color w:val="000000" w:themeColor="text1"/>
                <w:spacing w:val="-1"/>
                <w:sz w:val="24"/>
                <w:szCs w:val="24"/>
                <w14:textFill>
                  <w14:solidFill>
                    <w14:schemeClr w14:val="tx1"/>
                  </w14:solidFill>
                </w14:textFill>
              </w:rPr>
              <w:t xml:space="preserve">T  </w:t>
            </w:r>
            <w:r>
              <w:rPr>
                <w:color w:val="000000" w:themeColor="text1"/>
                <w:spacing w:val="-1"/>
                <w:sz w:val="24"/>
                <w:szCs w:val="24"/>
                <w14:textFill>
                  <w14:solidFill>
                    <w14:schemeClr w14:val="tx1"/>
                  </w14:solidFill>
                </w14:textFill>
              </w:rPr>
              <w:t>时段内的运行时间，</w:t>
            </w:r>
            <w:r>
              <w:rPr>
                <w:rFonts w:ascii="Times New Roman" w:hAnsi="Times New Roman" w:eastAsia="Times New Roman" w:cs="Times New Roman"/>
                <w:color w:val="000000" w:themeColor="text1"/>
                <w:spacing w:val="-1"/>
                <w:sz w:val="24"/>
                <w:szCs w:val="24"/>
                <w14:textFill>
                  <w14:solidFill>
                    <w14:schemeClr w14:val="tx1"/>
                  </w14:solidFill>
                </w14:textFill>
              </w:rPr>
              <w:t>s</w:t>
            </w:r>
            <w:r>
              <w:rPr>
                <w:color w:val="000000" w:themeColor="text1"/>
                <w:spacing w:val="-1"/>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position w:val="30"/>
                <w:sz w:val="24"/>
                <w:szCs w:val="24"/>
                <w14:textFill>
                  <w14:solidFill>
                    <w14:schemeClr w14:val="tx1"/>
                  </w14:solidFill>
                </w14:textFill>
              </w:rPr>
              <w:t>L</w:t>
            </w:r>
            <w:r>
              <w:rPr>
                <w:rFonts w:ascii="Times New Roman" w:hAnsi="Times New Roman" w:eastAsia="Times New Roman" w:cs="Times New Roman"/>
                <w:color w:val="000000" w:themeColor="text1"/>
                <w:position w:val="29"/>
                <w:sz w:val="15"/>
                <w:szCs w:val="15"/>
                <w14:textFill>
                  <w14:solidFill>
                    <w14:schemeClr w14:val="tx1"/>
                  </w14:solidFill>
                </w14:textFill>
              </w:rPr>
              <w:t>A</w:t>
            </w:r>
            <w:r>
              <w:rPr>
                <w:rFonts w:ascii="Times New Roman" w:hAnsi="Times New Roman" w:eastAsia="Times New Roman" w:cs="Times New Roman"/>
                <w:i/>
                <w:iCs/>
                <w:color w:val="000000" w:themeColor="text1"/>
                <w:position w:val="29"/>
                <w:sz w:val="15"/>
                <w:szCs w:val="15"/>
                <w14:textFill>
                  <w14:solidFill>
                    <w14:schemeClr w14:val="tx1"/>
                  </w14:solidFill>
                </w14:textFill>
              </w:rPr>
              <w:t xml:space="preserve">i </w:t>
            </w:r>
            <w:r>
              <w:rPr>
                <w:rFonts w:ascii="Times New Roman" w:hAnsi="Times New Roman" w:eastAsia="Times New Roman" w:cs="Times New Roman"/>
                <w:color w:val="000000" w:themeColor="text1"/>
                <w:position w:val="30"/>
                <w:sz w:val="24"/>
                <w:szCs w:val="24"/>
                <w14:textFill>
                  <w14:solidFill>
                    <w14:schemeClr w14:val="tx1"/>
                  </w14:solidFill>
                </w14:textFill>
              </w:rPr>
              <w:t>——</w:t>
            </w:r>
            <w:r>
              <w:rPr>
                <w:rFonts w:ascii="Times New Roman" w:hAnsi="Times New Roman" w:eastAsia="Times New Roman" w:cs="Times New Roman"/>
                <w:i/>
                <w:iCs/>
                <w:color w:val="000000" w:themeColor="text1"/>
                <w:position w:val="30"/>
                <w:sz w:val="24"/>
                <w:szCs w:val="24"/>
                <w14:textFill>
                  <w14:solidFill>
                    <w14:schemeClr w14:val="tx1"/>
                  </w14:solidFill>
                </w14:textFill>
              </w:rPr>
              <w:t xml:space="preserve">i  </w:t>
            </w:r>
            <w:r>
              <w:rPr>
                <w:color w:val="000000" w:themeColor="text1"/>
                <w:position w:val="30"/>
                <w:sz w:val="24"/>
                <w:szCs w:val="24"/>
                <w14:textFill>
                  <w14:solidFill>
                    <w14:schemeClr w14:val="tx1"/>
                  </w14:solidFill>
                </w14:textFill>
              </w:rPr>
              <w:t xml:space="preserve">声源在预测点产生的等效连续 </w:t>
            </w:r>
            <w:r>
              <w:rPr>
                <w:rFonts w:ascii="Times New Roman" w:hAnsi="Times New Roman" w:eastAsia="Times New Roman" w:cs="Times New Roman"/>
                <w:color w:val="000000" w:themeColor="text1"/>
                <w:position w:val="30"/>
                <w:sz w:val="24"/>
                <w:szCs w:val="24"/>
                <w14:textFill>
                  <w14:solidFill>
                    <w14:schemeClr w14:val="tx1"/>
                  </w14:solidFill>
                </w14:textFill>
              </w:rPr>
              <w:t xml:space="preserve">A  </w:t>
            </w:r>
            <w:r>
              <w:rPr>
                <w:color w:val="000000" w:themeColor="text1"/>
                <w:position w:val="30"/>
                <w:sz w:val="24"/>
                <w:szCs w:val="24"/>
                <w14:textFill>
                  <w14:solidFill>
                    <w14:schemeClr w14:val="tx1"/>
                  </w14:solidFill>
                </w14:textFill>
              </w:rPr>
              <w:t>声级，</w:t>
            </w:r>
            <w:r>
              <w:rPr>
                <w:rFonts w:ascii="Times New Roman" w:hAnsi="Times New Roman" w:eastAsia="Times New Roman" w:cs="Times New Roman"/>
                <w:color w:val="000000" w:themeColor="text1"/>
                <w:position w:val="30"/>
                <w:sz w:val="24"/>
                <w:szCs w:val="24"/>
                <w14:textFill>
                  <w14:solidFill>
                    <w14:schemeClr w14:val="tx1"/>
                  </w14:solidFill>
                </w14:textFill>
              </w:rPr>
              <w:t>dB</w:t>
            </w:r>
            <w:r>
              <w:rPr>
                <w:color w:val="000000" w:themeColor="text1"/>
                <w:position w:val="30"/>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68" w:firstLineChars="200"/>
              <w:textAlignment w:val="auto"/>
              <w:rPr>
                <w:color w:val="000000" w:themeColor="text1"/>
                <w:sz w:val="24"/>
                <w:szCs w:val="24"/>
                <w14:textFill>
                  <w14:solidFill>
                    <w14:schemeClr w14:val="tx1"/>
                  </w14:solidFill>
                </w14:textFill>
              </w:rPr>
            </w:pPr>
            <w:r>
              <w:rPr>
                <w:color w:val="000000" w:themeColor="text1"/>
                <w:spacing w:val="-3"/>
                <w:sz w:val="24"/>
                <w:szCs w:val="24"/>
                <w14:textFill>
                  <w14:solidFill>
                    <w14:schemeClr w14:val="tx1"/>
                  </w14:solidFill>
                </w14:textFill>
              </w:rPr>
              <w:t>（</w:t>
            </w:r>
            <w:r>
              <w:rPr>
                <w:rFonts w:ascii="Times New Roman" w:hAnsi="Times New Roman" w:eastAsia="Times New Roman" w:cs="Times New Roman"/>
                <w:color w:val="000000" w:themeColor="text1"/>
                <w:spacing w:val="-3"/>
                <w:sz w:val="24"/>
                <w:szCs w:val="24"/>
                <w14:textFill>
                  <w14:solidFill>
                    <w14:schemeClr w14:val="tx1"/>
                  </w14:solidFill>
                </w14:textFill>
              </w:rPr>
              <w:t>2</w:t>
            </w:r>
            <w:r>
              <w:rPr>
                <w:color w:val="000000" w:themeColor="text1"/>
                <w:spacing w:val="-3"/>
                <w:sz w:val="24"/>
                <w:szCs w:val="24"/>
                <w14:textFill>
                  <w14:solidFill>
                    <w14:schemeClr w14:val="tx1"/>
                  </w14:solidFill>
                </w14:textFill>
              </w:rPr>
              <w:t>）噪声预测值</w:t>
            </w:r>
          </w:p>
          <w:p>
            <w:pPr>
              <w:keepNext w:val="0"/>
              <w:keepLines w:val="0"/>
              <w:pageBreakBefore w:val="0"/>
              <w:widowControl w:val="0"/>
              <w:kinsoku/>
              <w:wordWrap/>
              <w:overflowPunct/>
              <w:topLinePunct w:val="0"/>
              <w:autoSpaceDE/>
              <w:autoSpaceDN/>
              <w:bidi w:val="0"/>
              <w:spacing w:line="360" w:lineRule="auto"/>
              <w:ind w:left="0" w:right="0" w:firstLine="420" w:firstLineChars="200"/>
              <w:textAlignment w:val="auto"/>
              <w:rPr>
                <w:color w:val="000000" w:themeColor="text1"/>
                <w14:textFill>
                  <w14:solidFill>
                    <w14:schemeClr w14:val="tx1"/>
                  </w14:solidFill>
                </w14:textFill>
              </w:rPr>
            </w:pPr>
            <w:r>
              <w:rPr>
                <w:color w:val="000000" w:themeColor="text1"/>
                <w:position w:val="-10"/>
                <w14:textFill>
                  <w14:solidFill>
                    <w14:schemeClr w14:val="tx1"/>
                  </w14:solidFill>
                </w14:textFill>
              </w:rPr>
              <w:drawing>
                <wp:inline distT="0" distB="0" distL="0" distR="0">
                  <wp:extent cx="2105660" cy="337820"/>
                  <wp:effectExtent l="0" t="0" r="8890" b="5080"/>
                  <wp:docPr id="510" name="IM 510"/>
                  <wp:cNvGraphicFramePr/>
                  <a:graphic xmlns:a="http://schemas.openxmlformats.org/drawingml/2006/main">
                    <a:graphicData uri="http://schemas.openxmlformats.org/drawingml/2006/picture">
                      <pic:pic xmlns:pic="http://schemas.openxmlformats.org/drawingml/2006/picture">
                        <pic:nvPicPr>
                          <pic:cNvPr id="510" name="IM 510"/>
                          <pic:cNvPicPr/>
                        </pic:nvPicPr>
                        <pic:blipFill>
                          <a:blip r:embed="rId14"/>
                          <a:stretch>
                            <a:fillRect/>
                          </a:stretch>
                        </pic:blipFill>
                        <pic:spPr>
                          <a:xfrm>
                            <a:off x="0" y="0"/>
                            <a:ext cx="2106168" cy="338182"/>
                          </a:xfrm>
                          <a:prstGeom prst="rect">
                            <a:avLst/>
                          </a:prstGeom>
                        </pic:spPr>
                      </pic:pic>
                    </a:graphicData>
                  </a:graphic>
                </wp:inline>
              </w:drawing>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color w:val="000000" w:themeColor="text1"/>
                <w:spacing w:val="-1"/>
                <w:position w:val="3"/>
                <w:sz w:val="24"/>
                <w:szCs w:val="24"/>
                <w14:textFill>
                  <w14:solidFill>
                    <w14:schemeClr w14:val="tx1"/>
                  </w14:solidFill>
                </w14:textFill>
              </w:rPr>
              <w:t xml:space="preserve">式中： </w:t>
            </w:r>
            <w:r>
              <w:rPr>
                <w:rFonts w:ascii="Times New Roman" w:hAnsi="Times New Roman" w:eastAsia="Times New Roman" w:cs="Times New Roman"/>
                <w:i/>
                <w:iCs/>
                <w:color w:val="000000" w:themeColor="text1"/>
                <w:spacing w:val="-1"/>
                <w:position w:val="3"/>
                <w:sz w:val="24"/>
                <w:szCs w:val="24"/>
                <w14:textFill>
                  <w14:solidFill>
                    <w14:schemeClr w14:val="tx1"/>
                  </w14:solidFill>
                </w14:textFill>
              </w:rPr>
              <w:t>L</w:t>
            </w:r>
            <w:r>
              <w:rPr>
                <w:rFonts w:ascii="Times New Roman" w:hAnsi="Times New Roman" w:eastAsia="Times New Roman" w:cs="Times New Roman"/>
                <w:color w:val="000000" w:themeColor="text1"/>
                <w:spacing w:val="-1"/>
                <w:position w:val="2"/>
                <w:sz w:val="15"/>
                <w:szCs w:val="15"/>
                <w14:textFill>
                  <w14:solidFill>
                    <w14:schemeClr w14:val="tx1"/>
                  </w14:solidFill>
                </w14:textFill>
              </w:rPr>
              <w:t xml:space="preserve">eq </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w:t>
            </w:r>
            <w:r>
              <w:rPr>
                <w:color w:val="000000" w:themeColor="text1"/>
                <w:spacing w:val="-1"/>
                <w:position w:val="3"/>
                <w:sz w:val="24"/>
                <w:szCs w:val="24"/>
                <w14:textFill>
                  <w14:solidFill>
                    <w14:schemeClr w14:val="tx1"/>
                  </w14:solidFill>
                </w14:textFill>
              </w:rPr>
              <w:t>预测点的噪声预测值，</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dB</w:t>
            </w:r>
            <w:r>
              <w:rPr>
                <w:color w:val="000000" w:themeColor="text1"/>
                <w:spacing w:val="-1"/>
                <w:position w:val="3"/>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72"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2"/>
                <w:sz w:val="24"/>
                <w:szCs w:val="24"/>
                <w14:textFill>
                  <w14:solidFill>
                    <w14:schemeClr w14:val="tx1"/>
                  </w14:solidFill>
                </w14:textFill>
              </w:rPr>
              <w:t>L</w:t>
            </w:r>
            <w:r>
              <w:rPr>
                <w:rFonts w:ascii="Times New Roman" w:hAnsi="Times New Roman" w:eastAsia="Times New Roman" w:cs="Times New Roman"/>
                <w:color w:val="000000" w:themeColor="text1"/>
                <w:spacing w:val="-2"/>
                <w:position w:val="-1"/>
                <w:sz w:val="15"/>
                <w:szCs w:val="15"/>
                <w14:textFill>
                  <w14:solidFill>
                    <w14:schemeClr w14:val="tx1"/>
                  </w14:solidFill>
                </w14:textFill>
              </w:rPr>
              <w:t>eqg</w:t>
            </w:r>
            <w:r>
              <w:rPr>
                <w:rFonts w:ascii="Times New Roman" w:hAnsi="Times New Roman" w:eastAsia="Times New Roman" w:cs="Times New Roman"/>
                <w:color w:val="000000" w:themeColor="text1"/>
                <w:spacing w:val="-2"/>
                <w:sz w:val="24"/>
                <w:szCs w:val="24"/>
                <w14:textFill>
                  <w14:solidFill>
                    <w14:schemeClr w14:val="tx1"/>
                  </w14:solidFill>
                </w14:textFill>
              </w:rPr>
              <w:t>——</w:t>
            </w:r>
            <w:r>
              <w:rPr>
                <w:color w:val="000000" w:themeColor="text1"/>
                <w:spacing w:val="-2"/>
                <w:sz w:val="24"/>
                <w:szCs w:val="24"/>
                <w14:textFill>
                  <w14:solidFill>
                    <w14:schemeClr w14:val="tx1"/>
                  </w14:solidFill>
                </w14:textFill>
              </w:rPr>
              <w:t>建设项目声源在预测点产生的噪声贡献值，</w:t>
            </w:r>
            <w:r>
              <w:rPr>
                <w:rFonts w:ascii="Times New Roman" w:hAnsi="Times New Roman" w:eastAsia="Times New Roman" w:cs="Times New Roman"/>
                <w:color w:val="000000" w:themeColor="text1"/>
                <w:spacing w:val="-2"/>
                <w:sz w:val="24"/>
                <w:szCs w:val="24"/>
                <w14:textFill>
                  <w14:solidFill>
                    <w14:schemeClr w14:val="tx1"/>
                  </w14:solidFill>
                </w14:textFill>
              </w:rPr>
              <w:t>dB</w:t>
            </w:r>
            <w:r>
              <w:rPr>
                <w:color w:val="000000" w:themeColor="text1"/>
                <w:spacing w:val="-2"/>
                <w:sz w:val="24"/>
                <w:szCs w:val="24"/>
                <w14:textFill>
                  <w14:solidFill>
                    <w14:schemeClr w14:val="tx1"/>
                  </w14:solidFill>
                </w14:textFill>
              </w:rPr>
              <w:t>；</w:t>
            </w:r>
            <w:r>
              <w:rPr>
                <w:color w:val="000000" w:themeColor="text1"/>
                <w:spacing w:val="10"/>
                <w:sz w:val="24"/>
                <w:szCs w:val="24"/>
                <w14:textFill>
                  <w14:solidFill>
                    <w14:schemeClr w14:val="tx1"/>
                  </w14:solidFill>
                </w14:textFill>
              </w:rPr>
              <w:t xml:space="preserve"> </w:t>
            </w:r>
            <w:r>
              <w:rPr>
                <w:rFonts w:ascii="Times New Roman" w:hAnsi="Times New Roman" w:eastAsia="Times New Roman" w:cs="Times New Roman"/>
                <w:i/>
                <w:iCs/>
                <w:color w:val="000000" w:themeColor="text1"/>
                <w:sz w:val="24"/>
                <w:szCs w:val="24"/>
                <w14:textFill>
                  <w14:solidFill>
                    <w14:schemeClr w14:val="tx1"/>
                  </w14:solidFill>
                </w14:textFill>
              </w:rPr>
              <w:t>L</w:t>
            </w:r>
            <w:r>
              <w:rPr>
                <w:rFonts w:ascii="Times New Roman" w:hAnsi="Times New Roman" w:eastAsia="Times New Roman" w:cs="Times New Roman"/>
                <w:color w:val="000000" w:themeColor="text1"/>
                <w:position w:val="-1"/>
                <w:sz w:val="15"/>
                <w:szCs w:val="15"/>
                <w14:textFill>
                  <w14:solidFill>
                    <w14:schemeClr w14:val="tx1"/>
                  </w14:solidFill>
                </w14:textFill>
              </w:rPr>
              <w:t>eqb</w:t>
            </w:r>
            <w:r>
              <w:rPr>
                <w:rFonts w:ascii="Times New Roman" w:hAnsi="Times New Roman" w:eastAsia="Times New Roman" w:cs="Times New Roman"/>
                <w:color w:val="000000" w:themeColor="text1"/>
                <w:spacing w:val="1"/>
                <w:sz w:val="24"/>
                <w:szCs w:val="24"/>
                <w14:textFill>
                  <w14:solidFill>
                    <w14:schemeClr w14:val="tx1"/>
                  </w14:solidFill>
                </w14:textFill>
              </w:rPr>
              <w:t>——</w:t>
            </w:r>
            <w:r>
              <w:rPr>
                <w:color w:val="000000" w:themeColor="text1"/>
                <w:spacing w:val="1"/>
                <w:sz w:val="24"/>
                <w:szCs w:val="24"/>
                <w14:textFill>
                  <w14:solidFill>
                    <w14:schemeClr w14:val="tx1"/>
                  </w14:solidFill>
                </w14:textFill>
              </w:rPr>
              <w:t>预测点的背景噪声值，</w:t>
            </w:r>
            <w:r>
              <w:rPr>
                <w:rFonts w:ascii="Times New Roman" w:hAnsi="Times New Roman" w:eastAsia="Times New Roman" w:cs="Times New Roman"/>
                <w:color w:val="000000" w:themeColor="text1"/>
                <w:sz w:val="24"/>
                <w:szCs w:val="24"/>
                <w14:textFill>
                  <w14:solidFill>
                    <w14:schemeClr w14:val="tx1"/>
                  </w14:solidFill>
                </w14:textFill>
              </w:rPr>
              <w:t>dB</w:t>
            </w:r>
            <w:r>
              <w:rPr>
                <w:color w:val="000000" w:themeColor="text1"/>
                <w:spacing w:val="1"/>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72" w:firstLineChars="200"/>
              <w:textAlignment w:val="auto"/>
              <w:rPr>
                <w:color w:val="000000" w:themeColor="text1"/>
                <w:sz w:val="24"/>
                <w:szCs w:val="24"/>
                <w14:textFill>
                  <w14:solidFill>
                    <w14:schemeClr w14:val="tx1"/>
                  </w14:solidFill>
                </w14:textFill>
              </w:rPr>
            </w:pPr>
            <w:r>
              <w:rPr>
                <w:color w:val="000000" w:themeColor="text1"/>
                <w:spacing w:val="-2"/>
                <w:sz w:val="24"/>
                <w:szCs w:val="24"/>
                <w14:textFill>
                  <w14:solidFill>
                    <w14:schemeClr w14:val="tx1"/>
                  </w14:solidFill>
                </w14:textFill>
              </w:rPr>
              <w:t>（</w:t>
            </w:r>
            <w:r>
              <w:rPr>
                <w:rFonts w:ascii="Times New Roman" w:hAnsi="Times New Roman" w:eastAsia="Times New Roman" w:cs="Times New Roman"/>
                <w:color w:val="000000" w:themeColor="text1"/>
                <w:spacing w:val="-2"/>
                <w:sz w:val="24"/>
                <w:szCs w:val="24"/>
                <w14:textFill>
                  <w14:solidFill>
                    <w14:schemeClr w14:val="tx1"/>
                  </w14:solidFill>
                </w14:textFill>
              </w:rPr>
              <w:t>3</w:t>
            </w:r>
            <w:r>
              <w:rPr>
                <w:color w:val="000000" w:themeColor="text1"/>
                <w:spacing w:val="-2"/>
                <w:sz w:val="24"/>
                <w:szCs w:val="24"/>
                <w14:textFill>
                  <w14:solidFill>
                    <w14:schemeClr w14:val="tx1"/>
                  </w14:solidFill>
                </w14:textFill>
              </w:rPr>
              <w:t>）点声源的几何发散衰减</w:t>
            </w:r>
          </w:p>
          <w:p>
            <w:pPr>
              <w:keepNext w:val="0"/>
              <w:keepLines w:val="0"/>
              <w:pageBreakBefore w:val="0"/>
              <w:widowControl w:val="0"/>
              <w:kinsoku/>
              <w:wordWrap/>
              <w:overflowPunct/>
              <w:topLinePunct w:val="0"/>
              <w:autoSpaceDE/>
              <w:autoSpaceDN/>
              <w:bidi w:val="0"/>
              <w:spacing w:line="360" w:lineRule="auto"/>
              <w:ind w:left="0" w:right="0" w:firstLine="420" w:firstLineChars="200"/>
              <w:textAlignment w:val="auto"/>
              <w:rPr>
                <w:color w:val="000000" w:themeColor="text1"/>
                <w14:textFill>
                  <w14:solidFill>
                    <w14:schemeClr w14:val="tx1"/>
                  </w14:solidFill>
                </w14:textFill>
              </w:rPr>
            </w:pPr>
            <w:r>
              <w:rPr>
                <w:color w:val="000000" w:themeColor="text1"/>
                <w:position w:val="-9"/>
                <w14:textFill>
                  <w14:solidFill>
                    <w14:schemeClr w14:val="tx1"/>
                  </w14:solidFill>
                </w14:textFill>
              </w:rPr>
              <w:drawing>
                <wp:inline distT="0" distB="0" distL="0" distR="0">
                  <wp:extent cx="2107565" cy="316230"/>
                  <wp:effectExtent l="0" t="0" r="6985" b="7620"/>
                  <wp:docPr id="512" name="IM 512"/>
                  <wp:cNvGraphicFramePr/>
                  <a:graphic xmlns:a="http://schemas.openxmlformats.org/drawingml/2006/main">
                    <a:graphicData uri="http://schemas.openxmlformats.org/drawingml/2006/picture">
                      <pic:pic xmlns:pic="http://schemas.openxmlformats.org/drawingml/2006/picture">
                        <pic:nvPicPr>
                          <pic:cNvPr id="512" name="IM 512"/>
                          <pic:cNvPicPr/>
                        </pic:nvPicPr>
                        <pic:blipFill>
                          <a:blip r:embed="rId15"/>
                          <a:stretch>
                            <a:fillRect/>
                          </a:stretch>
                        </pic:blipFill>
                        <pic:spPr>
                          <a:xfrm>
                            <a:off x="0" y="0"/>
                            <a:ext cx="2107691" cy="316845"/>
                          </a:xfrm>
                          <a:prstGeom prst="rect">
                            <a:avLst/>
                          </a:prstGeom>
                        </pic:spPr>
                      </pic:pic>
                    </a:graphicData>
                  </a:graphic>
                </wp:inline>
              </w:drawing>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color w:val="000000" w:themeColor="text1"/>
                <w:spacing w:val="-1"/>
                <w:position w:val="3"/>
                <w:sz w:val="24"/>
                <w:szCs w:val="24"/>
                <w14:textFill>
                  <w14:solidFill>
                    <w14:schemeClr w14:val="tx1"/>
                  </w14:solidFill>
                </w14:textFill>
              </w:rPr>
              <w:t>式中：</w:t>
            </w:r>
            <w:r>
              <w:rPr>
                <w:rFonts w:ascii="Times New Roman" w:hAnsi="Times New Roman" w:eastAsia="Times New Roman" w:cs="Times New Roman"/>
                <w:i/>
                <w:iCs/>
                <w:color w:val="000000" w:themeColor="text1"/>
                <w:spacing w:val="-1"/>
                <w:position w:val="3"/>
                <w:sz w:val="24"/>
                <w:szCs w:val="24"/>
                <w14:textFill>
                  <w14:solidFill>
                    <w14:schemeClr w14:val="tx1"/>
                  </w14:solidFill>
                </w14:textFill>
              </w:rPr>
              <w:t>L</w:t>
            </w:r>
            <w:r>
              <w:rPr>
                <w:rFonts w:ascii="Times New Roman" w:hAnsi="Times New Roman" w:eastAsia="Times New Roman" w:cs="Times New Roman"/>
                <w:i/>
                <w:iCs/>
                <w:color w:val="000000" w:themeColor="text1"/>
                <w:spacing w:val="-1"/>
                <w:position w:val="2"/>
                <w:sz w:val="15"/>
                <w:szCs w:val="15"/>
                <w14:textFill>
                  <w14:solidFill>
                    <w14:schemeClr w14:val="tx1"/>
                  </w14:solidFill>
                </w14:textFill>
              </w:rPr>
              <w:t>p</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w:t>
            </w:r>
            <w:r>
              <w:rPr>
                <w:rFonts w:ascii="Times New Roman" w:hAnsi="Times New Roman" w:eastAsia="Times New Roman" w:cs="Times New Roman"/>
                <w:i/>
                <w:iCs/>
                <w:color w:val="000000" w:themeColor="text1"/>
                <w:spacing w:val="-1"/>
                <w:position w:val="3"/>
                <w:sz w:val="24"/>
                <w:szCs w:val="24"/>
                <w14:textFill>
                  <w14:solidFill>
                    <w14:schemeClr w14:val="tx1"/>
                  </w14:solidFill>
                </w14:textFill>
              </w:rPr>
              <w:t>r</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 ——</w:t>
            </w:r>
            <w:r>
              <w:rPr>
                <w:color w:val="000000" w:themeColor="text1"/>
                <w:spacing w:val="-1"/>
                <w:position w:val="3"/>
                <w:sz w:val="24"/>
                <w:szCs w:val="24"/>
                <w14:textFill>
                  <w14:solidFill>
                    <w14:schemeClr w14:val="tx1"/>
                  </w14:solidFill>
                </w14:textFill>
              </w:rPr>
              <w:t>预测点处声压级，</w:t>
            </w:r>
            <w:r>
              <w:rPr>
                <w:rFonts w:ascii="Times New Roman" w:hAnsi="Times New Roman" w:eastAsia="Times New Roman" w:cs="Times New Roman"/>
                <w:color w:val="000000" w:themeColor="text1"/>
                <w:spacing w:val="-1"/>
                <w:position w:val="3"/>
                <w:sz w:val="24"/>
                <w:szCs w:val="24"/>
                <w14:textFill>
                  <w14:solidFill>
                    <w14:schemeClr w14:val="tx1"/>
                  </w14:solidFill>
                </w14:textFill>
              </w:rPr>
              <w:t>dB</w:t>
            </w:r>
            <w:r>
              <w:rPr>
                <w:color w:val="000000" w:themeColor="text1"/>
                <w:spacing w:val="-1"/>
                <w:position w:val="3"/>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position w:val="3"/>
                <w:sz w:val="24"/>
                <w:szCs w:val="24"/>
                <w14:textFill>
                  <w14:solidFill>
                    <w14:schemeClr w14:val="tx1"/>
                  </w14:solidFill>
                </w14:textFill>
              </w:rPr>
              <w:t>L</w:t>
            </w:r>
            <w:r>
              <w:rPr>
                <w:rFonts w:ascii="Times New Roman" w:hAnsi="Times New Roman" w:eastAsia="Times New Roman" w:cs="Times New Roman"/>
                <w:i/>
                <w:iCs/>
                <w:color w:val="000000" w:themeColor="text1"/>
                <w:position w:val="2"/>
                <w:sz w:val="15"/>
                <w:szCs w:val="15"/>
                <w14:textFill>
                  <w14:solidFill>
                    <w14:schemeClr w14:val="tx1"/>
                  </w14:solidFill>
                </w14:textFill>
              </w:rPr>
              <w:t>p</w:t>
            </w:r>
            <w:r>
              <w:rPr>
                <w:rFonts w:ascii="Times New Roman" w:hAnsi="Times New Roman" w:eastAsia="Times New Roman" w:cs="Times New Roman"/>
                <w:color w:val="000000" w:themeColor="text1"/>
                <w:position w:val="3"/>
                <w:sz w:val="24"/>
                <w:szCs w:val="24"/>
                <w14:textFill>
                  <w14:solidFill>
                    <w14:schemeClr w14:val="tx1"/>
                  </w14:solidFill>
                </w14:textFill>
              </w:rPr>
              <w:t>(</w:t>
            </w:r>
            <w:r>
              <w:rPr>
                <w:rFonts w:ascii="Times New Roman" w:hAnsi="Times New Roman" w:eastAsia="Times New Roman" w:cs="Times New Roman"/>
                <w:i/>
                <w:iCs/>
                <w:color w:val="000000" w:themeColor="text1"/>
                <w:position w:val="3"/>
                <w:sz w:val="24"/>
                <w:szCs w:val="24"/>
                <w14:textFill>
                  <w14:solidFill>
                    <w14:schemeClr w14:val="tx1"/>
                  </w14:solidFill>
                </w14:textFill>
              </w:rPr>
              <w:t>r</w:t>
            </w:r>
            <w:r>
              <w:rPr>
                <w:rFonts w:ascii="Times New Roman" w:hAnsi="Times New Roman" w:eastAsia="Times New Roman" w:cs="Times New Roman"/>
                <w:color w:val="000000" w:themeColor="text1"/>
                <w:position w:val="2"/>
                <w:sz w:val="15"/>
                <w:szCs w:val="15"/>
                <w14:textFill>
                  <w14:solidFill>
                    <w14:schemeClr w14:val="tx1"/>
                  </w14:solidFill>
                </w14:textFill>
              </w:rPr>
              <w:t>0</w:t>
            </w:r>
            <w:r>
              <w:rPr>
                <w:rFonts w:ascii="Times New Roman" w:hAnsi="Times New Roman" w:eastAsia="Times New Roman" w:cs="Times New Roman"/>
                <w:color w:val="000000" w:themeColor="text1"/>
                <w:position w:val="3"/>
                <w:sz w:val="24"/>
                <w:szCs w:val="24"/>
                <w14:textFill>
                  <w14:solidFill>
                    <w14:schemeClr w14:val="tx1"/>
                  </w14:solidFill>
                </w14:textFill>
              </w:rPr>
              <w:t>) ——</w:t>
            </w:r>
            <w:r>
              <w:rPr>
                <w:color w:val="000000" w:themeColor="text1"/>
                <w:position w:val="3"/>
                <w:sz w:val="24"/>
                <w:szCs w:val="24"/>
                <w14:textFill>
                  <w14:solidFill>
                    <w14:schemeClr w14:val="tx1"/>
                  </w14:solidFill>
                </w14:textFill>
              </w:rPr>
              <w:t>参考位置</w:t>
            </w:r>
            <w:r>
              <w:rPr>
                <w:color w:val="000000" w:themeColor="text1"/>
                <w:spacing w:val="-48"/>
                <w:position w:val="3"/>
                <w:sz w:val="24"/>
                <w:szCs w:val="24"/>
                <w14:textFill>
                  <w14:solidFill>
                    <w14:schemeClr w14:val="tx1"/>
                  </w14:solidFill>
                </w14:textFill>
              </w:rPr>
              <w:t xml:space="preserve"> </w:t>
            </w:r>
            <w:r>
              <w:rPr>
                <w:rFonts w:ascii="Times New Roman" w:hAnsi="Times New Roman" w:eastAsia="Times New Roman" w:cs="Times New Roman"/>
                <w:i/>
                <w:iCs/>
                <w:color w:val="000000" w:themeColor="text1"/>
                <w:position w:val="3"/>
                <w:sz w:val="24"/>
                <w:szCs w:val="24"/>
                <w14:textFill>
                  <w14:solidFill>
                    <w14:schemeClr w14:val="tx1"/>
                  </w14:solidFill>
                </w14:textFill>
              </w:rPr>
              <w:t>r</w:t>
            </w:r>
            <w:r>
              <w:rPr>
                <w:rFonts w:ascii="Times New Roman" w:hAnsi="Times New Roman" w:eastAsia="Times New Roman" w:cs="Times New Roman"/>
                <w:color w:val="000000" w:themeColor="text1"/>
                <w:position w:val="3"/>
                <w:sz w:val="24"/>
                <w:szCs w:val="24"/>
                <w14:textFill>
                  <w14:solidFill>
                    <w14:schemeClr w14:val="tx1"/>
                  </w14:solidFill>
                </w14:textFill>
              </w:rPr>
              <w:t xml:space="preserve">0 </w:t>
            </w:r>
            <w:r>
              <w:rPr>
                <w:color w:val="000000" w:themeColor="text1"/>
                <w:position w:val="3"/>
                <w:sz w:val="24"/>
                <w:szCs w:val="24"/>
                <w14:textFill>
                  <w14:solidFill>
                    <w14:schemeClr w14:val="tx1"/>
                  </w14:solidFill>
                </w14:textFill>
              </w:rPr>
              <w:t>处的声压级，</w:t>
            </w:r>
            <w:r>
              <w:rPr>
                <w:rFonts w:ascii="Times New Roman" w:hAnsi="Times New Roman" w:eastAsia="Times New Roman" w:cs="Times New Roman"/>
                <w:color w:val="000000" w:themeColor="text1"/>
                <w:position w:val="3"/>
                <w:sz w:val="24"/>
                <w:szCs w:val="24"/>
                <w14:textFill>
                  <w14:solidFill>
                    <w14:schemeClr w14:val="tx1"/>
                  </w14:solidFill>
                </w14:textFill>
              </w:rPr>
              <w:t>dB</w:t>
            </w:r>
            <w:r>
              <w:rPr>
                <w:color w:val="000000" w:themeColor="text1"/>
                <w:position w:val="3"/>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1"/>
                <w:position w:val="17"/>
                <w:sz w:val="24"/>
                <w:szCs w:val="24"/>
                <w14:textFill>
                  <w14:solidFill>
                    <w14:schemeClr w14:val="tx1"/>
                  </w14:solidFill>
                </w14:textFill>
              </w:rPr>
              <w:t xml:space="preserve">r </w:t>
            </w:r>
            <w:r>
              <w:rPr>
                <w:rFonts w:ascii="Times New Roman" w:hAnsi="Times New Roman" w:eastAsia="Times New Roman" w:cs="Times New Roman"/>
                <w:color w:val="000000" w:themeColor="text1"/>
                <w:spacing w:val="-1"/>
                <w:position w:val="17"/>
                <w:sz w:val="24"/>
                <w:szCs w:val="24"/>
                <w14:textFill>
                  <w14:solidFill>
                    <w14:schemeClr w14:val="tx1"/>
                  </w14:solidFill>
                </w14:textFill>
              </w:rPr>
              <w:t>——</w:t>
            </w:r>
            <w:r>
              <w:rPr>
                <w:color w:val="000000" w:themeColor="text1"/>
                <w:spacing w:val="-1"/>
                <w:position w:val="17"/>
                <w:sz w:val="24"/>
                <w:szCs w:val="24"/>
                <w14:textFill>
                  <w14:solidFill>
                    <w14:schemeClr w14:val="tx1"/>
                  </w14:solidFill>
                </w14:textFill>
              </w:rPr>
              <w:t>预测点距声源的距离；</w:t>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1"/>
                <w:sz w:val="24"/>
                <w:szCs w:val="24"/>
                <w14:textFill>
                  <w14:solidFill>
                    <w14:schemeClr w14:val="tx1"/>
                  </w14:solidFill>
                </w14:textFill>
              </w:rPr>
              <w:t>r</w:t>
            </w:r>
            <w:r>
              <w:rPr>
                <w:rFonts w:ascii="Times New Roman" w:hAnsi="Times New Roman" w:eastAsia="Times New Roman" w:cs="Times New Roman"/>
                <w:color w:val="000000" w:themeColor="text1"/>
                <w:spacing w:val="-1"/>
                <w:position w:val="-1"/>
                <w:sz w:val="15"/>
                <w:szCs w:val="15"/>
                <w14:textFill>
                  <w14:solidFill>
                    <w14:schemeClr w14:val="tx1"/>
                  </w14:solidFill>
                </w14:textFill>
              </w:rPr>
              <w:t>0</w:t>
            </w:r>
            <w:r>
              <w:rPr>
                <w:rFonts w:ascii="Times New Roman" w:hAnsi="Times New Roman" w:eastAsia="Times New Roman" w:cs="Times New Roman"/>
                <w:color w:val="000000" w:themeColor="text1"/>
                <w:spacing w:val="-1"/>
                <w:sz w:val="24"/>
                <w:szCs w:val="24"/>
                <w14:textFill>
                  <w14:solidFill>
                    <w14:schemeClr w14:val="tx1"/>
                  </w14:solidFill>
                </w14:textFill>
              </w:rPr>
              <w:t>——</w:t>
            </w:r>
            <w:r>
              <w:rPr>
                <w:color w:val="000000" w:themeColor="text1"/>
                <w:spacing w:val="-1"/>
                <w:sz w:val="24"/>
                <w:szCs w:val="24"/>
                <w14:textFill>
                  <w14:solidFill>
                    <w14:schemeClr w14:val="tx1"/>
                  </w14:solidFill>
                </w14:textFill>
              </w:rPr>
              <w:t>参考位置距声源的距离。</w:t>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color w:val="000000" w:themeColor="text1"/>
                <w:spacing w:val="-1"/>
                <w:sz w:val="24"/>
                <w:szCs w:val="24"/>
                <w14:textFill>
                  <w14:solidFill>
                    <w14:schemeClr w14:val="tx1"/>
                  </w14:solidFill>
                </w14:textFill>
              </w:rPr>
              <w:t>（</w:t>
            </w:r>
            <w:r>
              <w:rPr>
                <w:rFonts w:ascii="Times New Roman" w:hAnsi="Times New Roman" w:eastAsia="Times New Roman" w:cs="Times New Roman"/>
                <w:color w:val="000000" w:themeColor="text1"/>
                <w:spacing w:val="-1"/>
                <w:sz w:val="24"/>
                <w:szCs w:val="24"/>
                <w14:textFill>
                  <w14:solidFill>
                    <w14:schemeClr w14:val="tx1"/>
                  </w14:solidFill>
                </w14:textFill>
              </w:rPr>
              <w:t>4</w:t>
            </w:r>
            <w:r>
              <w:rPr>
                <w:color w:val="000000" w:themeColor="text1"/>
                <w:spacing w:val="-1"/>
                <w:sz w:val="24"/>
                <w:szCs w:val="24"/>
                <w14:textFill>
                  <w14:solidFill>
                    <w14:schemeClr w14:val="tx1"/>
                  </w14:solidFill>
                </w14:textFill>
              </w:rPr>
              <w:t>）室内声源等效室外声源声功率级计算方法</w:t>
            </w:r>
          </w:p>
          <w:p>
            <w:pPr>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rFonts w:ascii="Times New Roman" w:hAnsi="Times New Roman" w:eastAsia="Times New Roman" w:cs="Times New Roman"/>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position w:val="4"/>
                <w:sz w:val="24"/>
                <w:szCs w:val="24"/>
                <w14:textFill>
                  <w14:solidFill>
                    <w14:schemeClr w14:val="tx1"/>
                  </w14:solidFill>
                </w14:textFill>
              </w:rPr>
              <w:t>L</w:t>
            </w:r>
            <w:r>
              <w:rPr>
                <w:rFonts w:ascii="Times New Roman" w:hAnsi="Times New Roman" w:eastAsia="Times New Roman" w:cs="Times New Roman"/>
                <w:i/>
                <w:iCs/>
                <w:color w:val="000000" w:themeColor="text1"/>
                <w:position w:val="3"/>
                <w:sz w:val="15"/>
                <w:szCs w:val="15"/>
                <w14:textFill>
                  <w14:solidFill>
                    <w14:schemeClr w14:val="tx1"/>
                  </w14:solidFill>
                </w14:textFill>
              </w:rPr>
              <w:t>p</w:t>
            </w:r>
            <w:r>
              <w:rPr>
                <w:rFonts w:ascii="Times New Roman" w:hAnsi="Times New Roman" w:eastAsia="Times New Roman" w:cs="Times New Roman"/>
                <w:i/>
                <w:iCs/>
                <w:color w:val="000000" w:themeColor="text1"/>
                <w:spacing w:val="2"/>
                <w:position w:val="3"/>
                <w:sz w:val="15"/>
                <w:szCs w:val="15"/>
                <w14:textFill>
                  <w14:solidFill>
                    <w14:schemeClr w14:val="tx1"/>
                  </w14:solidFill>
                </w14:textFill>
              </w:rPr>
              <w:t>2</w:t>
            </w:r>
            <w:r>
              <w:rPr>
                <w:rFonts w:ascii="Times New Roman" w:hAnsi="Times New Roman" w:eastAsia="Times New Roman" w:cs="Times New Roman"/>
                <w:i/>
                <w:iCs/>
                <w:color w:val="000000" w:themeColor="text1"/>
                <w:spacing w:val="2"/>
                <w:position w:val="4"/>
                <w:sz w:val="24"/>
                <w:szCs w:val="24"/>
                <w14:textFill>
                  <w14:solidFill>
                    <w14:schemeClr w14:val="tx1"/>
                  </w14:solidFill>
                </w14:textFill>
              </w:rPr>
              <w:t>=</w:t>
            </w:r>
            <w:r>
              <w:rPr>
                <w:rFonts w:ascii="Times New Roman" w:hAnsi="Times New Roman" w:eastAsia="Times New Roman" w:cs="Times New Roman"/>
                <w:i/>
                <w:iCs/>
                <w:color w:val="000000" w:themeColor="text1"/>
                <w:position w:val="4"/>
                <w:sz w:val="24"/>
                <w:szCs w:val="24"/>
                <w14:textFill>
                  <w14:solidFill>
                    <w14:schemeClr w14:val="tx1"/>
                  </w14:solidFill>
                </w14:textFill>
              </w:rPr>
              <w:t>L</w:t>
            </w:r>
            <w:r>
              <w:rPr>
                <w:rFonts w:ascii="Times New Roman" w:hAnsi="Times New Roman" w:eastAsia="Times New Roman" w:cs="Times New Roman"/>
                <w:i/>
                <w:iCs/>
                <w:color w:val="000000" w:themeColor="text1"/>
                <w:position w:val="3"/>
                <w:sz w:val="15"/>
                <w:szCs w:val="15"/>
                <w14:textFill>
                  <w14:solidFill>
                    <w14:schemeClr w14:val="tx1"/>
                  </w14:solidFill>
                </w14:textFill>
              </w:rPr>
              <w:t>p</w:t>
            </w:r>
            <w:r>
              <w:rPr>
                <w:rFonts w:ascii="Times New Roman" w:hAnsi="Times New Roman" w:eastAsia="Times New Roman" w:cs="Times New Roman"/>
                <w:i/>
                <w:iCs/>
                <w:color w:val="000000" w:themeColor="text1"/>
                <w:spacing w:val="2"/>
                <w:position w:val="3"/>
                <w:sz w:val="15"/>
                <w:szCs w:val="15"/>
                <w14:textFill>
                  <w14:solidFill>
                    <w14:schemeClr w14:val="tx1"/>
                  </w14:solidFill>
                </w14:textFill>
              </w:rPr>
              <w:t>1</w:t>
            </w:r>
            <w:r>
              <w:rPr>
                <w:rFonts w:ascii="Times New Roman" w:hAnsi="Times New Roman" w:eastAsia="Times New Roman" w:cs="Times New Roman"/>
                <w:i/>
                <w:iCs/>
                <w:color w:val="000000" w:themeColor="text1"/>
                <w:spacing w:val="2"/>
                <w:position w:val="4"/>
                <w:sz w:val="24"/>
                <w:szCs w:val="24"/>
                <w14:textFill>
                  <w14:solidFill>
                    <w14:schemeClr w14:val="tx1"/>
                  </w14:solidFill>
                </w14:textFill>
              </w:rPr>
              <w:t>-(</w:t>
            </w:r>
            <w:r>
              <w:rPr>
                <w:rFonts w:ascii="Times New Roman" w:hAnsi="Times New Roman" w:eastAsia="Times New Roman" w:cs="Times New Roman"/>
                <w:i/>
                <w:iCs/>
                <w:color w:val="000000" w:themeColor="text1"/>
                <w:position w:val="4"/>
                <w:sz w:val="24"/>
                <w:szCs w:val="24"/>
                <w14:textFill>
                  <w14:solidFill>
                    <w14:schemeClr w14:val="tx1"/>
                  </w14:solidFill>
                </w14:textFill>
              </w:rPr>
              <w:t>TL</w:t>
            </w:r>
            <w:r>
              <w:rPr>
                <w:rFonts w:ascii="Times New Roman" w:hAnsi="Times New Roman" w:eastAsia="Times New Roman" w:cs="Times New Roman"/>
                <w:i/>
                <w:iCs/>
                <w:color w:val="000000" w:themeColor="text1"/>
                <w:spacing w:val="2"/>
                <w:position w:val="4"/>
                <w:sz w:val="24"/>
                <w:szCs w:val="24"/>
                <w14:textFill>
                  <w14:solidFill>
                    <w14:schemeClr w14:val="tx1"/>
                  </w14:solidFill>
                </w14:textFill>
              </w:rPr>
              <w:t>+6)</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04" w:firstLineChars="200"/>
              <w:jc w:val="both"/>
              <w:textAlignment w:val="auto"/>
              <w:outlineLvl w:val="9"/>
              <w:rPr>
                <w:color w:val="000000" w:themeColor="text1"/>
                <w:spacing w:val="-7"/>
                <w:sz w:val="24"/>
                <w:szCs w:val="24"/>
                <w14:textFill>
                  <w14:solidFill>
                    <w14:schemeClr w14:val="tx1"/>
                  </w14:solidFill>
                </w14:textFill>
              </w:rPr>
            </w:pPr>
            <w:r>
              <w:rPr>
                <w:color w:val="000000" w:themeColor="text1"/>
                <w:spacing w:val="-19"/>
                <w:sz w:val="24"/>
                <w:szCs w:val="24"/>
                <w14:textFill>
                  <w14:solidFill>
                    <w14:schemeClr w14:val="tx1"/>
                  </w14:solidFill>
                </w14:textFill>
              </w:rPr>
              <w:t>式中：</w:t>
            </w:r>
            <w:r>
              <w:rPr>
                <w:rFonts w:ascii="Times New Roman" w:hAnsi="Times New Roman" w:eastAsia="Times New Roman" w:cs="Times New Roman"/>
                <w:color w:val="000000" w:themeColor="text1"/>
                <w:spacing w:val="-19"/>
                <w:sz w:val="24"/>
                <w:szCs w:val="24"/>
                <w14:textFill>
                  <w14:solidFill>
                    <w14:schemeClr w14:val="tx1"/>
                  </w14:solidFill>
                </w14:textFill>
              </w:rPr>
              <w:t>L</w:t>
            </w:r>
            <w:r>
              <w:rPr>
                <w:rFonts w:ascii="Times New Roman" w:hAnsi="Times New Roman" w:eastAsia="Times New Roman" w:cs="Times New Roman"/>
                <w:color w:val="000000" w:themeColor="text1"/>
                <w:spacing w:val="-7"/>
                <w:position w:val="-1"/>
                <w:sz w:val="15"/>
                <w:szCs w:val="15"/>
                <w14:textFill>
                  <w14:solidFill>
                    <w14:schemeClr w14:val="tx1"/>
                  </w14:solidFill>
                </w14:textFill>
              </w:rPr>
              <w:t>p1</w:t>
            </w:r>
            <w:r>
              <w:rPr>
                <w:rFonts w:ascii="Times New Roman" w:hAnsi="Times New Roman" w:eastAsia="Times New Roman" w:cs="Times New Roman"/>
                <w:color w:val="000000" w:themeColor="text1"/>
                <w:spacing w:val="-7"/>
                <w:sz w:val="24"/>
                <w:szCs w:val="24"/>
                <w14:textFill>
                  <w14:solidFill>
                    <w14:schemeClr w14:val="tx1"/>
                  </w14:solidFill>
                </w14:textFill>
              </w:rPr>
              <w:t>——</w:t>
            </w:r>
            <w:r>
              <w:rPr>
                <w:color w:val="000000" w:themeColor="text1"/>
                <w:spacing w:val="-7"/>
                <w:sz w:val="24"/>
                <w:szCs w:val="24"/>
                <w14:textFill>
                  <w14:solidFill>
                    <w14:schemeClr w14:val="tx1"/>
                  </w14:solidFill>
                </w14:textFill>
              </w:rPr>
              <w:t xml:space="preserve">靠近开口处（或窗户）室内某倍频带的声压级或 </w:t>
            </w:r>
            <w:r>
              <w:rPr>
                <w:rFonts w:ascii="Times New Roman" w:hAnsi="Times New Roman" w:eastAsia="Times New Roman" w:cs="Times New Roman"/>
                <w:color w:val="000000" w:themeColor="text1"/>
                <w:spacing w:val="-7"/>
                <w:sz w:val="24"/>
                <w:szCs w:val="24"/>
                <w14:textFill>
                  <w14:solidFill>
                    <w14:schemeClr w14:val="tx1"/>
                  </w14:solidFill>
                </w14:textFill>
              </w:rPr>
              <w:t xml:space="preserve">A  </w:t>
            </w:r>
            <w:r>
              <w:rPr>
                <w:color w:val="000000" w:themeColor="text1"/>
                <w:spacing w:val="-7"/>
                <w:sz w:val="24"/>
                <w:szCs w:val="24"/>
                <w14:textFill>
                  <w14:solidFill>
                    <w14:schemeClr w14:val="tx1"/>
                  </w14:solidFill>
                </w14:textFill>
              </w:rPr>
              <w:t>声级，</w:t>
            </w:r>
            <w:r>
              <w:rPr>
                <w:rFonts w:ascii="Times New Roman" w:hAnsi="Times New Roman" w:eastAsia="Times New Roman" w:cs="Times New Roman"/>
                <w:color w:val="000000" w:themeColor="text1"/>
                <w:spacing w:val="-7"/>
                <w:sz w:val="24"/>
                <w:szCs w:val="24"/>
                <w14:textFill>
                  <w14:solidFill>
                    <w14:schemeClr w14:val="tx1"/>
                  </w14:solidFill>
                </w14:textFill>
              </w:rPr>
              <w:t>dB</w:t>
            </w:r>
            <w:r>
              <w:rPr>
                <w:color w:val="000000" w:themeColor="text1"/>
                <w:spacing w:val="-7"/>
                <w:sz w:val="24"/>
                <w:szCs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48" w:firstLineChars="200"/>
              <w:jc w:val="both"/>
              <w:textAlignment w:val="auto"/>
              <w:outlineLvl w:val="9"/>
              <w:rPr>
                <w:color w:val="000000" w:themeColor="text1"/>
                <w:spacing w:val="-9"/>
                <w:sz w:val="24"/>
                <w:szCs w:val="24"/>
                <w14:textFill>
                  <w14:solidFill>
                    <w14:schemeClr w14:val="tx1"/>
                  </w14:solidFill>
                </w14:textFill>
              </w:rPr>
            </w:pPr>
            <w:r>
              <w:rPr>
                <w:rFonts w:ascii="Times New Roman" w:hAnsi="Times New Roman" w:eastAsia="Times New Roman" w:cs="Times New Roman"/>
                <w:color w:val="000000" w:themeColor="text1"/>
                <w:spacing w:val="-8"/>
                <w:sz w:val="24"/>
                <w:szCs w:val="24"/>
                <w14:textFill>
                  <w14:solidFill>
                    <w14:schemeClr w14:val="tx1"/>
                  </w14:solidFill>
                </w14:textFill>
              </w:rPr>
              <w:t>L</w:t>
            </w:r>
            <w:r>
              <w:rPr>
                <w:rFonts w:ascii="Times New Roman" w:hAnsi="Times New Roman" w:eastAsia="Times New Roman" w:cs="Times New Roman"/>
                <w:color w:val="000000" w:themeColor="text1"/>
                <w:spacing w:val="-8"/>
                <w:position w:val="-1"/>
                <w:sz w:val="15"/>
                <w:szCs w:val="15"/>
                <w14:textFill>
                  <w14:solidFill>
                    <w14:schemeClr w14:val="tx1"/>
                  </w14:solidFill>
                </w14:textFill>
              </w:rPr>
              <w:t>p2</w:t>
            </w:r>
            <w:r>
              <w:rPr>
                <w:rFonts w:ascii="Times New Roman" w:hAnsi="Times New Roman" w:eastAsia="Times New Roman" w:cs="Times New Roman"/>
                <w:color w:val="000000" w:themeColor="text1"/>
                <w:spacing w:val="-8"/>
                <w:sz w:val="24"/>
                <w:szCs w:val="24"/>
                <w14:textFill>
                  <w14:solidFill>
                    <w14:schemeClr w14:val="tx1"/>
                  </w14:solidFill>
                </w14:textFill>
              </w:rPr>
              <w:t>——</w:t>
            </w:r>
            <w:r>
              <w:rPr>
                <w:color w:val="000000" w:themeColor="text1"/>
                <w:spacing w:val="-8"/>
                <w:sz w:val="24"/>
                <w:szCs w:val="24"/>
                <w14:textFill>
                  <w14:solidFill>
                    <w14:schemeClr w14:val="tx1"/>
                  </w14:solidFill>
                </w14:textFill>
              </w:rPr>
              <w:t>靠近开口处（或窗户）室外某倍频带的声压级或</w:t>
            </w:r>
            <w:r>
              <w:rPr>
                <w:color w:val="000000" w:themeColor="text1"/>
                <w:spacing w:val="-9"/>
                <w:sz w:val="24"/>
                <w:szCs w:val="24"/>
                <w14:textFill>
                  <w14:solidFill>
                    <w14:schemeClr w14:val="tx1"/>
                  </w14:solidFill>
                </w14:textFill>
              </w:rPr>
              <w:t xml:space="preserve"> </w:t>
            </w:r>
            <w:r>
              <w:rPr>
                <w:rFonts w:ascii="Times New Roman" w:hAnsi="Times New Roman" w:eastAsia="Times New Roman" w:cs="Times New Roman"/>
                <w:color w:val="000000" w:themeColor="text1"/>
                <w:spacing w:val="-9"/>
                <w:sz w:val="24"/>
                <w:szCs w:val="24"/>
                <w14:textFill>
                  <w14:solidFill>
                    <w14:schemeClr w14:val="tx1"/>
                  </w14:solidFill>
                </w14:textFill>
              </w:rPr>
              <w:t xml:space="preserve">A  </w:t>
            </w:r>
            <w:r>
              <w:rPr>
                <w:color w:val="000000" w:themeColor="text1"/>
                <w:spacing w:val="-9"/>
                <w:sz w:val="24"/>
                <w:szCs w:val="24"/>
                <w14:textFill>
                  <w14:solidFill>
                    <w14:schemeClr w14:val="tx1"/>
                  </w14:solidFill>
                </w14:textFill>
              </w:rPr>
              <w:t>声级，</w:t>
            </w:r>
            <w:r>
              <w:rPr>
                <w:rFonts w:ascii="Times New Roman" w:hAnsi="Times New Roman" w:eastAsia="Times New Roman" w:cs="Times New Roman"/>
                <w:color w:val="000000" w:themeColor="text1"/>
                <w:spacing w:val="-9"/>
                <w:sz w:val="24"/>
                <w:szCs w:val="24"/>
                <w14:textFill>
                  <w14:solidFill>
                    <w14:schemeClr w14:val="tx1"/>
                  </w14:solidFill>
                </w14:textFill>
              </w:rPr>
              <w:t>dB</w:t>
            </w:r>
            <w:r>
              <w:rPr>
                <w:color w:val="000000" w:themeColor="text1"/>
                <w:spacing w:val="-9"/>
                <w:sz w:val="24"/>
                <w:szCs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76" w:firstLineChars="200"/>
              <w:jc w:val="both"/>
              <w:textAlignment w:val="auto"/>
              <w:outlineLvl w:val="9"/>
              <w:rPr>
                <w:color w:val="000000" w:themeColor="text1"/>
                <w:spacing w:val="-1"/>
                <w:sz w:val="24"/>
                <w:szCs w:val="24"/>
                <w14:textFill>
                  <w14:solidFill>
                    <w14:schemeClr w14:val="tx1"/>
                  </w14:solidFill>
                </w14:textFill>
              </w:rPr>
            </w:pPr>
            <w:r>
              <w:rPr>
                <w:rFonts w:ascii="Times New Roman" w:hAnsi="Times New Roman" w:eastAsia="Times New Roman" w:cs="Times New Roman"/>
                <w:color w:val="000000" w:themeColor="text1"/>
                <w:spacing w:val="-1"/>
                <w:sz w:val="24"/>
                <w:szCs w:val="24"/>
                <w14:textFill>
                  <w14:solidFill>
                    <w14:schemeClr w14:val="tx1"/>
                  </w14:solidFill>
                </w14:textFill>
              </w:rPr>
              <w:t>TL——</w:t>
            </w:r>
            <w:r>
              <w:rPr>
                <w:rFonts w:ascii="Times New Roman" w:hAnsi="Times New Roman" w:eastAsia="Times New Roman" w:cs="Times New Roman"/>
                <w:color w:val="000000" w:themeColor="text1"/>
                <w:spacing w:val="-36"/>
                <w:sz w:val="24"/>
                <w:szCs w:val="24"/>
                <w14:textFill>
                  <w14:solidFill>
                    <w14:schemeClr w14:val="tx1"/>
                  </w14:solidFill>
                </w14:textFill>
              </w:rPr>
              <w:t xml:space="preserve"> </w:t>
            </w:r>
            <w:r>
              <w:rPr>
                <w:color w:val="000000" w:themeColor="text1"/>
                <w:spacing w:val="-1"/>
                <w:sz w:val="24"/>
                <w:szCs w:val="24"/>
                <w14:textFill>
                  <w14:solidFill>
                    <w14:schemeClr w14:val="tx1"/>
                  </w14:solidFill>
                </w14:textFill>
              </w:rPr>
              <w:t xml:space="preserve">隔墙（或窗户）倍频带或 </w:t>
            </w:r>
            <w:r>
              <w:rPr>
                <w:rFonts w:ascii="Times New Roman" w:hAnsi="Times New Roman" w:eastAsia="Times New Roman" w:cs="Times New Roman"/>
                <w:color w:val="000000" w:themeColor="text1"/>
                <w:spacing w:val="-1"/>
                <w:sz w:val="24"/>
                <w:szCs w:val="24"/>
                <w14:textFill>
                  <w14:solidFill>
                    <w14:schemeClr w14:val="tx1"/>
                  </w14:solidFill>
                </w14:textFill>
              </w:rPr>
              <w:t xml:space="preserve">A  </w:t>
            </w:r>
            <w:r>
              <w:rPr>
                <w:color w:val="000000" w:themeColor="text1"/>
                <w:spacing w:val="-1"/>
                <w:sz w:val="24"/>
                <w:szCs w:val="24"/>
                <w14:textFill>
                  <w14:solidFill>
                    <w14:schemeClr w14:val="tx1"/>
                  </w14:solidFill>
                </w14:textFill>
              </w:rPr>
              <w:t>声级的隔声量，</w:t>
            </w:r>
            <w:r>
              <w:rPr>
                <w:rFonts w:ascii="Times New Roman" w:hAnsi="Times New Roman" w:eastAsia="Times New Roman" w:cs="Times New Roman"/>
                <w:color w:val="000000" w:themeColor="text1"/>
                <w:spacing w:val="-1"/>
                <w:sz w:val="24"/>
                <w:szCs w:val="24"/>
                <w14:textFill>
                  <w14:solidFill>
                    <w14:schemeClr w14:val="tx1"/>
                  </w14:solidFill>
                </w14:textFill>
              </w:rPr>
              <w:t>dB</w:t>
            </w:r>
            <w:r>
              <w:rPr>
                <w:color w:val="000000" w:themeColor="text1"/>
                <w:spacing w:val="-1"/>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72" w:firstLineChars="200"/>
              <w:textAlignment w:val="auto"/>
              <w:rPr>
                <w:color w:val="000000" w:themeColor="text1"/>
                <w:sz w:val="24"/>
                <w:szCs w:val="24"/>
                <w14:textFill>
                  <w14:solidFill>
                    <w14:schemeClr w14:val="tx1"/>
                  </w14:solidFill>
                </w14:textFill>
              </w:rPr>
            </w:pPr>
            <w:r>
              <w:rPr>
                <w:color w:val="000000" w:themeColor="text1"/>
                <w:spacing w:val="-2"/>
                <w:sz w:val="24"/>
                <w:szCs w:val="24"/>
                <w14:textFill>
                  <w14:solidFill>
                    <w14:schemeClr w14:val="tx1"/>
                  </w14:solidFill>
                </w14:textFill>
              </w:rPr>
              <w:t>（</w:t>
            </w:r>
            <w:r>
              <w:rPr>
                <w:rFonts w:ascii="Times New Roman" w:hAnsi="Times New Roman" w:eastAsia="Times New Roman" w:cs="Times New Roman"/>
                <w:color w:val="000000" w:themeColor="text1"/>
                <w:spacing w:val="-2"/>
                <w:sz w:val="24"/>
                <w:szCs w:val="24"/>
                <w14:textFill>
                  <w14:solidFill>
                    <w14:schemeClr w14:val="tx1"/>
                  </w14:solidFill>
                </w14:textFill>
              </w:rPr>
              <w:t>5</w:t>
            </w:r>
            <w:r>
              <w:rPr>
                <w:color w:val="000000" w:themeColor="text1"/>
                <w:spacing w:val="-2"/>
                <w:sz w:val="24"/>
                <w:szCs w:val="24"/>
                <w14:textFill>
                  <w14:solidFill>
                    <w14:schemeClr w14:val="tx1"/>
                  </w14:solidFill>
                </w14:textFill>
              </w:rPr>
              <w:t>）工业企业噪声贡献值</w:t>
            </w:r>
          </w:p>
          <w:p>
            <w:pPr>
              <w:keepNext w:val="0"/>
              <w:keepLines w:val="0"/>
              <w:pageBreakBefore w:val="0"/>
              <w:widowControl w:val="0"/>
              <w:kinsoku/>
              <w:wordWrap/>
              <w:overflowPunct/>
              <w:topLinePunct w:val="0"/>
              <w:autoSpaceDE/>
              <w:autoSpaceDN/>
              <w:bidi w:val="0"/>
              <w:spacing w:line="360" w:lineRule="auto"/>
              <w:ind w:left="0" w:right="0" w:firstLine="420" w:firstLineChars="200"/>
              <w:textAlignment w:val="auto"/>
              <w:rPr>
                <w:color w:val="000000" w:themeColor="text1"/>
                <w14:textFill>
                  <w14:solidFill>
                    <w14:schemeClr w14:val="tx1"/>
                  </w14:solidFill>
                </w14:textFill>
              </w:rPr>
            </w:pPr>
            <w:r>
              <w:rPr>
                <w:color w:val="000000" w:themeColor="text1"/>
                <w:position w:val="-20"/>
                <w14:textFill>
                  <w14:solidFill>
                    <w14:schemeClr w14:val="tx1"/>
                  </w14:solidFill>
                </w14:textFill>
              </w:rPr>
              <w:drawing>
                <wp:inline distT="0" distB="0" distL="0" distR="0">
                  <wp:extent cx="3133090" cy="640080"/>
                  <wp:effectExtent l="0" t="0" r="10160" b="7620"/>
                  <wp:docPr id="514" name="IM 514"/>
                  <wp:cNvGraphicFramePr/>
                  <a:graphic xmlns:a="http://schemas.openxmlformats.org/drawingml/2006/main">
                    <a:graphicData uri="http://schemas.openxmlformats.org/drawingml/2006/picture">
                      <pic:pic xmlns:pic="http://schemas.openxmlformats.org/drawingml/2006/picture">
                        <pic:nvPicPr>
                          <pic:cNvPr id="514" name="IM 514"/>
                          <pic:cNvPicPr/>
                        </pic:nvPicPr>
                        <pic:blipFill>
                          <a:blip r:embed="rId16"/>
                          <a:stretch>
                            <a:fillRect/>
                          </a:stretch>
                        </pic:blipFill>
                        <pic:spPr>
                          <a:xfrm>
                            <a:off x="0" y="0"/>
                            <a:ext cx="3133344" cy="640701"/>
                          </a:xfrm>
                          <a:prstGeom prst="rect">
                            <a:avLst/>
                          </a:prstGeom>
                        </pic:spPr>
                      </pic:pic>
                    </a:graphicData>
                  </a:graphic>
                </wp:inline>
              </w:drawing>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color w:val="000000" w:themeColor="text1"/>
                <w:position w:val="2"/>
                <w:sz w:val="24"/>
                <w:szCs w:val="24"/>
                <w14:textFill>
                  <w14:solidFill>
                    <w14:schemeClr w14:val="tx1"/>
                  </w14:solidFill>
                </w14:textFill>
              </w:rPr>
              <w:t>式中：</w:t>
            </w:r>
            <w:r>
              <w:rPr>
                <w:rFonts w:ascii="Times New Roman" w:hAnsi="Times New Roman" w:eastAsia="Times New Roman" w:cs="Times New Roman"/>
                <w:i/>
                <w:iCs/>
                <w:color w:val="000000" w:themeColor="text1"/>
                <w:position w:val="2"/>
                <w:sz w:val="24"/>
                <w:szCs w:val="24"/>
                <w14:textFill>
                  <w14:solidFill>
                    <w14:schemeClr w14:val="tx1"/>
                  </w14:solidFill>
                </w14:textFill>
              </w:rPr>
              <w:t>L</w:t>
            </w:r>
            <w:r>
              <w:rPr>
                <w:rFonts w:ascii="Times New Roman" w:hAnsi="Times New Roman" w:eastAsia="Times New Roman" w:cs="Times New Roman"/>
                <w:color w:val="000000" w:themeColor="text1"/>
                <w:position w:val="1"/>
                <w:sz w:val="15"/>
                <w:szCs w:val="15"/>
                <w14:textFill>
                  <w14:solidFill>
                    <w14:schemeClr w14:val="tx1"/>
                  </w14:solidFill>
                </w14:textFill>
              </w:rPr>
              <w:t>eqg</w:t>
            </w:r>
            <w:r>
              <w:rPr>
                <w:rFonts w:ascii="Times New Roman" w:hAnsi="Times New Roman" w:eastAsia="Times New Roman" w:cs="Times New Roman"/>
                <w:color w:val="000000" w:themeColor="text1"/>
                <w:position w:val="2"/>
                <w:sz w:val="24"/>
                <w:szCs w:val="24"/>
                <w14:textFill>
                  <w14:solidFill>
                    <w14:schemeClr w14:val="tx1"/>
                  </w14:solidFill>
                </w14:textFill>
              </w:rPr>
              <w:t>——</w:t>
            </w:r>
            <w:r>
              <w:rPr>
                <w:color w:val="000000" w:themeColor="text1"/>
                <w:position w:val="2"/>
                <w:sz w:val="24"/>
                <w:szCs w:val="24"/>
                <w14:textFill>
                  <w14:solidFill>
                    <w14:schemeClr w14:val="tx1"/>
                  </w14:solidFill>
                </w14:textFill>
              </w:rPr>
              <w:t>建设项目声源在预测点产生的噪</w:t>
            </w:r>
            <w:r>
              <w:rPr>
                <w:color w:val="000000" w:themeColor="text1"/>
                <w:spacing w:val="-1"/>
                <w:position w:val="2"/>
                <w:sz w:val="24"/>
                <w:szCs w:val="24"/>
                <w14:textFill>
                  <w14:solidFill>
                    <w14:schemeClr w14:val="tx1"/>
                  </w14:solidFill>
                </w14:textFill>
              </w:rPr>
              <w:t>声贡献值，</w:t>
            </w:r>
            <w:r>
              <w:rPr>
                <w:rFonts w:ascii="Times New Roman" w:hAnsi="Times New Roman" w:eastAsia="Times New Roman" w:cs="Times New Roman"/>
                <w:color w:val="000000" w:themeColor="text1"/>
                <w:spacing w:val="-1"/>
                <w:position w:val="2"/>
                <w:sz w:val="24"/>
                <w:szCs w:val="24"/>
                <w14:textFill>
                  <w14:solidFill>
                    <w14:schemeClr w14:val="tx1"/>
                  </w14:solidFill>
                </w14:textFill>
              </w:rPr>
              <w:t>dB</w:t>
            </w:r>
            <w:r>
              <w:rPr>
                <w:color w:val="000000" w:themeColor="text1"/>
                <w:spacing w:val="-1"/>
                <w:position w:val="2"/>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80"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position w:val="17"/>
                <w:sz w:val="24"/>
                <w:szCs w:val="24"/>
                <w14:textFill>
                  <w14:solidFill>
                    <w14:schemeClr w14:val="tx1"/>
                  </w14:solidFill>
                </w14:textFill>
              </w:rPr>
              <w:t>T</w:t>
            </w:r>
            <w:r>
              <w:rPr>
                <w:rFonts w:ascii="Times New Roman" w:hAnsi="Times New Roman" w:eastAsia="Times New Roman" w:cs="Times New Roman"/>
                <w:i/>
                <w:iCs/>
                <w:color w:val="000000" w:themeColor="text1"/>
                <w:spacing w:val="-17"/>
                <w:position w:val="17"/>
                <w:sz w:val="24"/>
                <w:szCs w:val="24"/>
                <w14:textFill>
                  <w14:solidFill>
                    <w14:schemeClr w14:val="tx1"/>
                  </w14:solidFill>
                </w14:textFill>
              </w:rPr>
              <w:t xml:space="preserve"> </w:t>
            </w:r>
            <w:r>
              <w:rPr>
                <w:rFonts w:ascii="Times New Roman" w:hAnsi="Times New Roman" w:eastAsia="Times New Roman" w:cs="Times New Roman"/>
                <w:color w:val="000000" w:themeColor="text1"/>
                <w:position w:val="17"/>
                <w:sz w:val="24"/>
                <w:szCs w:val="24"/>
                <w14:textFill>
                  <w14:solidFill>
                    <w14:schemeClr w14:val="tx1"/>
                  </w14:solidFill>
                </w14:textFill>
              </w:rPr>
              <w:t>——</w:t>
            </w:r>
            <w:r>
              <w:rPr>
                <w:color w:val="000000" w:themeColor="text1"/>
                <w:position w:val="17"/>
                <w:sz w:val="24"/>
                <w:szCs w:val="24"/>
                <w14:textFill>
                  <w14:solidFill>
                    <w14:schemeClr w14:val="tx1"/>
                  </w14:solidFill>
                </w14:textFill>
              </w:rPr>
              <w:t>用于计算等效声级的时间，</w:t>
            </w:r>
            <w:r>
              <w:rPr>
                <w:rFonts w:ascii="Times New Roman" w:hAnsi="Times New Roman" w:eastAsia="Times New Roman" w:cs="Times New Roman"/>
                <w:color w:val="000000" w:themeColor="text1"/>
                <w:position w:val="17"/>
                <w:sz w:val="24"/>
                <w:szCs w:val="24"/>
                <w14:textFill>
                  <w14:solidFill>
                    <w14:schemeClr w14:val="tx1"/>
                  </w14:solidFill>
                </w14:textFill>
              </w:rPr>
              <w:t>s</w:t>
            </w:r>
            <w:r>
              <w:rPr>
                <w:color w:val="000000" w:themeColor="text1"/>
                <w:position w:val="17"/>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92"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3"/>
                <w:sz w:val="24"/>
                <w:szCs w:val="24"/>
                <w14:textFill>
                  <w14:solidFill>
                    <w14:schemeClr w14:val="tx1"/>
                  </w14:solidFill>
                </w14:textFill>
              </w:rPr>
              <w:t>N</w:t>
            </w:r>
            <w:r>
              <w:rPr>
                <w:rFonts w:ascii="Times New Roman" w:hAnsi="Times New Roman" w:eastAsia="Times New Roman" w:cs="Times New Roman"/>
                <w:i/>
                <w:iCs/>
                <w:color w:val="000000" w:themeColor="text1"/>
                <w:spacing w:val="-24"/>
                <w:sz w:val="24"/>
                <w:szCs w:val="24"/>
                <w14:textFill>
                  <w14:solidFill>
                    <w14:schemeClr w14:val="tx1"/>
                  </w14:solidFill>
                </w14:textFill>
              </w:rPr>
              <w:t xml:space="preserve"> </w:t>
            </w:r>
            <w:r>
              <w:rPr>
                <w:rFonts w:ascii="Times New Roman" w:hAnsi="Times New Roman" w:eastAsia="Times New Roman" w:cs="Times New Roman"/>
                <w:color w:val="000000" w:themeColor="text1"/>
                <w:spacing w:val="3"/>
                <w:sz w:val="24"/>
                <w:szCs w:val="24"/>
                <w14:textFill>
                  <w14:solidFill>
                    <w14:schemeClr w14:val="tx1"/>
                  </w14:solidFill>
                </w14:textFill>
              </w:rPr>
              <w:t>——</w:t>
            </w:r>
            <w:r>
              <w:rPr>
                <w:color w:val="000000" w:themeColor="text1"/>
                <w:spacing w:val="3"/>
                <w:sz w:val="24"/>
                <w:szCs w:val="24"/>
                <w14:textFill>
                  <w14:solidFill>
                    <w14:schemeClr w14:val="tx1"/>
                  </w14:solidFill>
                </w14:textFill>
              </w:rPr>
              <w:t>室外声源个数；</w:t>
            </w:r>
          </w:p>
          <w:p>
            <w:pPr>
              <w:pStyle w:val="94"/>
              <w:keepNext w:val="0"/>
              <w:keepLines w:val="0"/>
              <w:pageBreakBefore w:val="0"/>
              <w:widowControl w:val="0"/>
              <w:kinsoku/>
              <w:wordWrap/>
              <w:overflowPunct/>
              <w:topLinePunct w:val="0"/>
              <w:autoSpaceDE/>
              <w:autoSpaceDN/>
              <w:bidi w:val="0"/>
              <w:spacing w:line="360" w:lineRule="auto"/>
              <w:ind w:left="0" w:right="0" w:firstLine="476"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1"/>
                <w:position w:val="17"/>
                <w:sz w:val="24"/>
                <w:szCs w:val="24"/>
                <w14:textFill>
                  <w14:solidFill>
                    <w14:schemeClr w14:val="tx1"/>
                  </w14:solidFill>
                </w14:textFill>
              </w:rPr>
              <w:t xml:space="preserve">t </w:t>
            </w:r>
            <w:r>
              <w:rPr>
                <w:rFonts w:ascii="Times New Roman" w:hAnsi="Times New Roman" w:eastAsia="Times New Roman" w:cs="Times New Roman"/>
                <w:i/>
                <w:iCs/>
                <w:color w:val="000000" w:themeColor="text1"/>
                <w:spacing w:val="-1"/>
                <w:position w:val="16"/>
                <w:sz w:val="15"/>
                <w:szCs w:val="15"/>
                <w14:textFill>
                  <w14:solidFill>
                    <w14:schemeClr w14:val="tx1"/>
                  </w14:solidFill>
                </w14:textFill>
              </w:rPr>
              <w:t>i</w:t>
            </w:r>
            <w:r>
              <w:rPr>
                <w:rFonts w:ascii="Times New Roman" w:hAnsi="Times New Roman" w:eastAsia="Times New Roman" w:cs="Times New Roman"/>
                <w:i/>
                <w:iCs/>
                <w:color w:val="000000" w:themeColor="text1"/>
                <w:spacing w:val="24"/>
                <w:position w:val="16"/>
                <w:sz w:val="15"/>
                <w:szCs w:val="15"/>
                <w14:textFill>
                  <w14:solidFill>
                    <w14:schemeClr w14:val="tx1"/>
                  </w14:solidFill>
                </w14:textFill>
              </w:rPr>
              <w:t xml:space="preserve"> </w:t>
            </w:r>
            <w:r>
              <w:rPr>
                <w:rFonts w:ascii="Times New Roman" w:hAnsi="Times New Roman" w:eastAsia="Times New Roman" w:cs="Times New Roman"/>
                <w:color w:val="000000" w:themeColor="text1"/>
                <w:spacing w:val="-1"/>
                <w:position w:val="17"/>
                <w:sz w:val="24"/>
                <w:szCs w:val="24"/>
                <w14:textFill>
                  <w14:solidFill>
                    <w14:schemeClr w14:val="tx1"/>
                  </w14:solidFill>
                </w14:textFill>
              </w:rPr>
              <w:t>——</w:t>
            </w:r>
            <w:r>
              <w:rPr>
                <w:color w:val="000000" w:themeColor="text1"/>
                <w:spacing w:val="-1"/>
                <w:position w:val="17"/>
                <w:sz w:val="24"/>
                <w:szCs w:val="24"/>
                <w14:textFill>
                  <w14:solidFill>
                    <w14:schemeClr w14:val="tx1"/>
                  </w14:solidFill>
                </w14:textFill>
              </w:rPr>
              <w:t xml:space="preserve">在 </w:t>
            </w:r>
            <w:r>
              <w:rPr>
                <w:rFonts w:ascii="Times New Roman" w:hAnsi="Times New Roman" w:eastAsia="Times New Roman" w:cs="Times New Roman"/>
                <w:i/>
                <w:iCs/>
                <w:color w:val="000000" w:themeColor="text1"/>
                <w:spacing w:val="-1"/>
                <w:position w:val="17"/>
                <w:sz w:val="24"/>
                <w:szCs w:val="24"/>
                <w14:textFill>
                  <w14:solidFill>
                    <w14:schemeClr w14:val="tx1"/>
                  </w14:solidFill>
                </w14:textFill>
              </w:rPr>
              <w:t xml:space="preserve">T  </w:t>
            </w:r>
            <w:r>
              <w:rPr>
                <w:color w:val="000000" w:themeColor="text1"/>
                <w:spacing w:val="-1"/>
                <w:position w:val="17"/>
                <w:sz w:val="24"/>
                <w:szCs w:val="24"/>
                <w14:textFill>
                  <w14:solidFill>
                    <w14:schemeClr w14:val="tx1"/>
                  </w14:solidFill>
                </w14:textFill>
              </w:rPr>
              <w:t xml:space="preserve">时间内 </w:t>
            </w:r>
            <w:r>
              <w:rPr>
                <w:rFonts w:ascii="Times New Roman" w:hAnsi="Times New Roman" w:eastAsia="Times New Roman" w:cs="Times New Roman"/>
                <w:i/>
                <w:iCs/>
                <w:color w:val="000000" w:themeColor="text1"/>
                <w:spacing w:val="-1"/>
                <w:position w:val="17"/>
                <w:sz w:val="24"/>
                <w:szCs w:val="24"/>
                <w14:textFill>
                  <w14:solidFill>
                    <w14:schemeClr w14:val="tx1"/>
                  </w14:solidFill>
                </w14:textFill>
              </w:rPr>
              <w:t>i</w:t>
            </w:r>
            <w:r>
              <w:rPr>
                <w:rFonts w:ascii="Times New Roman" w:hAnsi="Times New Roman" w:eastAsia="Times New Roman" w:cs="Times New Roman"/>
                <w:i/>
                <w:iCs/>
                <w:color w:val="000000" w:themeColor="text1"/>
                <w:spacing w:val="6"/>
                <w:position w:val="17"/>
                <w:sz w:val="24"/>
                <w:szCs w:val="24"/>
                <w14:textFill>
                  <w14:solidFill>
                    <w14:schemeClr w14:val="tx1"/>
                  </w14:solidFill>
                </w14:textFill>
              </w:rPr>
              <w:t xml:space="preserve">  </w:t>
            </w:r>
            <w:r>
              <w:rPr>
                <w:color w:val="000000" w:themeColor="text1"/>
                <w:spacing w:val="-1"/>
                <w:position w:val="17"/>
                <w:sz w:val="24"/>
                <w:szCs w:val="24"/>
                <w14:textFill>
                  <w14:solidFill>
                    <w14:schemeClr w14:val="tx1"/>
                  </w14:solidFill>
                </w14:textFill>
              </w:rPr>
              <w:t>声源工作时间，</w:t>
            </w:r>
            <w:r>
              <w:rPr>
                <w:rFonts w:ascii="Times New Roman" w:hAnsi="Times New Roman" w:eastAsia="Times New Roman" w:cs="Times New Roman"/>
                <w:color w:val="000000" w:themeColor="text1"/>
                <w:spacing w:val="-1"/>
                <w:position w:val="17"/>
                <w:sz w:val="24"/>
                <w:szCs w:val="24"/>
                <w14:textFill>
                  <w14:solidFill>
                    <w14:schemeClr w14:val="tx1"/>
                  </w14:solidFill>
                </w14:textFill>
              </w:rPr>
              <w:t>s</w:t>
            </w:r>
            <w:r>
              <w:rPr>
                <w:color w:val="000000" w:themeColor="text1"/>
                <w:spacing w:val="-1"/>
                <w:position w:val="17"/>
                <w:sz w:val="24"/>
                <w:szCs w:val="24"/>
                <w14:textFill>
                  <w14:solidFill>
                    <w14:schemeClr w14:val="tx1"/>
                  </w14:solidFill>
                </w14:textFill>
              </w:rPr>
              <w:t>；</w:t>
            </w:r>
          </w:p>
          <w:p>
            <w:pPr>
              <w:pStyle w:val="94"/>
              <w:keepNext w:val="0"/>
              <w:keepLines w:val="0"/>
              <w:pageBreakBefore w:val="0"/>
              <w:widowControl w:val="0"/>
              <w:kinsoku/>
              <w:wordWrap/>
              <w:overflowPunct/>
              <w:topLinePunct w:val="0"/>
              <w:autoSpaceDE/>
              <w:autoSpaceDN/>
              <w:bidi w:val="0"/>
              <w:spacing w:line="360" w:lineRule="auto"/>
              <w:ind w:left="0" w:right="0" w:firstLine="488" w:firstLineChars="200"/>
              <w:textAlignment w:val="auto"/>
              <w:rPr>
                <w:color w:val="000000" w:themeColor="text1"/>
                <w:sz w:val="24"/>
                <w:szCs w:val="24"/>
                <w14:textFill>
                  <w14:solidFill>
                    <w14:schemeClr w14:val="tx1"/>
                  </w14:solidFill>
                </w14:textFill>
              </w:rPr>
            </w:pPr>
            <w:r>
              <w:rPr>
                <w:rFonts w:ascii="Times New Roman" w:hAnsi="Times New Roman" w:eastAsia="Times New Roman" w:cs="Times New Roman"/>
                <w:i/>
                <w:iCs/>
                <w:color w:val="000000" w:themeColor="text1"/>
                <w:spacing w:val="2"/>
                <w:sz w:val="24"/>
                <w:szCs w:val="24"/>
                <w14:textFill>
                  <w14:solidFill>
                    <w14:schemeClr w14:val="tx1"/>
                  </w14:solidFill>
                </w14:textFill>
              </w:rPr>
              <w:t>M</w:t>
            </w:r>
            <w:r>
              <w:rPr>
                <w:rFonts w:ascii="Times New Roman" w:hAnsi="Times New Roman" w:eastAsia="Times New Roman" w:cs="Times New Roman"/>
                <w:i/>
                <w:iCs/>
                <w:color w:val="000000" w:themeColor="text1"/>
                <w:spacing w:val="-19"/>
                <w:sz w:val="24"/>
                <w:szCs w:val="24"/>
                <w14:textFill>
                  <w14:solidFill>
                    <w14:schemeClr w14:val="tx1"/>
                  </w14:solidFill>
                </w14:textFill>
              </w:rPr>
              <w:t xml:space="preserve"> </w:t>
            </w:r>
            <w:r>
              <w:rPr>
                <w:rFonts w:ascii="Times New Roman" w:hAnsi="Times New Roman" w:eastAsia="Times New Roman" w:cs="Times New Roman"/>
                <w:color w:val="000000" w:themeColor="text1"/>
                <w:spacing w:val="2"/>
                <w:sz w:val="24"/>
                <w:szCs w:val="24"/>
                <w14:textFill>
                  <w14:solidFill>
                    <w14:schemeClr w14:val="tx1"/>
                  </w14:solidFill>
                </w14:textFill>
              </w:rPr>
              <w:t>——</w:t>
            </w:r>
            <w:r>
              <w:rPr>
                <w:color w:val="000000" w:themeColor="text1"/>
                <w:spacing w:val="2"/>
                <w:sz w:val="24"/>
                <w:szCs w:val="24"/>
                <w14:textFill>
                  <w14:solidFill>
                    <w14:schemeClr w14:val="tx1"/>
                  </w14:solidFill>
                </w14:textFill>
              </w:rPr>
              <w:t>等效室外声源个数；</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color w:val="000000" w:themeColor="text1"/>
                <w:spacing w:val="-1"/>
                <w:sz w:val="24"/>
                <w:szCs w:val="24"/>
                <w14:textFill>
                  <w14:solidFill>
                    <w14:schemeClr w14:val="tx1"/>
                  </w14:solidFill>
                </w14:textFill>
              </w:rPr>
            </w:pPr>
            <w:r>
              <w:rPr>
                <w:rFonts w:ascii="Times New Roman" w:hAnsi="Times New Roman" w:eastAsia="Times New Roman" w:cs="Times New Roman"/>
                <w:i/>
                <w:iCs/>
                <w:color w:val="000000" w:themeColor="text1"/>
                <w:sz w:val="24"/>
                <w:szCs w:val="24"/>
                <w14:textFill>
                  <w14:solidFill>
                    <w14:schemeClr w14:val="tx1"/>
                  </w14:solidFill>
                </w14:textFill>
              </w:rPr>
              <w:t>t</w:t>
            </w:r>
            <w:r>
              <w:rPr>
                <w:rFonts w:ascii="Times New Roman" w:hAnsi="Times New Roman" w:eastAsia="Times New Roman" w:cs="Times New Roman"/>
                <w:i/>
                <w:iCs/>
                <w:color w:val="000000" w:themeColor="text1"/>
                <w:position w:val="-1"/>
                <w:sz w:val="15"/>
                <w:szCs w:val="15"/>
                <w14:textFill>
                  <w14:solidFill>
                    <w14:schemeClr w14:val="tx1"/>
                  </w14:solidFill>
                </w14:textFill>
              </w:rPr>
              <w:t>j</w:t>
            </w:r>
            <w:r>
              <w:rPr>
                <w:rFonts w:ascii="Times New Roman" w:hAnsi="Times New Roman" w:eastAsia="Times New Roman" w:cs="Times New Roman"/>
                <w:i/>
                <w:iCs/>
                <w:color w:val="000000" w:themeColor="text1"/>
                <w:spacing w:val="25"/>
                <w:w w:val="102"/>
                <w:position w:val="-1"/>
                <w:sz w:val="15"/>
                <w:szCs w:val="15"/>
                <w14:textFill>
                  <w14:solidFill>
                    <w14:schemeClr w14:val="tx1"/>
                  </w14:solidFill>
                </w14:textFill>
              </w:rPr>
              <w:t xml:space="preserve"> </w:t>
            </w:r>
            <w:r>
              <w:rPr>
                <w:rFonts w:ascii="Times New Roman" w:hAnsi="Times New Roman" w:eastAsia="Times New Roman" w:cs="Times New Roman"/>
                <w:color w:val="000000" w:themeColor="text1"/>
                <w:spacing w:val="4"/>
                <w:sz w:val="24"/>
                <w:szCs w:val="24"/>
                <w14:textFill>
                  <w14:solidFill>
                    <w14:schemeClr w14:val="tx1"/>
                  </w14:solidFill>
                </w14:textFill>
              </w:rPr>
              <w:t>——</w:t>
            </w:r>
            <w:r>
              <w:rPr>
                <w:color w:val="000000" w:themeColor="text1"/>
                <w:spacing w:val="4"/>
                <w:sz w:val="24"/>
                <w:szCs w:val="24"/>
                <w14:textFill>
                  <w14:solidFill>
                    <w14:schemeClr w14:val="tx1"/>
                  </w14:solidFill>
                </w14:textFill>
              </w:rPr>
              <w:t xml:space="preserve">在 </w:t>
            </w:r>
            <w:r>
              <w:rPr>
                <w:rFonts w:ascii="Times New Roman" w:hAnsi="Times New Roman" w:eastAsia="Times New Roman" w:cs="Times New Roman"/>
                <w:i/>
                <w:iCs/>
                <w:color w:val="000000" w:themeColor="text1"/>
                <w:spacing w:val="4"/>
                <w:sz w:val="24"/>
                <w:szCs w:val="24"/>
                <w14:textFill>
                  <w14:solidFill>
                    <w14:schemeClr w14:val="tx1"/>
                  </w14:solidFill>
                </w14:textFill>
              </w:rPr>
              <w:t xml:space="preserve">T  </w:t>
            </w:r>
            <w:r>
              <w:rPr>
                <w:color w:val="000000" w:themeColor="text1"/>
                <w:spacing w:val="4"/>
                <w:sz w:val="24"/>
                <w:szCs w:val="24"/>
                <w14:textFill>
                  <w14:solidFill>
                    <w14:schemeClr w14:val="tx1"/>
                  </w14:solidFill>
                </w14:textFill>
              </w:rPr>
              <w:t>时间内</w:t>
            </w:r>
            <w:r>
              <w:rPr>
                <w:color w:val="000000" w:themeColor="text1"/>
                <w:spacing w:val="-42"/>
                <w:sz w:val="24"/>
                <w:szCs w:val="24"/>
                <w14:textFill>
                  <w14:solidFill>
                    <w14:schemeClr w14:val="tx1"/>
                  </w14:solidFill>
                </w14:textFill>
              </w:rPr>
              <w:t xml:space="preserve"> </w:t>
            </w:r>
            <w:r>
              <w:rPr>
                <w:rFonts w:ascii="Times New Roman" w:hAnsi="Times New Roman" w:eastAsia="Times New Roman" w:cs="Times New Roman"/>
                <w:i/>
                <w:iCs/>
                <w:color w:val="000000" w:themeColor="text1"/>
                <w:spacing w:val="4"/>
                <w:sz w:val="24"/>
                <w:szCs w:val="24"/>
                <w14:textFill>
                  <w14:solidFill>
                    <w14:schemeClr w14:val="tx1"/>
                  </w14:solidFill>
                </w14:textFill>
              </w:rPr>
              <w:t xml:space="preserve">j  </w:t>
            </w:r>
            <w:r>
              <w:rPr>
                <w:color w:val="000000" w:themeColor="text1"/>
                <w:spacing w:val="4"/>
                <w:sz w:val="24"/>
                <w:szCs w:val="24"/>
                <w14:textFill>
                  <w14:solidFill>
                    <w14:schemeClr w14:val="tx1"/>
                  </w14:solidFill>
                </w14:textFill>
              </w:rPr>
              <w:t>声源工作时间，</w:t>
            </w:r>
            <w:r>
              <w:rPr>
                <w:rFonts w:ascii="Times New Roman" w:hAnsi="Times New Roman" w:eastAsia="Times New Roman" w:cs="Times New Roman"/>
                <w:color w:val="000000" w:themeColor="text1"/>
                <w:spacing w:val="4"/>
                <w:sz w:val="24"/>
                <w:szCs w:val="24"/>
                <w14:textFill>
                  <w14:solidFill>
                    <w14:schemeClr w14:val="tx1"/>
                  </w14:solidFill>
                </w14:textFill>
              </w:rPr>
              <w:t>s</w:t>
            </w:r>
            <w:r>
              <w:rPr>
                <w:color w:val="000000" w:themeColor="text1"/>
                <w:spacing w:val="4"/>
                <w:sz w:val="24"/>
                <w:szCs w:val="24"/>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eastAsia="宋体" w:cs="Times New Roman"/>
                <w:color w:val="000000" w:themeColor="text1"/>
                <w:kern w:val="0"/>
                <w:sz w:val="24"/>
                <w:lang w:eastAsia="zh-CN"/>
                <w14:textFill>
                  <w14:solidFill>
                    <w14:schemeClr w14:val="tx1"/>
                  </w14:solidFill>
                </w14:textFill>
              </w:rPr>
            </w:pPr>
            <w:r>
              <w:rPr>
                <w:rFonts w:hint="eastAsia" w:cs="Times New Roman"/>
                <w:color w:val="000000" w:themeColor="text1"/>
                <w:sz w:val="24"/>
                <w:szCs w:val="24"/>
                <w:lang w:val="en-US" w:eastAsia="zh-CN"/>
                <w14:textFill>
                  <w14:solidFill>
                    <w14:schemeClr w14:val="tx1"/>
                  </w14:solidFill>
                </w14:textFill>
              </w:rPr>
              <w:t>本项目设备为昼间运行（8:00-20:00），本项目仅计算昼间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营运期高噪设备对四周厂界声环境贡献值。</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表4-1</w:t>
            </w:r>
            <w:r>
              <w:rPr>
                <w:rFonts w:hint="eastAsia" w:eastAsia="宋体" w:cs="Times New Roman"/>
                <w:color w:val="000000" w:themeColor="text1"/>
                <w:sz w:val="24"/>
                <w:szCs w:val="24"/>
                <w:lang w:val="en-US" w:eastAsia="zh-CN"/>
                <w14:textFill>
                  <w14:solidFill>
                    <w14:schemeClr w14:val="tx1"/>
                  </w14:solidFill>
                </w14:textFill>
              </w:rPr>
              <w:t>4</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噪声源距离敏感点或厂界距离</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5"/>
              <w:gridCol w:w="1615"/>
              <w:gridCol w:w="1440"/>
              <w:gridCol w:w="1740"/>
              <w:gridCol w:w="21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Merge w:val="restart"/>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eastAsia"/>
                      <w:b/>
                      <w:bCs/>
                      <w:color w:val="000000" w:themeColor="text1"/>
                      <w:vertAlign w:val="baseline"/>
                      <w:lang w:val="en-US" w:eastAsia="zh-CN"/>
                      <w14:textFill>
                        <w14:solidFill>
                          <w14:schemeClr w14:val="tx1"/>
                        </w14:solidFill>
                      </w14:textFill>
                    </w:rPr>
                    <w:t>噪声源</w:t>
                  </w:r>
                </w:p>
              </w:tc>
              <w:tc>
                <w:tcPr>
                  <w:tcW w:w="6902" w:type="dxa"/>
                  <w:gridSpan w:val="4"/>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default"/>
                      <w:b/>
                      <w:bCs/>
                      <w:color w:val="000000" w:themeColor="text1"/>
                      <w:vertAlign w:val="baseline"/>
                      <w:lang w:val="en-US" w:eastAsia="zh-CN"/>
                      <w14:textFill>
                        <w14:solidFill>
                          <w14:schemeClr w14:val="tx1"/>
                        </w14:solidFill>
                      </w14:textFill>
                    </w:rPr>
                    <w:t>各个声源距离厂界/敏感点距离（m）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Merge w:val="continue"/>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eastAsia"/>
                      <w:b/>
                      <w:bCs/>
                      <w:color w:val="000000" w:themeColor="text1"/>
                      <w:vertAlign w:val="baseline"/>
                      <w:lang w:val="en-US" w:eastAsia="zh-CN"/>
                      <w14:textFill>
                        <w14:solidFill>
                          <w14:schemeClr w14:val="tx1"/>
                        </w14:solidFill>
                      </w14:textFill>
                    </w:rPr>
                    <w:t>北厂界</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eastAsia"/>
                      <w:b/>
                      <w:bCs/>
                      <w:color w:val="000000" w:themeColor="text1"/>
                      <w:vertAlign w:val="baseline"/>
                      <w:lang w:val="en-US" w:eastAsia="zh-CN"/>
                      <w14:textFill>
                        <w14:solidFill>
                          <w14:schemeClr w14:val="tx1"/>
                        </w14:solidFill>
                      </w14:textFill>
                    </w:rPr>
                    <w:t>南厂界</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eastAsia"/>
                      <w:b/>
                      <w:bCs/>
                      <w:color w:val="000000" w:themeColor="text1"/>
                      <w:vertAlign w:val="baseline"/>
                      <w:lang w:val="en-US" w:eastAsia="zh-CN"/>
                      <w14:textFill>
                        <w14:solidFill>
                          <w14:schemeClr w14:val="tx1"/>
                        </w14:solidFill>
                      </w14:textFill>
                    </w:rPr>
                    <w:t>西厂界</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left="0" w:leftChars="0" w:firstLine="0" w:firstLineChars="0"/>
                    <w:jc w:val="center"/>
                    <w:textAlignment w:val="auto"/>
                    <w:rPr>
                      <w:rFonts w:hint="default"/>
                      <w:b/>
                      <w:bCs/>
                      <w:color w:val="000000" w:themeColor="text1"/>
                      <w:vertAlign w:val="baseline"/>
                      <w:lang w:val="en-US" w:eastAsia="zh-CN"/>
                      <w14:textFill>
                        <w14:solidFill>
                          <w14:schemeClr w14:val="tx1"/>
                        </w14:solidFill>
                      </w14:textFill>
                    </w:rPr>
                  </w:pPr>
                  <w:r>
                    <w:rPr>
                      <w:rFonts w:hint="eastAsia"/>
                      <w:b/>
                      <w:bCs/>
                      <w:color w:val="000000" w:themeColor="text1"/>
                      <w:vertAlign w:val="baseline"/>
                      <w:lang w:val="en-US" w:eastAsia="zh-CN"/>
                      <w14:textFill>
                        <w14:solidFill>
                          <w14:schemeClr w14:val="tx1"/>
                        </w14:solidFill>
                      </w14:textFill>
                    </w:rPr>
                    <w:t>东厂界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宋体" w:cs="Times New Roman"/>
                      <w:color w:val="000000" w:themeColor="text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vertAlign w:val="baseline"/>
                      <w:lang w:val="en-US" w:eastAsia="zh-CN"/>
                      <w14:textFill>
                        <w14:solidFill>
                          <w14:schemeClr w14:val="tx1"/>
                        </w14:solidFill>
                      </w14:textFill>
                    </w:rPr>
                    <w:t>风机</w:t>
                  </w: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14</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47</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20</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宋体" w:cs="Times New Roman"/>
                      <w:color w:val="000000" w:themeColor="text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vertAlign w:val="baseline"/>
                      <w:lang w:val="en-US" w:eastAsia="zh-CN"/>
                      <w14:textFill>
                        <w14:solidFill>
                          <w14:schemeClr w14:val="tx1"/>
                        </w14:solidFill>
                      </w14:textFill>
                    </w:rPr>
                    <w:t>循环水泵</w:t>
                  </w: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14</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47</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31</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color w:val="000000" w:themeColor="text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vertAlign w:val="baseline"/>
                      <w:lang w:val="en-US" w:eastAsia="zh-CN"/>
                      <w14:textFill>
                        <w14:solidFill>
                          <w14:schemeClr w14:val="tx1"/>
                        </w14:solidFill>
                      </w14:textFill>
                    </w:rPr>
                    <w:t>污水处理站</w:t>
                  </w:r>
                  <w:r>
                    <w:rPr>
                      <w:rFonts w:hint="default" w:ascii="Times New Roman" w:hAnsi="Times New Roman" w:eastAsia="宋体" w:cs="Times New Roman"/>
                      <w:color w:val="000000" w:themeColor="text1"/>
                      <w:vertAlign w:val="baseline"/>
                      <w:lang w:val="en-US" w:eastAsia="zh-CN"/>
                      <w14:textFill>
                        <w14:solidFill>
                          <w14:schemeClr w14:val="tx1"/>
                        </w14:solidFill>
                      </w14:textFill>
                    </w:rPr>
                    <w:t>水泵</w:t>
                  </w: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15</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46</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43</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宋体" w:cs="Times New Roman"/>
                      <w:color w:val="000000" w:themeColor="text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vertAlign w:val="baseline"/>
                      <w:lang w:val="en-US" w:eastAsia="zh-CN"/>
                      <w14:textFill>
                        <w14:solidFill>
                          <w14:schemeClr w14:val="tx1"/>
                        </w14:solidFill>
                      </w14:textFill>
                    </w:rPr>
                    <w:t>生产车间</w:t>
                  </w: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17</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19</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color w:val="000000" w:themeColor="text1"/>
                      <w:kern w:val="2"/>
                      <w:sz w:val="21"/>
                      <w:szCs w:val="24"/>
                      <w:vertAlign w:val="baseline"/>
                      <w:lang w:val="en-US" w:eastAsia="zh-CN" w:bidi="ar-SA"/>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12</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宋体" w:cs="Times New Roman"/>
                      <w:color w:val="000000" w:themeColor="text1"/>
                      <w:kern w:val="2"/>
                      <w:sz w:val="21"/>
                      <w:szCs w:val="24"/>
                      <w:vertAlign w:val="baseline"/>
                      <w:lang w:val="en-US" w:eastAsia="zh-CN" w:bidi="ar-SA"/>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宋体" w:cs="Times New Roman"/>
                      <w:color w:val="000000" w:themeColor="text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vertAlign w:val="baseline"/>
                      <w:lang w:val="en-US" w:eastAsia="zh-CN"/>
                      <w14:textFill>
                        <w14:solidFill>
                          <w14:schemeClr w14:val="tx1"/>
                        </w14:solidFill>
                      </w14:textFill>
                    </w:rPr>
                    <w:t>锅炉房</w:t>
                  </w:r>
                </w:p>
              </w:tc>
              <w:tc>
                <w:tcPr>
                  <w:tcW w:w="1615"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8</w:t>
                  </w:r>
                </w:p>
              </w:tc>
              <w:tc>
                <w:tcPr>
                  <w:tcW w:w="14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color w:val="000000" w:themeColor="text1"/>
                      <w:vertAlign w:val="baseline"/>
                      <w:lang w:val="en-US" w:eastAsia="zh-CN"/>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50</w:t>
                  </w:r>
                </w:p>
              </w:tc>
              <w:tc>
                <w:tcPr>
                  <w:tcW w:w="1740"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color w:val="000000" w:themeColor="text1"/>
                      <w:kern w:val="2"/>
                      <w:sz w:val="21"/>
                      <w:szCs w:val="24"/>
                      <w:vertAlign w:val="baseline"/>
                      <w:lang w:val="en-US" w:eastAsia="zh-CN" w:bidi="ar-SA"/>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13</w:t>
                  </w:r>
                </w:p>
              </w:tc>
              <w:tc>
                <w:tcPr>
                  <w:tcW w:w="2107" w:type="dxa"/>
                  <w:vAlign w:val="center"/>
                </w:tcPr>
                <w:p>
                  <w:pPr>
                    <w:pStyle w:val="2"/>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color w:val="000000" w:themeColor="text1"/>
                      <w:kern w:val="2"/>
                      <w:sz w:val="21"/>
                      <w:szCs w:val="24"/>
                      <w:vertAlign w:val="baseline"/>
                      <w:lang w:val="en-US" w:eastAsia="zh-CN" w:bidi="ar-SA"/>
                      <w14:textFill>
                        <w14:solidFill>
                          <w14:schemeClr w14:val="tx1"/>
                        </w14:solidFill>
                      </w14:textFill>
                    </w:rPr>
                  </w:pPr>
                  <w:r>
                    <w:rPr>
                      <w:rFonts w:hint="eastAsia"/>
                      <w:color w:val="000000" w:themeColor="text1"/>
                      <w:vertAlign w:val="baseline"/>
                      <w:lang w:val="en-US" w:eastAsia="zh-CN"/>
                      <w14:textFill>
                        <w14:solidFill>
                          <w14:schemeClr w14:val="tx1"/>
                        </w14:solidFill>
                      </w14:textFill>
                    </w:rPr>
                    <w:t>48</w:t>
                  </w:r>
                </w:p>
              </w:tc>
            </w:tr>
          </w:tbl>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olor w:val="000000" w:themeColor="text1"/>
                <w:kern w:val="0"/>
                <w:sz w:val="24"/>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lang w:eastAsia="zh-CN"/>
                <w14:textFill>
                  <w14:solidFill>
                    <w14:schemeClr w14:val="tx1"/>
                  </w14:solidFill>
                </w14:textFill>
              </w:rPr>
              <w:t>本次评价不考虑大气吸收、地面效应等其他方面引起的衰减。本项目仅在昼间进行生产。经预测，本项目各厂界噪声预测结果见下表</w:t>
            </w:r>
            <w:r>
              <w:rPr>
                <w:rFonts w:hint="eastAsia"/>
                <w:color w:val="000000" w:themeColor="text1"/>
                <w:kern w:val="0"/>
                <w:sz w:val="24"/>
                <w:lang w:val="en-US" w:eastAsia="zh-CN"/>
                <w14:textFill>
                  <w14:solidFill>
                    <w14:schemeClr w14:val="tx1"/>
                  </w14:solidFill>
                </w14:textFill>
              </w:rPr>
              <w:t>4-15</w:t>
            </w:r>
            <w:r>
              <w:rPr>
                <w:rFonts w:hint="eastAsia" w:ascii="Times New Roman" w:hAnsi="Times New Roman"/>
                <w:color w:val="000000" w:themeColor="text1"/>
                <w:kern w:val="0"/>
                <w:sz w:val="24"/>
                <w:lang w:val="en-US" w:eastAsia="zh-CN"/>
                <w14:textFill>
                  <w14:solidFill>
                    <w14:schemeClr w14:val="tx1"/>
                  </w14:solidFill>
                </w14:textFill>
              </w:rPr>
              <w:t>。</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eastAsia" w:ascii="Times New Roman" w:hAnsi="Times New Roman" w:eastAsia="宋体"/>
                <w:color w:val="000000" w:themeColor="text1"/>
                <w:sz w:val="24"/>
                <w:szCs w:val="24"/>
                <w:lang w:val="en-US" w:eastAsia="zh-CN"/>
                <w14:textFill>
                  <w14:solidFill>
                    <w14:schemeClr w14:val="tx1"/>
                  </w14:solidFill>
                </w14:textFill>
              </w:rPr>
              <w:t>表</w:t>
            </w:r>
            <w:r>
              <w:rPr>
                <w:rFonts w:hint="eastAsia" w:eastAsia="宋体"/>
                <w:color w:val="000000" w:themeColor="text1"/>
                <w:sz w:val="24"/>
                <w:szCs w:val="24"/>
                <w:lang w:val="en-US" w:eastAsia="zh-CN"/>
                <w14:textFill>
                  <w14:solidFill>
                    <w14:schemeClr w14:val="tx1"/>
                  </w14:solidFill>
                </w14:textFill>
              </w:rPr>
              <w:t>4</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eastAsia" w:eastAsia="宋体" w:cs="Times New Roman"/>
                <w:color w:val="000000" w:themeColor="text1"/>
                <w:sz w:val="24"/>
                <w:szCs w:val="24"/>
                <w:lang w:val="en-US" w:eastAsia="zh-CN"/>
                <w14:textFill>
                  <w14:solidFill>
                    <w14:schemeClr w14:val="tx1"/>
                  </w14:solidFill>
                </w14:textFill>
              </w:rPr>
              <w:t>5</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 xml:space="preserve">  噪声预测结果一览表    单位：dB</w:t>
            </w:r>
          </w:p>
          <w:tbl>
            <w:tblPr>
              <w:tblStyle w:val="26"/>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57" w:type="dxa"/>
                <w:left w:w="57" w:type="dxa"/>
                <w:bottom w:w="57" w:type="dxa"/>
                <w:right w:w="57" w:type="dxa"/>
              </w:tblCellMar>
            </w:tblPr>
            <w:tblGrid>
              <w:gridCol w:w="2547"/>
              <w:gridCol w:w="1617"/>
              <w:gridCol w:w="2057"/>
              <w:gridCol w:w="20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trHeight w:val="90" w:hRule="atLeast"/>
                <w:jc w:val="center"/>
              </w:trPr>
              <w:tc>
                <w:tcPr>
                  <w:tcW w:w="1538" w:type="pct"/>
                  <w:noWrap w:val="0"/>
                  <w:vAlign w:val="center"/>
                </w:tcPr>
                <w:p>
                  <w:pPr>
                    <w:spacing w:line="360" w:lineRule="exact"/>
                    <w:jc w:val="center"/>
                    <w:rPr>
                      <w:b/>
                      <w:color w:val="000000" w:themeColor="text1"/>
                      <w:szCs w:val="21"/>
                      <w14:textFill>
                        <w14:solidFill>
                          <w14:schemeClr w14:val="tx1"/>
                        </w14:solidFill>
                      </w14:textFill>
                    </w:rPr>
                  </w:pPr>
                  <w:r>
                    <w:rPr>
                      <w:rFonts w:hAnsi="宋体"/>
                      <w:b/>
                      <w:color w:val="000000" w:themeColor="text1"/>
                      <w:szCs w:val="21"/>
                      <w14:textFill>
                        <w14:solidFill>
                          <w14:schemeClr w14:val="tx1"/>
                        </w14:solidFill>
                      </w14:textFill>
                    </w:rPr>
                    <w:t>预测点</w:t>
                  </w:r>
                </w:p>
              </w:tc>
              <w:tc>
                <w:tcPr>
                  <w:tcW w:w="976" w:type="pct"/>
                  <w:noWrap w:val="0"/>
                  <w:vAlign w:val="center"/>
                </w:tcPr>
                <w:p>
                  <w:pPr>
                    <w:spacing w:line="360" w:lineRule="exact"/>
                    <w:jc w:val="center"/>
                    <w:rPr>
                      <w:b/>
                      <w:color w:val="000000" w:themeColor="text1"/>
                      <w:szCs w:val="21"/>
                      <w14:textFill>
                        <w14:solidFill>
                          <w14:schemeClr w14:val="tx1"/>
                        </w14:solidFill>
                      </w14:textFill>
                    </w:rPr>
                  </w:pPr>
                  <w:r>
                    <w:rPr>
                      <w:rFonts w:hAnsi="宋体"/>
                      <w:b/>
                      <w:color w:val="000000" w:themeColor="text1"/>
                      <w:szCs w:val="21"/>
                      <w14:textFill>
                        <w14:solidFill>
                          <w14:schemeClr w14:val="tx1"/>
                        </w14:solidFill>
                      </w14:textFill>
                    </w:rPr>
                    <w:t>贡献值</w:t>
                  </w:r>
                  <w:r>
                    <w:rPr>
                      <w:rFonts w:hint="eastAsia" w:hAnsi="宋体"/>
                      <w:b/>
                      <w:color w:val="000000" w:themeColor="text1"/>
                      <w:szCs w:val="21"/>
                      <w:lang w:val="en-US" w:eastAsia="zh-CN"/>
                      <w14:textFill>
                        <w14:solidFill>
                          <w14:schemeClr w14:val="tx1"/>
                        </w14:solidFill>
                      </w14:textFill>
                    </w:rPr>
                    <w:t>/</w:t>
                  </w:r>
                  <w:r>
                    <w:rPr>
                      <w:b/>
                      <w:color w:val="000000" w:themeColor="text1"/>
                      <w:szCs w:val="21"/>
                      <w14:textFill>
                        <w14:solidFill>
                          <w14:schemeClr w14:val="tx1"/>
                        </w14:solidFill>
                      </w14:textFill>
                    </w:rPr>
                    <w:t>dB(A)</w:t>
                  </w:r>
                </w:p>
              </w:tc>
              <w:tc>
                <w:tcPr>
                  <w:tcW w:w="1242" w:type="pct"/>
                  <w:noWrap w:val="0"/>
                  <w:vAlign w:val="center"/>
                </w:tcPr>
                <w:p>
                  <w:pPr>
                    <w:spacing w:line="360" w:lineRule="exact"/>
                    <w:jc w:val="center"/>
                    <w:rPr>
                      <w:rFonts w:hint="default" w:hAnsi="宋体" w:eastAsia="宋体"/>
                      <w:b/>
                      <w:color w:val="000000" w:themeColor="text1"/>
                      <w:szCs w:val="21"/>
                      <w:lang w:val="en-US" w:eastAsia="zh-CN"/>
                      <w14:textFill>
                        <w14:solidFill>
                          <w14:schemeClr w14:val="tx1"/>
                        </w14:solidFill>
                      </w14:textFill>
                    </w:rPr>
                  </w:pPr>
                  <w:r>
                    <w:rPr>
                      <w:rFonts w:hint="eastAsia" w:hAnsi="宋体"/>
                      <w:b/>
                      <w:color w:val="000000" w:themeColor="text1"/>
                      <w:szCs w:val="21"/>
                      <w:lang w:val="en-US" w:eastAsia="zh-CN"/>
                      <w14:textFill>
                        <w14:solidFill>
                          <w14:schemeClr w14:val="tx1"/>
                        </w14:solidFill>
                      </w14:textFill>
                    </w:rPr>
                    <w:t>是否达标</w:t>
                  </w:r>
                </w:p>
              </w:tc>
              <w:tc>
                <w:tcPr>
                  <w:tcW w:w="1243" w:type="pct"/>
                  <w:noWrap w:val="0"/>
                  <w:vAlign w:val="center"/>
                </w:tcPr>
                <w:p>
                  <w:pPr>
                    <w:spacing w:line="360" w:lineRule="exact"/>
                    <w:jc w:val="center"/>
                    <w:rPr>
                      <w:b/>
                      <w:color w:val="000000" w:themeColor="text1"/>
                      <w:szCs w:val="21"/>
                      <w14:textFill>
                        <w14:solidFill>
                          <w14:schemeClr w14:val="tx1"/>
                        </w14:solidFill>
                      </w14:textFill>
                    </w:rPr>
                  </w:pPr>
                  <w:r>
                    <w:rPr>
                      <w:rFonts w:hAnsi="宋体"/>
                      <w:b/>
                      <w:color w:val="000000" w:themeColor="text1"/>
                      <w:szCs w:val="21"/>
                      <w14:textFill>
                        <w14:solidFill>
                          <w14:schemeClr w14:val="tx1"/>
                        </w14:solidFill>
                      </w14:textFill>
                    </w:rPr>
                    <w:t>标准值</w:t>
                  </w:r>
                  <w:r>
                    <w:rPr>
                      <w:rFonts w:hint="eastAsia" w:hAnsi="宋体"/>
                      <w:b/>
                      <w:color w:val="000000" w:themeColor="text1"/>
                      <w:szCs w:val="21"/>
                      <w:lang w:val="en-US" w:eastAsia="zh-CN"/>
                      <w14:textFill>
                        <w14:solidFill>
                          <w14:schemeClr w14:val="tx1"/>
                        </w14:solidFill>
                      </w14:textFill>
                    </w:rPr>
                    <w:t>/</w:t>
                  </w:r>
                  <w:r>
                    <w:rPr>
                      <w:b/>
                      <w:color w:val="000000" w:themeColor="text1"/>
                      <w:szCs w:val="21"/>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trHeight w:val="366" w:hRule="atLeast"/>
                <w:jc w:val="center"/>
              </w:trPr>
              <w:tc>
                <w:tcPr>
                  <w:tcW w:w="1538" w:type="pct"/>
                  <w:noWrap w:val="0"/>
                  <w:vAlign w:val="center"/>
                </w:tcPr>
                <w:p>
                  <w:pPr>
                    <w:spacing w:line="360" w:lineRule="exact"/>
                    <w:jc w:val="center"/>
                    <w:rPr>
                      <w:color w:val="000000" w:themeColor="text1"/>
                      <w:kern w:val="2"/>
                      <w:sz w:val="21"/>
                      <w:szCs w:val="24"/>
                      <w:lang w:val="en-US" w:eastAsia="zh-CN" w:bidi="ar-SA"/>
                      <w14:textFill>
                        <w14:solidFill>
                          <w14:schemeClr w14:val="tx1"/>
                        </w14:solidFill>
                      </w14:textFill>
                    </w:rPr>
                  </w:pPr>
                  <w:r>
                    <w:rPr>
                      <w:rFonts w:hAnsi="宋体"/>
                      <w:color w:val="000000" w:themeColor="text1"/>
                      <w14:textFill>
                        <w14:solidFill>
                          <w14:schemeClr w14:val="tx1"/>
                        </w14:solidFill>
                      </w14:textFill>
                    </w:rPr>
                    <w:t>北厂界</w:t>
                  </w:r>
                </w:p>
              </w:tc>
              <w:tc>
                <w:tcPr>
                  <w:tcW w:w="976" w:type="pct"/>
                  <w:noWrap w:val="0"/>
                  <w:vAlign w:val="center"/>
                </w:tcPr>
                <w:p>
                  <w:pPr>
                    <w:spacing w:line="360" w:lineRule="exact"/>
                    <w:jc w:val="center"/>
                    <w:rPr>
                      <w:rFonts w:hint="default" w:eastAsia="宋体"/>
                      <w:color w:val="000000" w:themeColor="text1"/>
                      <w:kern w:val="2"/>
                      <w:sz w:val="21"/>
                      <w:szCs w:val="21"/>
                      <w:lang w:val="en-US" w:eastAsia="zh-CN" w:bidi="ar-SA"/>
                      <w14:textFill>
                        <w14:solidFill>
                          <w14:schemeClr w14:val="tx1"/>
                        </w14:solidFill>
                      </w14:textFill>
                    </w:rPr>
                  </w:pPr>
                  <w:r>
                    <w:rPr>
                      <w:rFonts w:hint="eastAsia"/>
                      <w:color w:val="000000" w:themeColor="text1"/>
                      <w:kern w:val="2"/>
                      <w:sz w:val="21"/>
                      <w:szCs w:val="21"/>
                      <w:lang w:val="en-US" w:eastAsia="zh-CN" w:bidi="ar-SA"/>
                      <w14:textFill>
                        <w14:solidFill>
                          <w14:schemeClr w14:val="tx1"/>
                        </w14:solidFill>
                      </w14:textFill>
                    </w:rPr>
                    <w:t>48.42</w:t>
                  </w:r>
                </w:p>
              </w:tc>
              <w:tc>
                <w:tcPr>
                  <w:tcW w:w="1242" w:type="pct"/>
                  <w:noWrap w:val="0"/>
                  <w:vAlign w:val="center"/>
                </w:tcPr>
                <w:p>
                  <w:pPr>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是</w:t>
                  </w:r>
                </w:p>
              </w:tc>
              <w:tc>
                <w:tcPr>
                  <w:tcW w:w="1243" w:type="pct"/>
                  <w:vMerge w:val="restart"/>
                  <w:noWrap w:val="0"/>
                  <w:vAlign w:val="center"/>
                </w:tcPr>
                <w:p>
                  <w:pPr>
                    <w:spacing w:line="360" w:lineRule="exact"/>
                    <w:jc w:val="center"/>
                    <w:rPr>
                      <w:color w:val="000000" w:themeColor="text1"/>
                      <w:szCs w:val="21"/>
                      <w14:textFill>
                        <w14:solidFill>
                          <w14:schemeClr w14:val="tx1"/>
                        </w14:solidFill>
                      </w14:textFill>
                    </w:rPr>
                  </w:pPr>
                  <w:r>
                    <w:rPr>
                      <w:rFonts w:hAnsi="宋体"/>
                      <w:color w:val="000000" w:themeColor="text1"/>
                      <w:spacing w:val="4"/>
                      <w:szCs w:val="21"/>
                      <w14:textFill>
                        <w14:solidFill>
                          <w14:schemeClr w14:val="tx1"/>
                        </w14:solidFill>
                      </w14:textFill>
                    </w:rPr>
                    <w:t>昼间</w:t>
                  </w:r>
                  <w:r>
                    <w:rPr>
                      <w:rFonts w:hint="eastAsia"/>
                      <w:color w:val="000000" w:themeColor="text1"/>
                      <w:spacing w:val="4"/>
                      <w:szCs w:val="21"/>
                      <w:lang w:val="en-US" w:eastAsia="zh-CN"/>
                      <w14:textFill>
                        <w14:solidFill>
                          <w14:schemeClr w14:val="tx1"/>
                        </w14:solidFill>
                      </w14:textFill>
                    </w:rPr>
                    <w:t>60</w:t>
                  </w:r>
                  <w:r>
                    <w:rPr>
                      <w:color w:val="000000" w:themeColor="text1"/>
                      <w:spacing w:val="4"/>
                      <w:szCs w:val="21"/>
                      <w14:textFill>
                        <w14:solidFill>
                          <w14:schemeClr w14:val="tx1"/>
                        </w14:solidFill>
                      </w14:textFill>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trHeight w:val="366" w:hRule="atLeast"/>
                <w:jc w:val="center"/>
              </w:trPr>
              <w:tc>
                <w:tcPr>
                  <w:tcW w:w="1538" w:type="pct"/>
                  <w:noWrap w:val="0"/>
                  <w:vAlign w:val="center"/>
                </w:tcPr>
                <w:p>
                  <w:pPr>
                    <w:spacing w:line="360" w:lineRule="exact"/>
                    <w:jc w:val="center"/>
                    <w:rPr>
                      <w:rFonts w:hint="eastAsia" w:hAnsi="宋体" w:eastAsia="宋体"/>
                      <w:color w:val="000000" w:themeColor="text1"/>
                      <w:lang w:val="en-US" w:eastAsia="zh-CN"/>
                      <w14:textFill>
                        <w14:solidFill>
                          <w14:schemeClr w14:val="tx1"/>
                        </w14:solidFill>
                      </w14:textFill>
                    </w:rPr>
                  </w:pPr>
                  <w:r>
                    <w:rPr>
                      <w:rFonts w:hint="eastAsia" w:hAnsi="宋体"/>
                      <w:color w:val="000000" w:themeColor="text1"/>
                      <w:lang w:val="en-US" w:eastAsia="zh-CN"/>
                      <w14:textFill>
                        <w14:solidFill>
                          <w14:schemeClr w14:val="tx1"/>
                        </w14:solidFill>
                      </w14:textFill>
                    </w:rPr>
                    <w:t>东厂界</w:t>
                  </w:r>
                </w:p>
              </w:tc>
              <w:tc>
                <w:tcPr>
                  <w:tcW w:w="976" w:type="pct"/>
                  <w:noWrap w:val="0"/>
                  <w:vAlign w:val="center"/>
                </w:tcPr>
                <w:p>
                  <w:pPr>
                    <w:spacing w:line="360" w:lineRule="exact"/>
                    <w:jc w:val="center"/>
                    <w:rPr>
                      <w:rFonts w:hint="default"/>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50.48</w:t>
                  </w:r>
                </w:p>
              </w:tc>
              <w:tc>
                <w:tcPr>
                  <w:tcW w:w="1242" w:type="pct"/>
                  <w:noWrap w:val="0"/>
                  <w:vAlign w:val="center"/>
                </w:tcPr>
                <w:p>
                  <w:pPr>
                    <w:spacing w:line="360" w:lineRule="exact"/>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是</w:t>
                  </w:r>
                </w:p>
              </w:tc>
              <w:tc>
                <w:tcPr>
                  <w:tcW w:w="1243" w:type="pct"/>
                  <w:vMerge w:val="continue"/>
                  <w:noWrap w:val="0"/>
                  <w:vAlign w:val="center"/>
                </w:tcPr>
                <w:p>
                  <w:pPr>
                    <w:spacing w:line="360" w:lineRule="exact"/>
                    <w:jc w:val="center"/>
                    <w:rPr>
                      <w:rFonts w:hAnsi="宋体"/>
                      <w:color w:val="000000" w:themeColor="text1"/>
                      <w:spacing w:val="4"/>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trHeight w:val="125" w:hRule="atLeast"/>
                <w:jc w:val="center"/>
              </w:trPr>
              <w:tc>
                <w:tcPr>
                  <w:tcW w:w="1538" w:type="pct"/>
                  <w:noWrap w:val="0"/>
                  <w:vAlign w:val="center"/>
                </w:tcPr>
                <w:p>
                  <w:pPr>
                    <w:spacing w:line="360" w:lineRule="exact"/>
                    <w:jc w:val="center"/>
                    <w:rPr>
                      <w:color w:val="000000" w:themeColor="text1"/>
                      <w:kern w:val="2"/>
                      <w:sz w:val="21"/>
                      <w:szCs w:val="24"/>
                      <w:lang w:val="en-US" w:eastAsia="zh-CN" w:bidi="ar-SA"/>
                      <w14:textFill>
                        <w14:solidFill>
                          <w14:schemeClr w14:val="tx1"/>
                        </w14:solidFill>
                      </w14:textFill>
                    </w:rPr>
                  </w:pPr>
                  <w:r>
                    <w:rPr>
                      <w:rFonts w:hAnsi="宋体"/>
                      <w:color w:val="000000" w:themeColor="text1"/>
                      <w14:textFill>
                        <w14:solidFill>
                          <w14:schemeClr w14:val="tx1"/>
                        </w14:solidFill>
                      </w14:textFill>
                    </w:rPr>
                    <w:t>南厂界</w:t>
                  </w:r>
                </w:p>
              </w:tc>
              <w:tc>
                <w:tcPr>
                  <w:tcW w:w="976" w:type="pct"/>
                  <w:noWrap w:val="0"/>
                  <w:vAlign w:val="center"/>
                </w:tcPr>
                <w:p>
                  <w:pPr>
                    <w:spacing w:line="360" w:lineRule="exact"/>
                    <w:jc w:val="center"/>
                    <w:rPr>
                      <w:rFonts w:hint="default" w:eastAsia="宋体"/>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54.67</w:t>
                  </w:r>
                </w:p>
              </w:tc>
              <w:tc>
                <w:tcPr>
                  <w:tcW w:w="1242" w:type="pct"/>
                  <w:noWrap w:val="0"/>
                  <w:vAlign w:val="center"/>
                </w:tcPr>
                <w:p>
                  <w:pPr>
                    <w:spacing w:line="360" w:lineRule="exact"/>
                    <w:jc w:val="center"/>
                    <w:rPr>
                      <w:rFonts w:hint="eastAsia"/>
                      <w:color w:val="000000" w:themeColor="text1"/>
                      <w:kern w:val="2"/>
                      <w:sz w:val="21"/>
                      <w:szCs w:val="21"/>
                      <w:lang w:val="en-US" w:eastAsia="zh-CN" w:bidi="ar-SA"/>
                      <w14:textFill>
                        <w14:solidFill>
                          <w14:schemeClr w14:val="tx1"/>
                        </w14:solidFill>
                      </w14:textFill>
                    </w:rPr>
                  </w:pPr>
                  <w:r>
                    <w:rPr>
                      <w:rFonts w:hint="eastAsia"/>
                      <w:color w:val="000000" w:themeColor="text1"/>
                      <w:szCs w:val="21"/>
                      <w:lang w:val="en-US" w:eastAsia="zh-CN"/>
                      <w14:textFill>
                        <w14:solidFill>
                          <w14:schemeClr w14:val="tx1"/>
                        </w14:solidFill>
                      </w14:textFill>
                    </w:rPr>
                    <w:t>是</w:t>
                  </w:r>
                </w:p>
              </w:tc>
              <w:tc>
                <w:tcPr>
                  <w:tcW w:w="1243" w:type="pct"/>
                  <w:vMerge w:val="continue"/>
                  <w:noWrap w:val="0"/>
                  <w:vAlign w:val="center"/>
                </w:tcPr>
                <w:p>
                  <w:pPr>
                    <w:spacing w:line="360" w:lineRule="exact"/>
                    <w:jc w:val="center"/>
                    <w:rPr>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trHeight w:val="125" w:hRule="atLeast"/>
                <w:jc w:val="center"/>
              </w:trPr>
              <w:tc>
                <w:tcPr>
                  <w:tcW w:w="1538" w:type="pct"/>
                  <w:noWrap w:val="0"/>
                  <w:vAlign w:val="center"/>
                </w:tcPr>
                <w:p>
                  <w:pPr>
                    <w:spacing w:line="360" w:lineRule="exact"/>
                    <w:jc w:val="center"/>
                    <w:rPr>
                      <w:color w:val="000000" w:themeColor="text1"/>
                      <w14:textFill>
                        <w14:solidFill>
                          <w14:schemeClr w14:val="tx1"/>
                        </w14:solidFill>
                      </w14:textFill>
                    </w:rPr>
                  </w:pPr>
                  <w:r>
                    <w:rPr>
                      <w:rFonts w:hint="eastAsia" w:hAnsi="宋体"/>
                      <w:color w:val="000000" w:themeColor="text1"/>
                      <w:lang w:eastAsia="zh-CN"/>
                      <w14:textFill>
                        <w14:solidFill>
                          <w14:schemeClr w14:val="tx1"/>
                        </w14:solidFill>
                      </w14:textFill>
                    </w:rPr>
                    <w:t>西</w:t>
                  </w:r>
                  <w:r>
                    <w:rPr>
                      <w:rFonts w:hAnsi="宋体"/>
                      <w:color w:val="000000" w:themeColor="text1"/>
                      <w14:textFill>
                        <w14:solidFill>
                          <w14:schemeClr w14:val="tx1"/>
                        </w14:solidFill>
                      </w14:textFill>
                    </w:rPr>
                    <w:t>厂界</w:t>
                  </w:r>
                </w:p>
              </w:tc>
              <w:tc>
                <w:tcPr>
                  <w:tcW w:w="976" w:type="pct"/>
                  <w:noWrap w:val="0"/>
                  <w:vAlign w:val="center"/>
                </w:tcPr>
                <w:p>
                  <w:pPr>
                    <w:spacing w:line="360" w:lineRule="exact"/>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53.07</w:t>
                  </w:r>
                </w:p>
              </w:tc>
              <w:tc>
                <w:tcPr>
                  <w:tcW w:w="1242" w:type="pct"/>
                  <w:noWrap w:val="0"/>
                  <w:vAlign w:val="center"/>
                </w:tcPr>
                <w:p>
                  <w:pPr>
                    <w:spacing w:line="360" w:lineRule="exact"/>
                    <w:jc w:val="center"/>
                    <w:rPr>
                      <w:rFonts w:hint="eastAsia"/>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是</w:t>
                  </w:r>
                </w:p>
              </w:tc>
              <w:tc>
                <w:tcPr>
                  <w:tcW w:w="1243" w:type="pct"/>
                  <w:vMerge w:val="continue"/>
                  <w:noWrap w:val="0"/>
                  <w:vAlign w:val="center"/>
                </w:tcPr>
                <w:p>
                  <w:pPr>
                    <w:spacing w:line="360" w:lineRule="exact"/>
                    <w:jc w:val="center"/>
                    <w:rPr>
                      <w:color w:val="000000" w:themeColor="text1"/>
                      <w:szCs w:val="21"/>
                      <w14:textFill>
                        <w14:solidFill>
                          <w14:schemeClr w14:val="tx1"/>
                        </w14:solidFill>
                      </w14:textFill>
                    </w:rPr>
                  </w:pPr>
                </w:p>
              </w:tc>
            </w:tr>
          </w:tbl>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color w:val="000000" w:themeColor="text1"/>
                <w:sz w:val="24"/>
                <w14:textFill>
                  <w14:solidFill>
                    <w14:schemeClr w14:val="tx1"/>
                  </w14:solidFill>
                </w14:textFill>
              </w:rPr>
            </w:pPr>
            <w:r>
              <w:rPr>
                <w:rFonts w:hint="eastAsia" w:ascii="Times New Roman" w:hAnsi="Times New Roman" w:eastAsia="宋体" w:cs="Times New Roman"/>
                <w:color w:val="000000" w:themeColor="text1"/>
                <w:sz w:val="24"/>
                <w14:textFill>
                  <w14:solidFill>
                    <w14:schemeClr w14:val="tx1"/>
                  </w14:solidFill>
                </w14:textFill>
              </w:rPr>
              <w:t>由表</w:t>
            </w:r>
            <w:r>
              <w:rPr>
                <w:rFonts w:hint="eastAsia" w:ascii="Times New Roman" w:hAnsi="Times New Roman" w:eastAsia="宋体" w:cs="Times New Roman"/>
                <w:color w:val="000000" w:themeColor="text1"/>
                <w:sz w:val="24"/>
                <w:lang w:val="en-US" w:eastAsia="zh-CN"/>
                <w14:textFill>
                  <w14:solidFill>
                    <w14:schemeClr w14:val="tx1"/>
                  </w14:solidFill>
                </w14:textFill>
              </w:rPr>
              <w:t>4-13</w:t>
            </w:r>
            <w:r>
              <w:rPr>
                <w:rFonts w:hint="eastAsia" w:ascii="Times New Roman" w:hAnsi="Times New Roman" w:eastAsia="宋体" w:cs="Times New Roman"/>
                <w:color w:val="000000" w:themeColor="text1"/>
                <w:sz w:val="24"/>
                <w14:textFill>
                  <w14:solidFill>
                    <w14:schemeClr w14:val="tx1"/>
                  </w14:solidFill>
                </w14:textFill>
              </w:rPr>
              <w:t>的预测结果可知，各厂界噪声贡献值昼夜均满足《工业企业厂界环 境噪声排放标准》（GB12348-2008）</w:t>
            </w:r>
            <w:r>
              <w:rPr>
                <w:rFonts w:hint="eastAsia" w:ascii="Times New Roman" w:hAnsi="Times New Roman" w:eastAsia="宋体" w:cs="Times New Roman"/>
                <w:color w:val="000000" w:themeColor="text1"/>
                <w:sz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14:textFill>
                  <w14:solidFill>
                    <w14:schemeClr w14:val="tx1"/>
                  </w14:solidFill>
                </w14:textFill>
              </w:rPr>
              <w:t>类标准限值要求（昼间≤6</w:t>
            </w:r>
            <w:r>
              <w:rPr>
                <w:rFonts w:hint="eastAsia" w:ascii="Times New Roman" w:hAnsi="Times New Roman" w:eastAsia="宋体" w:cs="Times New Roman"/>
                <w:color w:val="000000" w:themeColor="text1"/>
                <w:sz w:val="24"/>
                <w:lang w:val="en-US" w:eastAsia="zh-CN"/>
                <w14:textFill>
                  <w14:solidFill>
                    <w14:schemeClr w14:val="tx1"/>
                  </w14:solidFill>
                </w14:textFill>
              </w:rPr>
              <w:t>0</w:t>
            </w:r>
            <w:r>
              <w:rPr>
                <w:rFonts w:hint="eastAsia" w:ascii="Times New Roman" w:hAnsi="Times New Roman" w:eastAsia="宋体" w:cs="Times New Roman"/>
                <w:color w:val="000000" w:themeColor="text1"/>
                <w:sz w:val="24"/>
                <w14:textFill>
                  <w14:solidFill>
                    <w14:schemeClr w14:val="tx1"/>
                  </w14:solidFill>
                </w14:textFill>
              </w:rPr>
              <w:t>dB）。</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left"/>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14:textFill>
                  <w14:solidFill>
                    <w14:schemeClr w14:val="tx1"/>
                  </w14:solidFill>
                </w14:textFill>
              </w:rPr>
              <w:t>3.3 噪声自行监测计划</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snapToGrid w:val="0"/>
                <w:color w:val="000000" w:themeColor="text1"/>
                <w:kern w:val="0"/>
                <w:sz w:val="24"/>
                <w:lang w:eastAsia="zh-CN"/>
                <w14:textFill>
                  <w14:solidFill>
                    <w14:schemeClr w14:val="tx1"/>
                  </w14:solidFill>
                </w14:textFill>
              </w:rPr>
            </w:pPr>
            <w:r>
              <w:rPr>
                <w:rFonts w:hint="eastAsia" w:ascii="Times New Roman" w:hAnsi="Times New Roman"/>
                <w:snapToGrid w:val="0"/>
                <w:color w:val="000000" w:themeColor="text1"/>
                <w:kern w:val="0"/>
                <w:sz w:val="24"/>
                <w14:textFill>
                  <w14:solidFill>
                    <w14:schemeClr w14:val="tx1"/>
                  </w14:solidFill>
                </w14:textFill>
              </w:rPr>
              <w:t>根据本项目运营期产污特点，制定自行监测计划</w:t>
            </w:r>
            <w:r>
              <w:rPr>
                <w:rFonts w:hint="eastAsia" w:ascii="Times New Roman" w:hAnsi="Times New Roman"/>
                <w:snapToGrid w:val="0"/>
                <w:color w:val="000000" w:themeColor="text1"/>
                <w:kern w:val="0"/>
                <w:sz w:val="24"/>
                <w:lang w:eastAsia="zh-CN"/>
                <w14:textFill>
                  <w14:solidFill>
                    <w14:schemeClr w14:val="tx1"/>
                  </w14:solidFill>
                </w14:textFill>
              </w:rPr>
              <w:t>见表如下：</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eastAsia" w:ascii="Times New Roman" w:hAnsi="Times New Roman" w:eastAsia="宋体"/>
                <w:color w:val="000000" w:themeColor="text1"/>
                <w:sz w:val="24"/>
                <w:szCs w:val="24"/>
                <w:lang w:val="en-US" w:eastAsia="zh-CN"/>
                <w14:textFill>
                  <w14:solidFill>
                    <w14:schemeClr w14:val="tx1"/>
                  </w14:solidFill>
                </w14:textFill>
              </w:rPr>
              <w:t>表</w:t>
            </w:r>
            <w:r>
              <w:rPr>
                <w:rFonts w:hint="eastAsia" w:eastAsia="宋体"/>
                <w:color w:val="000000" w:themeColor="text1"/>
                <w:sz w:val="24"/>
                <w:szCs w:val="24"/>
                <w:lang w:val="en-US" w:eastAsia="zh-CN"/>
                <w14:textFill>
                  <w14:solidFill>
                    <w14:schemeClr w14:val="tx1"/>
                  </w14:solidFill>
                </w14:textFill>
              </w:rPr>
              <w:t>4-16</w:t>
            </w:r>
            <w:r>
              <w:rPr>
                <w:rFonts w:hint="eastAsia" w:ascii="Times New Roman" w:hAnsi="Times New Roman" w:eastAsia="宋体"/>
                <w:color w:val="000000" w:themeColor="text1"/>
                <w:sz w:val="24"/>
                <w:szCs w:val="24"/>
                <w:lang w:val="en-US" w:eastAsia="zh-CN"/>
                <w14:textFill>
                  <w14:solidFill>
                    <w14:schemeClr w14:val="tx1"/>
                  </w14:solidFill>
                </w14:textFill>
              </w:rPr>
              <w:t xml:space="preserve">  噪声监测计划</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57" w:type="dxa"/>
                <w:left w:w="28" w:type="dxa"/>
                <w:bottom w:w="57" w:type="dxa"/>
                <w:right w:w="28" w:type="dxa"/>
              </w:tblCellMar>
            </w:tblPr>
            <w:tblGrid>
              <w:gridCol w:w="752"/>
              <w:gridCol w:w="1701"/>
              <w:gridCol w:w="1179"/>
              <w:gridCol w:w="1504"/>
              <w:gridCol w:w="31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28" w:type="dxa"/>
                  <w:bottom w:w="57" w:type="dxa"/>
                  <w:right w:w="28" w:type="dxa"/>
                </w:tblCellMar>
              </w:tblPrEx>
              <w:trPr>
                <w:trHeight w:val="124" w:hRule="atLeast"/>
              </w:trPr>
              <w:tc>
                <w:tcPr>
                  <w:tcW w:w="454" w:type="pct"/>
                  <w:tcBorders>
                    <w:tl2br w:val="nil"/>
                    <w:tr2bl w:val="nil"/>
                  </w:tcBorders>
                  <w:noWrap w:val="0"/>
                  <w:vAlign w:val="center"/>
                </w:tcPr>
                <w:p>
                  <w:pPr>
                    <w:keepNext w:val="0"/>
                    <w:keepLines w:val="0"/>
                    <w:pageBreakBefore w:val="0"/>
                    <w:kinsoku/>
                    <w:wordWrap/>
                    <w:overflowPunct/>
                    <w:topLinePunct w:val="0"/>
                    <w:autoSpaceDE/>
                    <w:autoSpaceDN/>
                    <w:bidi w:val="0"/>
                    <w:spacing w:line="240" w:lineRule="auto"/>
                    <w:ind w:left="0" w:leftChars="0" w:right="0" w:rightChars="0" w:firstLine="0" w:firstLineChars="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类别</w:t>
                  </w:r>
                </w:p>
              </w:tc>
              <w:tc>
                <w:tcPr>
                  <w:tcW w:w="1026" w:type="pct"/>
                  <w:tcBorders>
                    <w:tl2br w:val="nil"/>
                    <w:tr2bl w:val="nil"/>
                  </w:tcBorders>
                  <w:noWrap w:val="0"/>
                  <w:vAlign w:val="center"/>
                </w:tcPr>
                <w:p>
                  <w:pPr>
                    <w:keepNext w:val="0"/>
                    <w:keepLines w:val="0"/>
                    <w:pageBreakBefore w:val="0"/>
                    <w:kinsoku/>
                    <w:wordWrap/>
                    <w:overflowPunct/>
                    <w:topLinePunct w:val="0"/>
                    <w:autoSpaceDE/>
                    <w:autoSpaceDN/>
                    <w:bidi w:val="0"/>
                    <w:spacing w:line="240" w:lineRule="auto"/>
                    <w:ind w:left="0" w:leftChars="0" w:right="0" w:rightChars="0" w:firstLine="0" w:firstLineChars="0"/>
                    <w:jc w:val="center"/>
                    <w:rPr>
                      <w:b/>
                      <w:bCs/>
                      <w:color w:val="000000" w:themeColor="text1"/>
                      <w:szCs w:val="21"/>
                      <w14:textFill>
                        <w14:solidFill>
                          <w14:schemeClr w14:val="tx1"/>
                        </w14:solidFill>
                      </w14:textFill>
                    </w:rPr>
                  </w:pPr>
                  <w:r>
                    <w:rPr>
                      <w:b/>
                      <w:bCs/>
                      <w:color w:val="000000" w:themeColor="text1"/>
                      <w14:textFill>
                        <w14:solidFill>
                          <w14:schemeClr w14:val="tx1"/>
                        </w14:solidFill>
                      </w14:textFill>
                    </w:rPr>
                    <w:t>点位布设</w:t>
                  </w:r>
                </w:p>
              </w:tc>
              <w:tc>
                <w:tcPr>
                  <w:tcW w:w="711" w:type="pct"/>
                  <w:tcBorders>
                    <w:tl2br w:val="nil"/>
                    <w:tr2bl w:val="nil"/>
                  </w:tcBorders>
                  <w:noWrap w:val="0"/>
                  <w:vAlign w:val="center"/>
                </w:tcPr>
                <w:p>
                  <w:pPr>
                    <w:keepNext w:val="0"/>
                    <w:keepLines w:val="0"/>
                    <w:pageBreakBefore w:val="0"/>
                    <w:kinsoku/>
                    <w:wordWrap/>
                    <w:overflowPunct/>
                    <w:topLinePunct w:val="0"/>
                    <w:autoSpaceDE/>
                    <w:autoSpaceDN/>
                    <w:bidi w:val="0"/>
                    <w:spacing w:line="240" w:lineRule="auto"/>
                    <w:ind w:left="0" w:leftChars="0" w:right="0" w:rightChars="0" w:firstLine="0" w:firstLineChars="0"/>
                    <w:jc w:val="center"/>
                    <w:rPr>
                      <w:rFonts w:hint="eastAsia"/>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监测</w:t>
                  </w:r>
                  <w:r>
                    <w:rPr>
                      <w:b/>
                      <w:bCs/>
                      <w:color w:val="000000" w:themeColor="text1"/>
                      <w:szCs w:val="21"/>
                      <w14:textFill>
                        <w14:solidFill>
                          <w14:schemeClr w14:val="tx1"/>
                        </w14:solidFill>
                      </w14:textFill>
                    </w:rPr>
                    <w:t>项目</w:t>
                  </w:r>
                </w:p>
              </w:tc>
              <w:tc>
                <w:tcPr>
                  <w:tcW w:w="907" w:type="pct"/>
                  <w:tcBorders>
                    <w:tl2br w:val="nil"/>
                    <w:tr2bl w:val="nil"/>
                  </w:tcBorders>
                  <w:noWrap w:val="0"/>
                  <w:vAlign w:val="center"/>
                </w:tcPr>
                <w:p>
                  <w:pPr>
                    <w:keepNext w:val="0"/>
                    <w:keepLines w:val="0"/>
                    <w:pageBreakBefore w:val="0"/>
                    <w:kinsoku/>
                    <w:wordWrap/>
                    <w:overflowPunct/>
                    <w:topLinePunct w:val="0"/>
                    <w:autoSpaceDE/>
                    <w:autoSpaceDN/>
                    <w:bidi w:val="0"/>
                    <w:spacing w:line="240" w:lineRule="auto"/>
                    <w:ind w:left="0" w:leftChars="0" w:right="0" w:rightChars="0" w:firstLine="0" w:firstLineChars="0"/>
                    <w:jc w:val="center"/>
                    <w:rPr>
                      <w:rFonts w:hint="eastAsia"/>
                      <w:b/>
                      <w:bCs/>
                      <w:color w:val="000000" w:themeColor="text1"/>
                      <w14:textFill>
                        <w14:solidFill>
                          <w14:schemeClr w14:val="tx1"/>
                        </w14:solidFill>
                      </w14:textFill>
                    </w:rPr>
                  </w:pPr>
                  <w:r>
                    <w:rPr>
                      <w:b/>
                      <w:bCs/>
                      <w:color w:val="000000" w:themeColor="text1"/>
                      <w14:textFill>
                        <w14:solidFill>
                          <w14:schemeClr w14:val="tx1"/>
                        </w14:solidFill>
                      </w14:textFill>
                    </w:rPr>
                    <w:t>监测频率</w:t>
                  </w:r>
                </w:p>
              </w:tc>
              <w:tc>
                <w:tcPr>
                  <w:tcW w:w="1899" w:type="pct"/>
                  <w:tcBorders>
                    <w:tl2br w:val="nil"/>
                    <w:tr2bl w:val="nil"/>
                  </w:tcBorders>
                  <w:noWrap w:val="0"/>
                  <w:vAlign w:val="center"/>
                </w:tcPr>
                <w:p>
                  <w:pPr>
                    <w:keepNext w:val="0"/>
                    <w:keepLines w:val="0"/>
                    <w:pageBreakBefore w:val="0"/>
                    <w:kinsoku/>
                    <w:wordWrap/>
                    <w:overflowPunct/>
                    <w:topLinePunct w:val="0"/>
                    <w:autoSpaceDE/>
                    <w:autoSpaceDN/>
                    <w:bidi w:val="0"/>
                    <w:spacing w:line="240" w:lineRule="auto"/>
                    <w:ind w:left="0" w:leftChars="0" w:right="0" w:rightChars="0" w:firstLine="0" w:firstLineChars="0"/>
                    <w:jc w:val="center"/>
                    <w:rPr>
                      <w:rFonts w:hint="eastAsia" w:eastAsia="宋体"/>
                      <w:b/>
                      <w:bCs/>
                      <w:color w:val="000000" w:themeColor="text1"/>
                      <w:lang w:eastAsia="zh-CN"/>
                      <w14:textFill>
                        <w14:solidFill>
                          <w14:schemeClr w14:val="tx1"/>
                        </w14:solidFill>
                      </w14:textFill>
                    </w:rPr>
                  </w:pPr>
                  <w:r>
                    <w:rPr>
                      <w:rFonts w:hint="eastAsia"/>
                      <w:b/>
                      <w:bCs/>
                      <w:color w:val="000000" w:themeColor="text1"/>
                      <w:lang w:eastAsia="zh-CN"/>
                      <w14:textFill>
                        <w14:solidFill>
                          <w14:schemeClr w14:val="tx1"/>
                        </w14:solidFill>
                      </w14:textFill>
                    </w:rPr>
                    <w:t>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28" w:type="dxa"/>
                  <w:bottom w:w="57" w:type="dxa"/>
                  <w:right w:w="28" w:type="dxa"/>
                </w:tblCellMar>
              </w:tblPrEx>
              <w:trPr>
                <w:trHeight w:val="124" w:hRule="atLeast"/>
              </w:trPr>
              <w:tc>
                <w:tcPr>
                  <w:tcW w:w="454" w:type="pct"/>
                  <w:tcBorders>
                    <w:tl2br w:val="nil"/>
                    <w:tr2bl w:val="nil"/>
                  </w:tcBorders>
                  <w:noWrap w:val="0"/>
                  <w:vAlign w:val="center"/>
                </w:tcPr>
                <w:p>
                  <w:pPr>
                    <w:pStyle w:val="13"/>
                    <w:keepNext w:val="0"/>
                    <w:keepLines w:val="0"/>
                    <w:pageBreakBefore w:val="0"/>
                    <w:kinsoku/>
                    <w:wordWrap/>
                    <w:overflowPunct/>
                    <w:topLinePunct w:val="0"/>
                    <w:autoSpaceDE/>
                    <w:autoSpaceDN/>
                    <w:bidi w:val="0"/>
                    <w:spacing w:before="0" w:after="0" w:line="240" w:lineRule="auto"/>
                    <w:ind w:left="0" w:leftChars="0" w:right="0" w:rightChars="0" w:firstLine="0" w:firstLineChars="0"/>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噪声</w:t>
                  </w:r>
                </w:p>
              </w:tc>
              <w:tc>
                <w:tcPr>
                  <w:tcW w:w="1026"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rPr>
                      <w:rFonts w:hint="eastAsia" w:eastAsia="宋体"/>
                      <w:color w:val="000000" w:themeColor="text1"/>
                      <w:kern w:val="0"/>
                      <w:szCs w:val="21"/>
                      <w:lang w:eastAsia="zh-CN"/>
                      <w14:textFill>
                        <w14:solidFill>
                          <w14:schemeClr w14:val="tx1"/>
                        </w14:solidFill>
                      </w14:textFill>
                    </w:rPr>
                  </w:pPr>
                  <w:r>
                    <w:rPr>
                      <w:rFonts w:hint="eastAsia"/>
                      <w:color w:val="000000" w:themeColor="text1"/>
                      <w:kern w:val="0"/>
                      <w:szCs w:val="21"/>
                      <w:lang w:eastAsia="zh-CN"/>
                      <w14:textFill>
                        <w14:solidFill>
                          <w14:schemeClr w14:val="tx1"/>
                        </w14:solidFill>
                      </w14:textFill>
                    </w:rPr>
                    <w:t>东、南、西、北</w:t>
                  </w:r>
                  <w:r>
                    <w:rPr>
                      <w:color w:val="000000" w:themeColor="text1"/>
                      <w14:textFill>
                        <w14:solidFill>
                          <w14:schemeClr w14:val="tx1"/>
                        </w14:solidFill>
                      </w14:textFill>
                    </w:rPr>
                    <w:t>四</w:t>
                  </w:r>
                  <w:r>
                    <w:rPr>
                      <w:rFonts w:hint="eastAsia"/>
                      <w:color w:val="000000" w:themeColor="text1"/>
                      <w:lang w:eastAsia="zh-CN"/>
                      <w14:textFill>
                        <w14:solidFill>
                          <w14:schemeClr w14:val="tx1"/>
                        </w14:solidFill>
                      </w14:textFill>
                    </w:rPr>
                    <w:t>厂界</w:t>
                  </w:r>
                </w:p>
              </w:tc>
              <w:tc>
                <w:tcPr>
                  <w:tcW w:w="711"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rPr>
                      <w:rFonts w:hint="eastAsia"/>
                      <w:color w:val="000000" w:themeColor="text1"/>
                      <w:kern w:val="0"/>
                      <w:szCs w:val="21"/>
                      <w14:textFill>
                        <w14:solidFill>
                          <w14:schemeClr w14:val="tx1"/>
                        </w14:solidFill>
                      </w14:textFill>
                    </w:rPr>
                  </w:pPr>
                  <w:r>
                    <w:rPr>
                      <w:color w:val="000000" w:themeColor="text1"/>
                      <w14:textFill>
                        <w14:solidFill>
                          <w14:schemeClr w14:val="tx1"/>
                        </w14:solidFill>
                      </w14:textFill>
                    </w:rPr>
                    <w:t>Leq(A)</w:t>
                  </w:r>
                </w:p>
              </w:tc>
              <w:tc>
                <w:tcPr>
                  <w:tcW w:w="907"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rPr>
                      <w:color w:val="000000" w:themeColor="text1"/>
                      <w14:textFill>
                        <w14:solidFill>
                          <w14:schemeClr w14:val="tx1"/>
                        </w14:solidFill>
                      </w14:textFill>
                    </w:rPr>
                  </w:pPr>
                  <w:r>
                    <w:rPr>
                      <w:rFonts w:ascii="Times New Roman" w:eastAsia="宋体"/>
                      <w:color w:val="000000" w:themeColor="text1"/>
                      <w:sz w:val="21"/>
                      <w:szCs w:val="21"/>
                      <w14:textFill>
                        <w14:solidFill>
                          <w14:schemeClr w14:val="tx1"/>
                        </w14:solidFill>
                      </w14:textFill>
                    </w:rPr>
                    <w:t>1</w:t>
                  </w:r>
                  <w:r>
                    <w:rPr>
                      <w:rFonts w:hint="eastAsia" w:ascii="Times New Roman" w:eastAsia="宋体"/>
                      <w:color w:val="000000" w:themeColor="text1"/>
                      <w:sz w:val="21"/>
                      <w:szCs w:val="21"/>
                      <w14:textFill>
                        <w14:solidFill>
                          <w14:schemeClr w14:val="tx1"/>
                        </w14:solidFill>
                      </w14:textFill>
                    </w:rPr>
                    <w:t>次</w:t>
                  </w:r>
                  <w:r>
                    <w:rPr>
                      <w:rFonts w:ascii="Times New Roman" w:eastAsia="宋体"/>
                      <w:color w:val="000000" w:themeColor="text1"/>
                      <w:sz w:val="21"/>
                      <w:szCs w:val="21"/>
                      <w14:textFill>
                        <w14:solidFill>
                          <w14:schemeClr w14:val="tx1"/>
                        </w14:solidFill>
                      </w14:textFill>
                    </w:rPr>
                    <w:t>/</w:t>
                  </w:r>
                  <w:r>
                    <w:rPr>
                      <w:rFonts w:hint="eastAsia" w:ascii="Times New Roman" w:eastAsia="宋体"/>
                      <w:color w:val="000000" w:themeColor="text1"/>
                      <w:sz w:val="21"/>
                      <w:szCs w:val="21"/>
                      <w:lang w:eastAsia="zh-CN"/>
                      <w14:textFill>
                        <w14:solidFill>
                          <w14:schemeClr w14:val="tx1"/>
                        </w14:solidFill>
                      </w14:textFill>
                    </w:rPr>
                    <w:t>季</w:t>
                  </w:r>
                </w:p>
              </w:tc>
              <w:tc>
                <w:tcPr>
                  <w:tcW w:w="1899" w:type="pct"/>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40" w:lineRule="auto"/>
                    <w:ind w:left="0" w:leftChars="0" w:right="0" w:rightChars="0" w:firstLine="0" w:firstLineChars="0"/>
                    <w:jc w:val="center"/>
                    <w:rPr>
                      <w:rFonts w:hint="eastAsia" w:ascii="Times New Roman" w:eastAsia="宋体"/>
                      <w:color w:val="000000" w:themeColor="text1"/>
                      <w:sz w:val="21"/>
                      <w:lang w:val="en-US" w:eastAsia="zh-CN"/>
                      <w14:textFill>
                        <w14:solidFill>
                          <w14:schemeClr w14:val="tx1"/>
                        </w14:solidFill>
                      </w14:textFill>
                    </w:rPr>
                  </w:pPr>
                  <w:r>
                    <w:rPr>
                      <w:color w:val="000000" w:themeColor="text1"/>
                      <w14:textFill>
                        <w14:solidFill>
                          <w14:schemeClr w14:val="tx1"/>
                        </w14:solidFill>
                      </w14:textFill>
                    </w:rPr>
                    <w:t>《</w:t>
                  </w:r>
                  <w:r>
                    <w:rPr>
                      <w:rFonts w:ascii="Times New Roman" w:eastAsia="宋体"/>
                      <w:color w:val="000000" w:themeColor="text1"/>
                      <w:sz w:val="21"/>
                      <w:szCs w:val="21"/>
                      <w14:textFill>
                        <w14:solidFill>
                          <w14:schemeClr w14:val="tx1"/>
                        </w14:solidFill>
                      </w14:textFill>
                    </w:rPr>
                    <w:t>工业企业厂界环境噪声排放标准》</w:t>
                  </w:r>
                  <w:r>
                    <w:rPr>
                      <w:rFonts w:hint="eastAsia" w:ascii="Times New Roman" w:eastAsia="宋体"/>
                      <w:color w:val="000000" w:themeColor="text1"/>
                      <w:sz w:val="21"/>
                      <w:szCs w:val="21"/>
                      <w:lang w:eastAsia="zh-CN"/>
                      <w14:textFill>
                        <w14:solidFill>
                          <w14:schemeClr w14:val="tx1"/>
                        </w14:solidFill>
                      </w14:textFill>
                    </w:rPr>
                    <w:t>（</w:t>
                  </w:r>
                  <w:r>
                    <w:rPr>
                      <w:rFonts w:ascii="Times New Roman" w:eastAsia="宋体"/>
                      <w:color w:val="000000" w:themeColor="text1"/>
                      <w:sz w:val="21"/>
                      <w:szCs w:val="21"/>
                      <w14:textFill>
                        <w14:solidFill>
                          <w14:schemeClr w14:val="tx1"/>
                        </w14:solidFill>
                      </w14:textFill>
                    </w:rPr>
                    <w:t>GB12348-2008</w:t>
                  </w:r>
                  <w:r>
                    <w:rPr>
                      <w:rFonts w:hint="eastAsia" w:ascii="Times New Roman" w:eastAsia="宋体"/>
                      <w:color w:val="000000" w:themeColor="text1"/>
                      <w:sz w:val="21"/>
                      <w:szCs w:val="21"/>
                      <w:lang w:eastAsia="zh-CN"/>
                      <w14:textFill>
                        <w14:solidFill>
                          <w14:schemeClr w14:val="tx1"/>
                        </w14:solidFill>
                      </w14:textFill>
                    </w:rPr>
                    <w:t>）</w:t>
                  </w:r>
                  <w:r>
                    <w:rPr>
                      <w:rFonts w:hint="eastAsia" w:ascii="Times New Roman" w:eastAsia="宋体"/>
                      <w:color w:val="000000" w:themeColor="text1"/>
                      <w:sz w:val="21"/>
                      <w:szCs w:val="21"/>
                      <w:lang w:val="en-US" w:eastAsia="zh-CN"/>
                      <w14:textFill>
                        <w14:solidFill>
                          <w14:schemeClr w14:val="tx1"/>
                        </w14:solidFill>
                      </w14:textFill>
                    </w:rPr>
                    <w:t>2类标准</w:t>
                  </w:r>
                </w:p>
              </w:tc>
            </w:tr>
          </w:tbl>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jc w:val="left"/>
              <w:textAlignment w:val="auto"/>
              <w:outlineLvl w:val="9"/>
              <w:rPr>
                <w:rFonts w:hint="default" w:ascii="Times New Roman" w:hAnsi="Times New Roman" w:eastAsia="宋体" w:cs="Times New Roman"/>
                <w:b/>
                <w:snapToGrid w:val="0"/>
                <w:color w:val="000000" w:themeColor="text1"/>
                <w:kern w:val="0"/>
                <w:sz w:val="24"/>
                <w14:textFill>
                  <w14:solidFill>
                    <w14:schemeClr w14:val="tx1"/>
                  </w14:solidFill>
                </w14:textFill>
              </w:rPr>
            </w:pPr>
            <w:r>
              <w:rPr>
                <w:rFonts w:hint="default" w:ascii="Times New Roman" w:hAnsi="Times New Roman" w:eastAsia="宋体" w:cs="Times New Roman"/>
                <w:b/>
                <w:snapToGrid w:val="0"/>
                <w:color w:val="000000" w:themeColor="text1"/>
                <w:kern w:val="0"/>
                <w:sz w:val="24"/>
                <w14:textFill>
                  <w14:solidFill>
                    <w14:schemeClr w14:val="tx1"/>
                  </w14:solidFill>
                </w14:textFill>
              </w:rPr>
              <w:t>4</w:t>
            </w:r>
            <w:r>
              <w:rPr>
                <w:rFonts w:hint="default" w:ascii="Times New Roman" w:hAnsi="Times New Roman" w:eastAsia="宋体" w:cs="Times New Roman"/>
                <w:b/>
                <w:snapToGrid w:val="0"/>
                <w:color w:val="000000" w:themeColor="text1"/>
                <w:kern w:val="0"/>
                <w:sz w:val="24"/>
                <w:lang w:val="en-US" w:eastAsia="zh-CN"/>
                <w14:textFill>
                  <w14:solidFill>
                    <w14:schemeClr w14:val="tx1"/>
                  </w14:solidFill>
                </w14:textFill>
              </w:rPr>
              <w:t xml:space="preserve"> </w:t>
            </w:r>
            <w:r>
              <w:rPr>
                <w:rFonts w:hint="default" w:ascii="Times New Roman" w:hAnsi="Times New Roman" w:eastAsia="宋体" w:cs="Times New Roman"/>
                <w:b/>
                <w:snapToGrid w:val="0"/>
                <w:color w:val="000000" w:themeColor="text1"/>
                <w:kern w:val="0"/>
                <w:sz w:val="24"/>
                <w14:textFill>
                  <w14:solidFill>
                    <w14:schemeClr w14:val="tx1"/>
                  </w14:solidFill>
                </w14:textFill>
              </w:rPr>
              <w:t>固废</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jc w:val="left"/>
              <w:textAlignment w:val="auto"/>
              <w:outlineLvl w:val="9"/>
              <w:rPr>
                <w:rFonts w:hint="default" w:ascii="Times New Roman" w:hAnsi="Times New Roman" w:eastAsia="宋体" w:cs="Times New Roman"/>
                <w:b/>
                <w:snapToGrid w:val="0"/>
                <w:color w:val="000000" w:themeColor="text1"/>
                <w:kern w:val="0"/>
                <w:sz w:val="24"/>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4"/>
                <w:lang w:val="en-US" w:eastAsia="zh-CN"/>
                <w14:textFill>
                  <w14:solidFill>
                    <w14:schemeClr w14:val="tx1"/>
                  </w14:solidFill>
                </w14:textFill>
              </w:rPr>
              <w:t>4.1固废产生情况</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本项目运营期产生的固体废物主要为香菇、木耳及猴头菇等其他菌类残渣、除尘器收集尘、废离子交换树脂、污泥、废包装材料、职工生活垃圾。</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pPr>
            <w:r>
              <w:rPr>
                <w:rFonts w:hint="eastAsia" w:cs="Times New Roman"/>
                <w:color w:val="000000" w:themeColor="text1"/>
                <w:kern w:val="0"/>
                <w:sz w:val="24"/>
                <w:szCs w:val="24"/>
                <w:highlight w:val="none"/>
                <w:u w:val="none"/>
                <w:vertAlign w:val="baseline"/>
                <w:lang w:val="en-US" w:eastAsia="zh-CN"/>
                <w14:textFill>
                  <w14:solidFill>
                    <w14:schemeClr w14:val="tx1"/>
                  </w14:solidFill>
                </w14:textFill>
              </w:rPr>
              <w:t>（1）</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香菇、木耳</w:t>
            </w:r>
            <w:r>
              <w:rPr>
                <w:rFonts w:hint="default" w:ascii="Times New Roman" w:hAnsi="Times New Roman" w:eastAsia="宋体" w:cs="Times New Roman"/>
                <w:bCs/>
                <w:color w:val="000000" w:themeColor="text1"/>
                <w:sz w:val="24"/>
                <w:szCs w:val="24"/>
                <w:u w:val="none"/>
                <w:lang w:eastAsia="zh-CN"/>
                <w14:textFill>
                  <w14:solidFill>
                    <w14:schemeClr w14:val="tx1"/>
                  </w14:solidFill>
                </w14:textFill>
              </w:rPr>
              <w:t>及猴头菇等其他菌类</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残渣</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0" w:firstLineChars="200"/>
              <w:textAlignment w:val="auto"/>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本项目提取、过滤过程中会产生香菇、木耳</w:t>
            </w:r>
            <w:r>
              <w:rPr>
                <w:rFonts w:hint="default" w:ascii="Times New Roman" w:hAnsi="Times New Roman" w:eastAsia="宋体" w:cs="Times New Roman"/>
                <w:bCs/>
                <w:color w:val="000000" w:themeColor="text1"/>
                <w:sz w:val="24"/>
                <w:szCs w:val="24"/>
                <w:u w:val="none"/>
                <w:lang w:eastAsia="zh-CN"/>
                <w14:textFill>
                  <w14:solidFill>
                    <w14:schemeClr w14:val="tx1"/>
                  </w14:solidFill>
                </w14:textFill>
              </w:rPr>
              <w:t>及猴头菇等其他菌类</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残渣，香菇、木耳</w:t>
            </w:r>
            <w:r>
              <w:rPr>
                <w:rFonts w:hint="default" w:ascii="Times New Roman" w:hAnsi="Times New Roman" w:eastAsia="宋体" w:cs="Times New Roman"/>
                <w:bCs/>
                <w:color w:val="000000" w:themeColor="text1"/>
                <w:sz w:val="24"/>
                <w:szCs w:val="24"/>
                <w:u w:val="none"/>
                <w:lang w:eastAsia="zh-CN"/>
                <w14:textFill>
                  <w14:solidFill>
                    <w14:schemeClr w14:val="tx1"/>
                  </w14:solidFill>
                </w14:textFill>
              </w:rPr>
              <w:t>及猴头菇等其他菌类</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提取、过滤过程中提取物为300t/a，原料使用量为367.5t/a，则香菇、木耳</w:t>
            </w:r>
            <w:r>
              <w:rPr>
                <w:rFonts w:hint="default" w:ascii="Times New Roman" w:hAnsi="Times New Roman" w:eastAsia="宋体" w:cs="Times New Roman"/>
                <w:bCs/>
                <w:color w:val="000000" w:themeColor="text1"/>
                <w:sz w:val="24"/>
                <w:szCs w:val="24"/>
                <w:u w:val="none"/>
                <w:lang w:eastAsia="zh-CN"/>
                <w14:textFill>
                  <w14:solidFill>
                    <w14:schemeClr w14:val="tx1"/>
                  </w14:solidFill>
                </w14:textFill>
              </w:rPr>
              <w:t>及猴头菇等其他菌类</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残渣产生量约为67.5t/a。本项目新建1座5m</w:t>
            </w:r>
            <w:r>
              <w:rPr>
                <w:rFonts w:hint="default" w:ascii="Times New Roman" w:hAnsi="Times New Roman" w:eastAsia="宋体" w:cs="Times New Roman"/>
                <w:color w:val="000000" w:themeColor="text1"/>
                <w:kern w:val="0"/>
                <w:sz w:val="24"/>
                <w:szCs w:val="24"/>
                <w:highlight w:val="none"/>
                <w:u w:val="none"/>
                <w:vertAlign w:val="superscript"/>
                <w:lang w:val="en-US" w:eastAsia="zh-CN"/>
                <w14:textFill>
                  <w14:solidFill>
                    <w14:schemeClr w14:val="tx1"/>
                  </w14:solidFill>
                </w14:textFill>
              </w:rPr>
              <w:t>2</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一般固废暂存间，香菇、木耳</w:t>
            </w:r>
            <w:r>
              <w:rPr>
                <w:rFonts w:hint="default" w:ascii="Times New Roman" w:hAnsi="Times New Roman" w:eastAsia="宋体" w:cs="Times New Roman"/>
                <w:bCs/>
                <w:color w:val="000000" w:themeColor="text1"/>
                <w:sz w:val="24"/>
                <w:szCs w:val="24"/>
                <w:u w:val="none"/>
                <w:lang w:eastAsia="zh-CN"/>
                <w14:textFill>
                  <w14:solidFill>
                    <w14:schemeClr w14:val="tx1"/>
                  </w14:solidFill>
                </w14:textFill>
              </w:rPr>
              <w:t>及猴头菇等其他菌类</w:t>
            </w:r>
            <w:r>
              <w:rPr>
                <w:rFonts w:hint="default" w:ascii="Times New Roman" w:hAnsi="Times New Roman" w:eastAsia="宋体" w:cs="Times New Roman"/>
                <w:color w:val="000000" w:themeColor="text1"/>
                <w:kern w:val="0"/>
                <w:sz w:val="24"/>
                <w:szCs w:val="24"/>
                <w:highlight w:val="none"/>
                <w:u w:val="none"/>
                <w:vertAlign w:val="baseline"/>
                <w:lang w:val="en-US" w:eastAsia="zh-CN"/>
                <w14:textFill>
                  <w14:solidFill>
                    <w14:schemeClr w14:val="tx1"/>
                  </w14:solidFill>
                </w14:textFill>
              </w:rPr>
              <w:t>残渣经密闭桶装收集后暂存于一般固废暂存间内，日产日清，直接外售。</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cs="Times New Roman"/>
                <w:b/>
                <w:bCs/>
                <w:color w:val="000000" w:themeColor="text1"/>
                <w:kern w:val="0"/>
                <w:sz w:val="24"/>
                <w:szCs w:val="24"/>
                <w:u w:val="single"/>
                <w:vertAlign w:val="baseline"/>
                <w:lang w:val="en-US" w:eastAsia="zh-CN"/>
                <w14:textFill>
                  <w14:solidFill>
                    <w14:schemeClr w14:val="tx1"/>
                  </w14:solidFill>
                </w14:textFill>
              </w:rPr>
              <w:t>（2）</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废离子交换树脂</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default" w:ascii="Times New Roman" w:hAnsi="Times New Roman" w:eastAsia="宋体" w:cs="Times New Roman"/>
                <w:b/>
                <w:bCs/>
                <w:color w:val="000000" w:themeColor="text1"/>
                <w:sz w:val="24"/>
                <w:szCs w:val="24"/>
                <w:u w:val="single"/>
                <w14:textFill>
                  <w14:solidFill>
                    <w14:schemeClr w14:val="tx1"/>
                  </w14:solidFill>
                </w14:textFill>
              </w:rPr>
            </w:pPr>
            <w:r>
              <w:rPr>
                <w:rFonts w:hint="default" w:ascii="Times New Roman" w:hAnsi="Times New Roman" w:eastAsia="宋体" w:cs="Times New Roman"/>
                <w:b/>
                <w:bCs/>
                <w:color w:val="000000" w:themeColor="text1"/>
                <w:sz w:val="24"/>
                <w:szCs w:val="24"/>
                <w:u w:val="single"/>
                <w14:textFill>
                  <w14:solidFill>
                    <w14:schemeClr w14:val="tx1"/>
                  </w14:solidFill>
                </w14:textFill>
              </w:rPr>
              <w:t>本项目蒸汽锅炉用水需经软水装置软化后使用，软水器内填充有离子交换树脂，总填充量为0.6m</w:t>
            </w:r>
            <w:r>
              <w:rPr>
                <w:rFonts w:hint="default" w:ascii="Times New Roman" w:hAnsi="Times New Roman" w:eastAsia="宋体" w:cs="Times New Roman"/>
                <w:b/>
                <w:bCs/>
                <w:color w:val="000000" w:themeColor="text1"/>
                <w:sz w:val="24"/>
                <w:szCs w:val="24"/>
                <w:u w:val="single"/>
                <w:vertAlign w:val="superscript"/>
                <w14:textFill>
                  <w14:solidFill>
                    <w14:schemeClr w14:val="tx1"/>
                  </w14:solidFill>
                </w14:textFill>
              </w:rPr>
              <w:t>3</w:t>
            </w:r>
            <w:r>
              <w:rPr>
                <w:rFonts w:hint="default" w:ascii="Times New Roman" w:hAnsi="Times New Roman" w:eastAsia="宋体" w:cs="Times New Roman"/>
                <w:b/>
                <w:bCs/>
                <w:color w:val="000000" w:themeColor="text1"/>
                <w:sz w:val="24"/>
                <w:szCs w:val="24"/>
                <w:u w:val="single"/>
                <w14:textFill>
                  <w14:solidFill>
                    <w14:schemeClr w14:val="tx1"/>
                  </w14:solidFill>
                </w14:textFill>
              </w:rPr>
              <w:t>，经多次再生后，离子交换树脂软化效果会下降，需要每3年更换一次。树脂密度取值1.2g/cm</w:t>
            </w:r>
            <w:r>
              <w:rPr>
                <w:rFonts w:hint="default" w:ascii="Times New Roman" w:hAnsi="Times New Roman" w:eastAsia="宋体" w:cs="Times New Roman"/>
                <w:b/>
                <w:bCs/>
                <w:color w:val="000000" w:themeColor="text1"/>
                <w:sz w:val="24"/>
                <w:szCs w:val="24"/>
                <w:u w:val="single"/>
                <w:vertAlign w:val="superscript"/>
                <w14:textFill>
                  <w14:solidFill>
                    <w14:schemeClr w14:val="tx1"/>
                  </w14:solidFill>
                </w14:textFill>
              </w:rPr>
              <w:t>3</w:t>
            </w:r>
            <w:r>
              <w:rPr>
                <w:rFonts w:hint="default" w:ascii="Times New Roman" w:hAnsi="Times New Roman" w:eastAsia="宋体" w:cs="Times New Roman"/>
                <w:b/>
                <w:bCs/>
                <w:color w:val="000000" w:themeColor="text1"/>
                <w:sz w:val="24"/>
                <w:szCs w:val="24"/>
                <w:u w:val="single"/>
                <w14:textFill>
                  <w14:solidFill>
                    <w14:schemeClr w14:val="tx1"/>
                  </w14:solidFill>
                </w14:textFill>
              </w:rPr>
              <w:t>，则废离子交换树脂产生量为</w:t>
            </w:r>
            <w:r>
              <w:rPr>
                <w:rFonts w:hint="default" w:ascii="Times New Roman" w:hAnsi="Times New Roman" w:eastAsia="宋体" w:cs="Times New Roman"/>
                <w:b/>
                <w:bCs/>
                <w:color w:val="000000" w:themeColor="text1"/>
                <w:sz w:val="24"/>
                <w:szCs w:val="24"/>
                <w:u w:val="single"/>
                <w:lang w:val="en-US" w:eastAsia="zh-CN"/>
                <w14:textFill>
                  <w14:solidFill>
                    <w14:schemeClr w14:val="tx1"/>
                  </w14:solidFill>
                </w14:textFill>
              </w:rPr>
              <w:t>1</w:t>
            </w:r>
            <w:r>
              <w:rPr>
                <w:rFonts w:hint="default" w:ascii="Times New Roman" w:hAnsi="Times New Roman" w:eastAsia="宋体" w:cs="Times New Roman"/>
                <w:b/>
                <w:bCs/>
                <w:color w:val="000000" w:themeColor="text1"/>
                <w:sz w:val="24"/>
                <w:szCs w:val="24"/>
                <w:u w:val="single"/>
                <w14:textFill>
                  <w14:solidFill>
                    <w14:schemeClr w14:val="tx1"/>
                  </w14:solidFill>
                </w14:textFill>
              </w:rPr>
              <w:t>t/a。</w:t>
            </w:r>
          </w:p>
          <w:p>
            <w:pPr>
              <w:keepNext w:val="0"/>
              <w:keepLines w:val="0"/>
              <w:pageBreakBefore w:val="0"/>
              <w:widowControl w:val="0"/>
              <w:kinsoku/>
              <w:wordWrap/>
              <w:overflowPunct/>
              <w:topLinePunct w:val="0"/>
              <w:autoSpaceDE/>
              <w:autoSpaceDN/>
              <w:bidi w:val="0"/>
              <w:adjustRightInd/>
              <w:snapToGrid/>
              <w:spacing w:line="360" w:lineRule="auto"/>
              <w:ind w:firstLine="482"/>
              <w:textAlignment w:val="auto"/>
              <w:rPr>
                <w:rFonts w:hint="default" w:ascii="Times New Roman" w:hAnsi="Times New Roman" w:eastAsia="宋体" w:cs="Times New Roman"/>
                <w:b/>
                <w:bCs/>
                <w:color w:val="000000" w:themeColor="text1"/>
                <w:sz w:val="24"/>
                <w:szCs w:val="24"/>
                <w:u w:val="single"/>
                <w14:textFill>
                  <w14:solidFill>
                    <w14:schemeClr w14:val="tx1"/>
                  </w14:solidFill>
                </w14:textFill>
              </w:rPr>
            </w:pPr>
            <w:r>
              <w:rPr>
                <w:rFonts w:hint="default" w:ascii="Times New Roman" w:hAnsi="Times New Roman" w:eastAsia="宋体" w:cs="Times New Roman"/>
                <w:b/>
                <w:bCs/>
                <w:color w:val="000000" w:themeColor="text1"/>
                <w:sz w:val="24"/>
                <w:szCs w:val="24"/>
                <w:u w:val="single"/>
                <w14:textFill>
                  <w14:solidFill>
                    <w14:schemeClr w14:val="tx1"/>
                  </w14:solidFill>
                </w14:textFill>
              </w:rPr>
              <w:t>废离子交换树脂主要成分为树脂，以及内部吸附的钙镁离子等，经查询《国家危险废物名录》（2021年版），本项目产生的废离子交换树脂不属于危险废物，属于一般固体废物。经收集后在一般固废间暂存，交由环卫部门处理。</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cs="Times New Roman"/>
                <w:b/>
                <w:bCs/>
                <w:color w:val="000000" w:themeColor="text1"/>
                <w:kern w:val="0"/>
                <w:sz w:val="24"/>
                <w:szCs w:val="24"/>
                <w:u w:val="single"/>
                <w:vertAlign w:val="baseline"/>
                <w:lang w:val="en-US" w:eastAsia="zh-CN"/>
                <w14:textFill>
                  <w14:solidFill>
                    <w14:schemeClr w14:val="tx1"/>
                  </w14:solidFill>
                </w14:textFill>
              </w:rPr>
              <w:t>（3）</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污泥</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本项目污水处理站运行过程中会产生少量污泥，项目污泥产生量按污水处理量的0.1%计，本项目废水处理量为1303.68m</w:t>
            </w:r>
            <w:r>
              <w:rPr>
                <w:rFonts w:hint="default"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3</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/a，则污泥产生量为1.3t/a，含水率在85%左右，为一般固体废物。污泥经密闭桶收集后直接由周围村民拉走，作为肥料处置。</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cs="Times New Roman"/>
                <w:b/>
                <w:bCs/>
                <w:color w:val="000000" w:themeColor="text1"/>
                <w:kern w:val="0"/>
                <w:sz w:val="24"/>
                <w:szCs w:val="24"/>
                <w:u w:val="single"/>
                <w:vertAlign w:val="baseline"/>
                <w:lang w:val="en-US" w:eastAsia="zh-CN"/>
                <w14:textFill>
                  <w14:solidFill>
                    <w14:schemeClr w14:val="tx1"/>
                  </w14:solidFill>
                </w14:textFill>
              </w:rPr>
              <w:t>（4）</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废包装材料</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本项目包装工段会产生一定的废包装材料，废包装材料按包装袋用量的1%计，本项目包装袋用量为24t/a，则废包装材料产生量为0.24t/a。废包装材料经收集后暂存于一般固废暂存间（</w:t>
            </w:r>
            <w:r>
              <w:rPr>
                <w:rFonts w:hint="default" w:ascii="Times New Roman" w:hAnsi="Times New Roman" w:eastAsia="宋体" w:cs="Times New Roman"/>
                <w:b/>
                <w:bCs/>
                <w:color w:val="000000" w:themeColor="text1"/>
                <w:kern w:val="0"/>
                <w:sz w:val="24"/>
                <w:szCs w:val="24"/>
                <w:highlight w:val="none"/>
                <w:u w:val="single"/>
                <w:vertAlign w:val="baseline"/>
                <w:lang w:val="en-US" w:eastAsia="zh-CN"/>
                <w14:textFill>
                  <w14:solidFill>
                    <w14:schemeClr w14:val="tx1"/>
                  </w14:solidFill>
                </w14:textFill>
              </w:rPr>
              <w:t>1座5m</w:t>
            </w:r>
            <w:r>
              <w:rPr>
                <w:rFonts w:hint="default" w:ascii="Times New Roman" w:hAnsi="Times New Roman" w:eastAsia="宋体" w:cs="Times New Roman"/>
                <w:b/>
                <w:bCs/>
                <w:color w:val="000000" w:themeColor="text1"/>
                <w:kern w:val="0"/>
                <w:sz w:val="24"/>
                <w:szCs w:val="24"/>
                <w:highlight w:val="none"/>
                <w:u w:val="single"/>
                <w:vertAlign w:val="superscript"/>
                <w:lang w:val="en-US" w:eastAsia="zh-CN"/>
                <w14:textFill>
                  <w14:solidFill>
                    <w14:schemeClr w14:val="tx1"/>
                  </w14:solidFill>
                </w14:textFill>
              </w:rPr>
              <w:t>2</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），定期外售。</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22" w:firstLineChars="200"/>
              <w:textAlignment w:val="auto"/>
              <w:rPr>
                <w:rFonts w:hint="eastAsia"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（5）废RO膜、超滤膜以及</w:t>
            </w:r>
            <w:r>
              <w:rPr>
                <w:rFonts w:hint="eastAsia"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废</w:t>
            </w:r>
            <w:r>
              <w:rPr>
                <w:rFonts w:hint="eastAsia" w:ascii="Times New Roman" w:hAnsi="Times New Roman" w:eastAsia="宋体" w:cs="Times New Roman"/>
                <w:b/>
                <w:bCs/>
                <w:color w:val="000000" w:themeColor="text1"/>
                <w:spacing w:val="0"/>
                <w:kern w:val="0"/>
                <w:sz w:val="21"/>
                <w:szCs w:val="21"/>
                <w:highlight w:val="none"/>
                <w:u w:val="single"/>
                <w:vertAlign w:val="baseline"/>
                <w:lang w:val="en-US" w:eastAsia="zh-CN" w:bidi="ar-SA"/>
                <w14:textFill>
                  <w14:solidFill>
                    <w14:schemeClr w14:val="tx1"/>
                  </w14:solidFill>
                </w14:textFill>
              </w:rPr>
              <w:t>纳滤膜</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本项目工艺产生废RO膜、超滤膜以及废纳滤膜，产生量为1t/a，厂家回收利用。</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（6）一般固废管理要求</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根据现场调查，评价建议建设单位设置一座5m</w:t>
            </w:r>
            <w:r>
              <w:rPr>
                <w:rFonts w:hint="eastAsia" w:ascii="Times New Roman" w:hAnsi="Times New Roman" w:eastAsia="宋体" w:cs="Times New Roman"/>
                <w:b/>
                <w:bCs/>
                <w:color w:val="000000" w:themeColor="text1"/>
                <w:kern w:val="0"/>
                <w:sz w:val="24"/>
                <w:szCs w:val="24"/>
                <w:u w:val="single"/>
                <w:vertAlign w:val="superscript"/>
                <w:lang w:val="en-US" w:eastAsia="zh-CN"/>
                <w14:textFill>
                  <w14:solidFill>
                    <w14:schemeClr w14:val="tx1"/>
                  </w14:solidFill>
                </w14:textFill>
              </w:rPr>
              <w:t>2</w:t>
            </w: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的一般固废间，用于暂存废包装材料、废料、废离子交树脂，一般固废间地面应采取水泥硬化措施，具备防风、防雨、防渗漏功能，内部划分区域。</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482" w:firstLineChars="200"/>
              <w:textAlignment w:val="auto"/>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（7）</w:t>
            </w:r>
            <w:r>
              <w:rPr>
                <w:rFonts w:hint="default" w:ascii="Times New Roman" w:hAnsi="Times New Roman" w:eastAsia="宋体" w:cs="Times New Roman"/>
                <w:b/>
                <w:bCs/>
                <w:color w:val="000000" w:themeColor="text1"/>
                <w:kern w:val="0"/>
                <w:sz w:val="24"/>
                <w:szCs w:val="24"/>
                <w:u w:val="single"/>
                <w:vertAlign w:val="baseline"/>
                <w:lang w:val="en-US" w:eastAsia="zh-CN"/>
                <w14:textFill>
                  <w14:solidFill>
                    <w14:schemeClr w14:val="tx1"/>
                  </w14:solidFill>
                </w14:textFill>
              </w:rPr>
              <w:t>危险废物</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textAlignment w:val="baseline"/>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本项目危险废物主要为</w:t>
            </w:r>
            <w:r>
              <w:rPr>
                <w:rFonts w:hint="default" w:ascii="Times New Roman" w:hAnsi="Times New Roman" w:eastAsia="宋体" w:cs="Times New Roman"/>
                <w:b/>
                <w:bCs/>
                <w:snapToGrid w:val="0"/>
                <w:color w:val="000000" w:themeColor="text1"/>
                <w:kern w:val="0"/>
                <w:sz w:val="24"/>
                <w:u w:val="single"/>
                <w:lang w:val="en-US" w:eastAsia="zh-CN"/>
                <w14:textFill>
                  <w14:solidFill>
                    <w14:schemeClr w14:val="tx1"/>
                  </w14:solidFill>
                </w14:textFill>
              </w:rPr>
              <w:t>导热油炉</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定期更换的废</w:t>
            </w:r>
            <w:r>
              <w:rPr>
                <w:rFonts w:hint="default" w:ascii="Times New Roman" w:hAnsi="Times New Roman" w:eastAsia="宋体" w:cs="Times New Roman"/>
                <w:b/>
                <w:bCs/>
                <w:snapToGrid w:val="0"/>
                <w:color w:val="000000" w:themeColor="text1"/>
                <w:kern w:val="0"/>
                <w:sz w:val="24"/>
                <w:u w:val="single"/>
                <w:lang w:val="en-US" w:eastAsia="zh-CN"/>
                <w14:textFill>
                  <w14:solidFill>
                    <w14:schemeClr w14:val="tx1"/>
                  </w14:solidFill>
                </w14:textFill>
              </w:rPr>
              <w:t>导热油</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w:t>
            </w:r>
            <w:r>
              <w:rPr>
                <w:rFonts w:hint="default" w:ascii="Times New Roman" w:hAnsi="Times New Roman" w:eastAsia="宋体" w:cs="Times New Roman"/>
                <w:b/>
                <w:bCs/>
                <w:snapToGrid w:val="0"/>
                <w:color w:val="000000" w:themeColor="text1"/>
                <w:kern w:val="0"/>
                <w:sz w:val="24"/>
                <w:u w:val="single"/>
                <w:lang w:val="en-US" w:eastAsia="zh-CN"/>
                <w14:textFill>
                  <w14:solidFill>
                    <w14:schemeClr w14:val="tx1"/>
                  </w14:solidFill>
                </w14:textFill>
              </w:rPr>
              <w:t>导热油</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在经过一段时间之后，就必须更换</w:t>
            </w:r>
            <w:r>
              <w:rPr>
                <w:rFonts w:hint="default" w:ascii="Times New Roman" w:hAnsi="Times New Roman" w:eastAsia="宋体" w:cs="Times New Roman"/>
                <w:b/>
                <w:bCs/>
                <w:snapToGrid w:val="0"/>
                <w:color w:val="000000" w:themeColor="text1"/>
                <w:kern w:val="0"/>
                <w:sz w:val="24"/>
                <w:u w:val="single"/>
                <w:lang w:eastAsia="zh-CN"/>
                <w14:textFill>
                  <w14:solidFill>
                    <w14:schemeClr w14:val="tx1"/>
                  </w14:solidFill>
                </w14:textFill>
              </w:rPr>
              <w:t>，</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项目机油更换量为250kg/a。</w:t>
            </w:r>
            <w:r>
              <w:rPr>
                <w:rFonts w:hint="default" w:ascii="Times New Roman" w:hAnsi="Times New Roman" w:eastAsia="宋体" w:cs="Times New Roman"/>
                <w:b/>
                <w:bCs/>
                <w:color w:val="000000" w:themeColor="text1"/>
                <w:sz w:val="24"/>
                <w:u w:val="single"/>
                <w14:textFill>
                  <w14:solidFill>
                    <w14:schemeClr w14:val="tx1"/>
                  </w14:solidFill>
                </w14:textFill>
              </w:rPr>
              <w:t>经查阅《国家危险废物名录》（2021年），</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废</w:t>
            </w:r>
            <w:r>
              <w:rPr>
                <w:rFonts w:hint="default" w:ascii="Times New Roman" w:hAnsi="Times New Roman" w:eastAsia="宋体" w:cs="Times New Roman"/>
                <w:b/>
                <w:bCs/>
                <w:snapToGrid w:val="0"/>
                <w:color w:val="000000" w:themeColor="text1"/>
                <w:kern w:val="0"/>
                <w:sz w:val="24"/>
                <w:u w:val="single"/>
                <w:lang w:val="en-US" w:eastAsia="zh-CN"/>
                <w14:textFill>
                  <w14:solidFill>
                    <w14:schemeClr w14:val="tx1"/>
                  </w14:solidFill>
                </w14:textFill>
              </w:rPr>
              <w:t>导热油</w:t>
            </w:r>
            <w:r>
              <w:rPr>
                <w:rFonts w:hint="default" w:ascii="Times New Roman" w:hAnsi="Times New Roman" w:eastAsia="宋体" w:cs="Times New Roman"/>
                <w:b/>
                <w:bCs/>
                <w:snapToGrid w:val="0"/>
                <w:color w:val="000000" w:themeColor="text1"/>
                <w:kern w:val="0"/>
                <w:sz w:val="24"/>
                <w:u w:val="single"/>
                <w14:textFill>
                  <w14:solidFill>
                    <w14:schemeClr w14:val="tx1"/>
                  </w14:solidFill>
                </w14:textFill>
              </w:rPr>
              <w:t>属于危险废物中“HW08废矿物油与含矿物油废物”，</w:t>
            </w:r>
            <w:r>
              <w:rPr>
                <w:rFonts w:hint="default" w:ascii="Times New Roman" w:hAnsi="Times New Roman" w:eastAsia="宋体" w:cs="Times New Roman"/>
                <w:b/>
                <w:bCs/>
                <w:color w:val="000000" w:themeColor="text1"/>
                <w:kern w:val="0"/>
                <w:sz w:val="24"/>
                <w:u w:val="single"/>
                <w14:textFill>
                  <w14:solidFill>
                    <w14:schemeClr w14:val="tx1"/>
                  </w14:solidFill>
                </w14:textFill>
              </w:rPr>
              <w:t>评价建议，设置</w:t>
            </w:r>
            <w:r>
              <w:rPr>
                <w:rFonts w:hint="default" w:ascii="Times New Roman" w:hAnsi="Times New Roman" w:eastAsia="宋体" w:cs="Times New Roman"/>
                <w:b/>
                <w:bCs/>
                <w:color w:val="000000" w:themeColor="text1"/>
                <w:sz w:val="24"/>
                <w:u w:val="single"/>
                <w14:textFill>
                  <w14:solidFill>
                    <w14:schemeClr w14:val="tx1"/>
                  </w14:solidFill>
                </w14:textFill>
              </w:rPr>
              <w:t>一间</w:t>
            </w:r>
            <w:r>
              <w:rPr>
                <w:rFonts w:hint="default" w:ascii="Times New Roman" w:hAnsi="Times New Roman" w:eastAsia="宋体" w:cs="Times New Roman"/>
                <w:b/>
                <w:bCs/>
                <w:color w:val="000000" w:themeColor="text1"/>
                <w:sz w:val="24"/>
                <w:u w:val="single"/>
                <w:lang w:val="en-US" w:eastAsia="zh-CN"/>
                <w14:textFill>
                  <w14:solidFill>
                    <w14:schemeClr w14:val="tx1"/>
                  </w14:solidFill>
                </w14:textFill>
              </w:rPr>
              <w:t>7</w:t>
            </w:r>
            <w:r>
              <w:rPr>
                <w:rFonts w:hint="default" w:ascii="Times New Roman" w:hAnsi="Times New Roman" w:eastAsia="宋体" w:cs="Times New Roman"/>
                <w:b/>
                <w:bCs/>
                <w:color w:val="000000" w:themeColor="text1"/>
                <w:sz w:val="24"/>
                <w:u w:val="single"/>
                <w14:textFill>
                  <w14:solidFill>
                    <w14:schemeClr w14:val="tx1"/>
                  </w14:solidFill>
                </w14:textFill>
              </w:rPr>
              <w:t>m</w:t>
            </w:r>
            <w:r>
              <w:rPr>
                <w:rFonts w:hint="default" w:ascii="Times New Roman" w:hAnsi="Times New Roman" w:eastAsia="宋体" w:cs="Times New Roman"/>
                <w:b/>
                <w:bCs/>
                <w:color w:val="000000" w:themeColor="text1"/>
                <w:sz w:val="24"/>
                <w:u w:val="single"/>
                <w:vertAlign w:val="superscript"/>
                <w14:textFill>
                  <w14:solidFill>
                    <w14:schemeClr w14:val="tx1"/>
                  </w14:solidFill>
                </w14:textFill>
              </w:rPr>
              <w:t>2</w:t>
            </w:r>
            <w:r>
              <w:rPr>
                <w:rFonts w:hint="default" w:ascii="Times New Roman" w:hAnsi="Times New Roman" w:eastAsia="宋体" w:cs="Times New Roman"/>
                <w:b/>
                <w:bCs/>
                <w:color w:val="000000" w:themeColor="text1"/>
                <w:sz w:val="24"/>
                <w:u w:val="single"/>
                <w14:textFill>
                  <w14:solidFill>
                    <w14:schemeClr w14:val="tx1"/>
                  </w14:solidFill>
                </w14:textFill>
              </w:rPr>
              <w:t>的危废暂存间及若干危险废物收集桶，用于暂存本项目危险废物。</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本次环评要求建设单位按照以下要求处置危险废物：</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①设置专门的危险废物暂存间储存</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危险废物暂存场必须按照《危险废物贮存污染控制标准》（GB18597-2023）的要求，采取严格的防渗、防雨以及防溢流措施，防止危险废物中的污染物渗入地下。项目的危废暂存场所应设置危险废物标志和存放物品的名称。</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②危险废物设置专用容器</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本项目产生的危险废物储存在专用的密闭容器内；容器内须留足够空间；容器上设置明显环境保护标志，定期对贮存容器进行检查，发现破损，及时采取措施清理更换。</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③委托处理</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i w:val="0"/>
                <w:iCs w:val="0"/>
                <w:color w:val="000000" w:themeColor="text1"/>
                <w:sz w:val="24"/>
                <w:u w:val="single"/>
                <w14:textFill>
                  <w14:solidFill>
                    <w14:schemeClr w14:val="tx1"/>
                  </w14:solidFill>
                </w14:textFill>
              </w:rPr>
            </w:pPr>
            <w:r>
              <w:rPr>
                <w:rFonts w:hint="default" w:ascii="Times New Roman" w:hAnsi="Times New Roman" w:eastAsia="宋体" w:cs="Times New Roman"/>
                <w:b/>
                <w:bCs/>
                <w:i w:val="0"/>
                <w:iCs w:val="0"/>
                <w:color w:val="000000" w:themeColor="text1"/>
                <w:sz w:val="24"/>
                <w:u w:val="single"/>
                <w14:textFill>
                  <w14:solidFill>
                    <w14:schemeClr w14:val="tx1"/>
                  </w14:solidFill>
                </w14:textFill>
              </w:rPr>
              <w:t>禁止危险废物与一般固体废物混合存放；项目产生的危险废物经集中收集后，委托有资质的单位进行处置，确保生产过程产生的危险废物得到妥善处置。</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④转移运输</w:t>
            </w:r>
          </w:p>
          <w:p>
            <w:pPr>
              <w:keepNext w:val="0"/>
              <w:keepLines w:val="0"/>
              <w:pageBreakBefore w:val="0"/>
              <w:widowControl w:val="0"/>
              <w:kinsoku/>
              <w:wordWrap/>
              <w:overflowPunct/>
              <w:topLinePunct w:val="0"/>
              <w:autoSpaceDE/>
              <w:autoSpaceDN/>
              <w:bidi w:val="0"/>
              <w:spacing w:line="360" w:lineRule="auto"/>
              <w:ind w:left="0" w:leftChars="0" w:firstLine="482" w:firstLineChars="200"/>
              <w:contextualSpacing/>
              <w:rPr>
                <w:rFonts w:hint="default" w:ascii="Times New Roman" w:hAnsi="Times New Roman" w:eastAsia="宋体" w:cs="Times New Roman"/>
                <w:b/>
                <w:bCs/>
                <w:color w:val="000000" w:themeColor="text1"/>
                <w:sz w:val="24"/>
                <w:u w:val="single"/>
                <w14:textFill>
                  <w14:solidFill>
                    <w14:schemeClr w14:val="tx1"/>
                  </w14:solidFill>
                </w14:textFill>
              </w:rPr>
            </w:pPr>
            <w:r>
              <w:rPr>
                <w:rFonts w:hint="default" w:ascii="Times New Roman" w:hAnsi="Times New Roman" w:eastAsia="宋体" w:cs="Times New Roman"/>
                <w:b/>
                <w:bCs/>
                <w:color w:val="000000" w:themeColor="text1"/>
                <w:sz w:val="24"/>
                <w:u w:val="single"/>
                <w14:textFill>
                  <w14:solidFill>
                    <w14:schemeClr w14:val="tx1"/>
                  </w14:solidFill>
                </w14:textFill>
              </w:rPr>
              <w:t>由危险废物处置单位上门回收，运输单位承运危险废物时，应在危险废物包装上按照GB18597附录A设置标志，运输车辆应按GB13392设立车辆标志。</w:t>
            </w:r>
          </w:p>
          <w:p>
            <w:pPr>
              <w:keepNext w:val="0"/>
              <w:keepLines w:val="0"/>
              <w:pageBreakBefore w:val="0"/>
              <w:widowControl w:val="0"/>
              <w:kinsoku/>
              <w:wordWrap/>
              <w:overflowPunct/>
              <w:topLinePunct w:val="0"/>
              <w:autoSpaceDE/>
              <w:autoSpaceDN/>
              <w:bidi w:val="0"/>
              <w:spacing w:line="360" w:lineRule="auto"/>
              <w:ind w:left="0" w:leftChars="0" w:firstLine="480" w:firstLineChars="200"/>
              <w:contextualSpacing/>
              <w:rPr>
                <w:rFonts w:hint="default" w:ascii="Times New Roman" w:hAnsi="Times New Roman" w:eastAsia="宋体" w:cs="Times New Roman"/>
                <w:bCs/>
                <w:color w:val="000000" w:themeColor="text1"/>
                <w:sz w:val="24"/>
                <w14:textFill>
                  <w14:solidFill>
                    <w14:schemeClr w14:val="tx1"/>
                  </w14:solidFill>
                </w14:textFill>
              </w:rPr>
            </w:pPr>
            <w:r>
              <w:rPr>
                <w:rFonts w:hint="default" w:ascii="Times New Roman" w:hAnsi="Times New Roman" w:eastAsia="宋体" w:cs="Times New Roman"/>
                <w:b w:val="0"/>
                <w:bCs/>
                <w:color w:val="000000" w:themeColor="text1"/>
                <w:sz w:val="24"/>
                <w:u w:val="none"/>
                <w14:textFill>
                  <w14:solidFill>
                    <w14:schemeClr w14:val="tx1"/>
                  </w14:solidFill>
                </w14:textFill>
              </w:rPr>
              <w:t>危险废物的转移必须按照《危险废物转移联单管理办法》的相关要求执行。转移危险废物前，须按照国家有关规定报批危险废物转移计划，经批准后，建设单位应向当地环保部门申请领取联单。</w:t>
            </w:r>
            <w:r>
              <w:rPr>
                <w:rFonts w:hint="default" w:ascii="Times New Roman" w:hAnsi="Times New Roman" w:eastAsia="宋体" w:cs="Times New Roman"/>
                <w:bCs/>
                <w:color w:val="000000" w:themeColor="text1"/>
                <w:sz w:val="24"/>
                <w14:textFill>
                  <w14:solidFill>
                    <w14:schemeClr w14:val="tx1"/>
                  </w14:solidFill>
                </w14:textFill>
              </w:rPr>
              <w:t>本项目危险废物产生情况见表4-1</w:t>
            </w:r>
            <w:r>
              <w:rPr>
                <w:rFonts w:hint="eastAsia" w:ascii="Times New Roman" w:hAnsi="Times New Roman" w:eastAsia="宋体" w:cs="Times New Roman"/>
                <w:bCs/>
                <w:color w:val="000000" w:themeColor="text1"/>
                <w:sz w:val="24"/>
                <w:lang w:val="en-US" w:eastAsia="zh-CN"/>
                <w14:textFill>
                  <w14:solidFill>
                    <w14:schemeClr w14:val="tx1"/>
                  </w14:solidFill>
                </w14:textFill>
              </w:rPr>
              <w:t>7</w:t>
            </w:r>
            <w:r>
              <w:rPr>
                <w:rFonts w:hint="default" w:ascii="Times New Roman" w:hAnsi="Times New Roman" w:eastAsia="宋体" w:cs="Times New Roman"/>
                <w:bCs/>
                <w:color w:val="000000" w:themeColor="text1"/>
                <w:sz w:val="24"/>
                <w14:textFill>
                  <w14:solidFill>
                    <w14:schemeClr w14:val="tx1"/>
                  </w14:solidFill>
                </w14:textFill>
              </w:rPr>
              <w:t>。</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表4-17  本项目危险废物产生情况一览表</w:t>
            </w:r>
          </w:p>
          <w:tbl>
            <w:tblPr>
              <w:tblStyle w:val="26"/>
              <w:tblW w:w="499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646"/>
              <w:gridCol w:w="925"/>
              <w:gridCol w:w="1196"/>
              <w:gridCol w:w="778"/>
              <w:gridCol w:w="672"/>
              <w:gridCol w:w="653"/>
              <w:gridCol w:w="588"/>
              <w:gridCol w:w="568"/>
              <w:gridCol w:w="583"/>
              <w:gridCol w:w="585"/>
              <w:gridCol w:w="64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4" w:hRule="atLeast"/>
                <w:jc w:val="center"/>
              </w:trPr>
              <w:tc>
                <w:tcPr>
                  <w:tcW w:w="262" w:type="pct"/>
                  <w:tcBorders>
                    <w:top w:val="single" w:color="auto" w:sz="8" w:space="0"/>
                    <w:left w:val="single" w:color="auto" w:sz="8"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序号</w:t>
                  </w:r>
                </w:p>
              </w:tc>
              <w:tc>
                <w:tcPr>
                  <w:tcW w:w="396"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危险废物名称</w:t>
                  </w:r>
                </w:p>
              </w:tc>
              <w:tc>
                <w:tcPr>
                  <w:tcW w:w="564"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危险废物类别</w:t>
                  </w:r>
                </w:p>
              </w:tc>
              <w:tc>
                <w:tcPr>
                  <w:tcW w:w="666"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危险废物代码</w:t>
                  </w:r>
                </w:p>
              </w:tc>
              <w:tc>
                <w:tcPr>
                  <w:tcW w:w="475"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产生量（吨/年）</w:t>
                  </w:r>
                </w:p>
              </w:tc>
              <w:tc>
                <w:tcPr>
                  <w:tcW w:w="411"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产生工序及装置</w:t>
                  </w:r>
                </w:p>
              </w:tc>
              <w:tc>
                <w:tcPr>
                  <w:tcW w:w="400"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形态</w:t>
                  </w:r>
                </w:p>
              </w:tc>
              <w:tc>
                <w:tcPr>
                  <w:tcW w:w="360"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主要成分</w:t>
                  </w:r>
                </w:p>
              </w:tc>
              <w:tc>
                <w:tcPr>
                  <w:tcW w:w="348"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有害成分</w:t>
                  </w:r>
                </w:p>
              </w:tc>
              <w:tc>
                <w:tcPr>
                  <w:tcW w:w="357"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产废周期</w:t>
                  </w:r>
                </w:p>
              </w:tc>
              <w:tc>
                <w:tcPr>
                  <w:tcW w:w="358" w:type="pct"/>
                  <w:tcBorders>
                    <w:top w:val="single" w:color="auto" w:sz="8"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危险</w:t>
                  </w:r>
                </w:p>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特性</w:t>
                  </w:r>
                </w:p>
              </w:tc>
              <w:tc>
                <w:tcPr>
                  <w:tcW w:w="397" w:type="pct"/>
                  <w:tcBorders>
                    <w:top w:val="single" w:color="auto" w:sz="8" w:space="0"/>
                    <w:left w:val="single" w:color="auto" w:sz="4" w:space="0"/>
                    <w:bottom w:val="single" w:color="auto" w:sz="4" w:space="0"/>
                    <w:right w:val="single" w:color="auto" w:sz="8" w:space="0"/>
                  </w:tcBorders>
                  <w:vAlign w:val="center"/>
                </w:tcPr>
                <w:p>
                  <w:pPr>
                    <w:topLinePunct/>
                    <w:spacing w:line="300" w:lineRule="exact"/>
                    <w:contextualSpacing/>
                    <w:jc w:val="center"/>
                    <w:rPr>
                      <w:rFonts w:hint="default" w:ascii="Times New Roman" w:hAnsi="Times New Roman" w:eastAsia="宋体" w:cs="Times New Roman"/>
                      <w:b/>
                      <w:bCs/>
                      <w:color w:val="000000" w:themeColor="text1"/>
                      <w:kern w:val="0"/>
                      <w:sz w:val="21"/>
                      <w:szCs w:val="21"/>
                      <w14:textFill>
                        <w14:solidFill>
                          <w14:schemeClr w14:val="tx1"/>
                        </w14:solidFill>
                      </w14:textFill>
                    </w:rPr>
                  </w:pPr>
                  <w:r>
                    <w:rPr>
                      <w:rFonts w:hint="default" w:ascii="Times New Roman" w:hAnsi="Times New Roman" w:eastAsia="宋体" w:cs="Times New Roman"/>
                      <w:b/>
                      <w:bCs/>
                      <w:color w:val="000000" w:themeColor="text1"/>
                      <w:kern w:val="0"/>
                      <w:sz w:val="21"/>
                      <w:szCs w:val="21"/>
                      <w14:textFill>
                        <w14:solidFill>
                          <w14:schemeClr w14:val="tx1"/>
                        </w14:solidFill>
                      </w14:textFill>
                    </w:rPr>
                    <w:t>污染防治措施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62" w:type="pct"/>
                  <w:tcBorders>
                    <w:top w:val="single" w:color="auto" w:sz="4" w:space="0"/>
                    <w:left w:val="single" w:color="auto" w:sz="8"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w:t>
                  </w:r>
                </w:p>
              </w:tc>
              <w:tc>
                <w:tcPr>
                  <w:tcW w:w="396"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lang w:eastAsia="zh-CN"/>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废</w:t>
                  </w:r>
                  <w:r>
                    <w:rPr>
                      <w:rFonts w:hint="default" w:ascii="Times New Roman" w:hAnsi="Times New Roman" w:eastAsia="宋体" w:cs="Times New Roman"/>
                      <w:color w:val="000000" w:themeColor="text1"/>
                      <w:kern w:val="0"/>
                      <w:sz w:val="21"/>
                      <w:szCs w:val="21"/>
                      <w:lang w:val="en-US" w:eastAsia="zh-CN"/>
                      <w14:textFill>
                        <w14:solidFill>
                          <w14:schemeClr w14:val="tx1"/>
                        </w14:solidFill>
                      </w14:textFill>
                    </w:rPr>
                    <w:t>导热油</w:t>
                  </w:r>
                </w:p>
              </w:tc>
              <w:tc>
                <w:tcPr>
                  <w:tcW w:w="564"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HW08</w:t>
                  </w:r>
                </w:p>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废矿物油与含矿物油废物</w:t>
                  </w:r>
                </w:p>
              </w:tc>
              <w:tc>
                <w:tcPr>
                  <w:tcW w:w="666"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900-249-08</w:t>
                  </w:r>
                </w:p>
              </w:tc>
              <w:tc>
                <w:tcPr>
                  <w:tcW w:w="475"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0.25</w:t>
                  </w:r>
                </w:p>
              </w:tc>
              <w:tc>
                <w:tcPr>
                  <w:tcW w:w="411" w:type="pct"/>
                  <w:tcBorders>
                    <w:top w:val="single" w:color="auto" w:sz="4" w:space="0"/>
                    <w:left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生产设备</w:t>
                  </w:r>
                </w:p>
              </w:tc>
              <w:tc>
                <w:tcPr>
                  <w:tcW w:w="400"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液态</w:t>
                  </w:r>
                </w:p>
              </w:tc>
              <w:tc>
                <w:tcPr>
                  <w:tcW w:w="360"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废矿物油</w:t>
                  </w:r>
                </w:p>
              </w:tc>
              <w:tc>
                <w:tcPr>
                  <w:tcW w:w="348"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废矿物油</w:t>
                  </w:r>
                </w:p>
              </w:tc>
              <w:tc>
                <w:tcPr>
                  <w:tcW w:w="357"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1~2年</w:t>
                  </w:r>
                </w:p>
              </w:tc>
              <w:tc>
                <w:tcPr>
                  <w:tcW w:w="358" w:type="pct"/>
                  <w:tcBorders>
                    <w:top w:val="single" w:color="auto" w:sz="4" w:space="0"/>
                    <w:left w:val="single" w:color="auto" w:sz="4" w:space="0"/>
                    <w:bottom w:val="single" w:color="auto" w:sz="4" w:space="0"/>
                    <w:right w:val="single" w:color="auto" w:sz="4"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T、I</w:t>
                  </w:r>
                </w:p>
              </w:tc>
              <w:tc>
                <w:tcPr>
                  <w:tcW w:w="397" w:type="pct"/>
                  <w:tcBorders>
                    <w:top w:val="single" w:color="auto" w:sz="4" w:space="0"/>
                    <w:left w:val="single" w:color="auto" w:sz="4" w:space="0"/>
                    <w:bottom w:val="single" w:color="auto" w:sz="4" w:space="0"/>
                    <w:right w:val="single" w:color="auto" w:sz="8" w:space="0"/>
                  </w:tcBorders>
                  <w:vAlign w:val="center"/>
                </w:tcPr>
                <w:p>
                  <w:pPr>
                    <w:topLinePunct/>
                    <w:spacing w:line="300" w:lineRule="exact"/>
                    <w:contextualSpacing/>
                    <w:jc w:val="center"/>
                    <w:rPr>
                      <w:rFonts w:hint="default" w:ascii="Times New Roman" w:hAnsi="Times New Roman" w:eastAsia="宋体" w:cs="Times New Roman"/>
                      <w:color w:val="000000" w:themeColor="text1"/>
                      <w:kern w:val="0"/>
                      <w:sz w:val="21"/>
                      <w:szCs w:val="21"/>
                      <w14:textFill>
                        <w14:solidFill>
                          <w14:schemeClr w14:val="tx1"/>
                        </w14:solidFill>
                      </w14:textFill>
                    </w:rPr>
                  </w:pPr>
                  <w:r>
                    <w:rPr>
                      <w:rFonts w:hint="default" w:ascii="Times New Roman" w:hAnsi="Times New Roman" w:eastAsia="宋体" w:cs="Times New Roman"/>
                      <w:color w:val="000000" w:themeColor="text1"/>
                      <w:kern w:val="0"/>
                      <w:sz w:val="21"/>
                      <w:szCs w:val="21"/>
                      <w14:textFill>
                        <w14:solidFill>
                          <w14:schemeClr w14:val="tx1"/>
                        </w14:solidFill>
                      </w14:textFill>
                    </w:rPr>
                    <w:t>收集暂存</w:t>
                  </w:r>
                </w:p>
              </w:tc>
            </w:tr>
          </w:tbl>
          <w:p>
            <w:pPr>
              <w:keepNext w:val="0"/>
              <w:keepLines w:val="0"/>
              <w:pageBreakBefore w:val="0"/>
              <w:widowControl w:val="0"/>
              <w:kinsoku/>
              <w:wordWrap/>
              <w:overflowPunct/>
              <w:topLinePunct w:val="0"/>
              <w:autoSpaceDE/>
              <w:autoSpaceDN/>
              <w:bidi w:val="0"/>
              <w:spacing w:line="360" w:lineRule="auto"/>
              <w:ind w:right="0" w:rightChars="0"/>
              <w:textAlignment w:val="auto"/>
              <w:outlineLvl w:val="9"/>
              <w:rPr>
                <w:rFonts w:hint="eastAsia" w:ascii="Times New Roman" w:hAnsi="Times New Roman" w:eastAsia="宋体" w:cs="Times New Roman"/>
                <w:b w:val="0"/>
                <w:bCs w:val="0"/>
                <w:snapToGrid w:val="0"/>
                <w:color w:val="000000" w:themeColor="text1"/>
                <w:kern w:val="0"/>
                <w:sz w:val="24"/>
                <w14:textFill>
                  <w14:solidFill>
                    <w14:schemeClr w14:val="tx1"/>
                  </w14:solidFill>
                </w14:textFill>
              </w:rPr>
            </w:pPr>
            <w:r>
              <w:rPr>
                <w:rFonts w:hint="eastAsia" w:ascii="Times New Roman" w:hAnsi="Times New Roman" w:eastAsia="宋体" w:cs="Times New Roman"/>
                <w:b w:val="0"/>
                <w:bCs w:val="0"/>
                <w:snapToGrid w:val="0"/>
                <w:color w:val="000000" w:themeColor="text1"/>
                <w:kern w:val="0"/>
                <w:sz w:val="24"/>
                <w14:textFill>
                  <w14:solidFill>
                    <w14:schemeClr w14:val="tx1"/>
                  </w14:solidFill>
                </w14:textFill>
              </w:rPr>
              <w:t>（</w:t>
            </w:r>
            <w:r>
              <w:rPr>
                <w:rFonts w:hint="eastAsia" w:cs="Times New Roman"/>
                <w:b w:val="0"/>
                <w:bCs w:val="0"/>
                <w:snapToGrid w:val="0"/>
                <w:color w:val="000000" w:themeColor="text1"/>
                <w:kern w:val="0"/>
                <w:sz w:val="24"/>
                <w:lang w:val="en-US" w:eastAsia="zh-CN"/>
                <w14:textFill>
                  <w14:solidFill>
                    <w14:schemeClr w14:val="tx1"/>
                  </w14:solidFill>
                </w14:textFill>
              </w:rPr>
              <w:t>8</w:t>
            </w:r>
            <w:r>
              <w:rPr>
                <w:rFonts w:hint="eastAsia" w:ascii="Times New Roman" w:hAnsi="Times New Roman" w:eastAsia="宋体" w:cs="Times New Roman"/>
                <w:b w:val="0"/>
                <w:bCs w:val="0"/>
                <w:snapToGrid w:val="0"/>
                <w:color w:val="000000" w:themeColor="text1"/>
                <w:kern w:val="0"/>
                <w:sz w:val="24"/>
                <w14:textFill>
                  <w14:solidFill>
                    <w14:schemeClr w14:val="tx1"/>
                  </w14:solidFill>
                </w14:textFill>
              </w:rPr>
              <w:t>）生活垃圾</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eastAsia" w:ascii="Times New Roman" w:hAnsi="Times New Roman" w:cs="宋体"/>
                <w:color w:val="000000" w:themeColor="text1"/>
                <w:kern w:val="0"/>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本项目职工30人，生活垃圾产生量按0.5kg/（人·d）计，则生活垃圾产生量为4.5t/a。生活垃圾经垃圾桶收集后，交由环卫部门统一清运。</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snapToGrid w:val="0"/>
                <w:color w:val="000000" w:themeColor="text1"/>
                <w:kern w:val="0"/>
                <w:sz w:val="24"/>
                <w14:textFill>
                  <w14:solidFill>
                    <w14:schemeClr w14:val="tx1"/>
                  </w14:solidFill>
                </w14:textFill>
              </w:rPr>
            </w:pPr>
            <w:r>
              <w:rPr>
                <w:rFonts w:hint="eastAsia" w:ascii="Times New Roman" w:hAnsi="Times New Roman"/>
                <w:snapToGrid w:val="0"/>
                <w:color w:val="000000" w:themeColor="text1"/>
                <w:kern w:val="0"/>
                <w:sz w:val="24"/>
                <w14:textFill>
                  <w14:solidFill>
                    <w14:schemeClr w14:val="tx1"/>
                  </w14:solidFill>
                </w14:textFill>
              </w:rPr>
              <w:t>本项目固体废物具体产生情况见表</w:t>
            </w:r>
            <w:r>
              <w:rPr>
                <w:rFonts w:hint="eastAsia"/>
                <w:snapToGrid w:val="0"/>
                <w:color w:val="000000" w:themeColor="text1"/>
                <w:kern w:val="0"/>
                <w:sz w:val="24"/>
                <w:lang w:val="en-US" w:eastAsia="zh-CN"/>
                <w14:textFill>
                  <w14:solidFill>
                    <w14:schemeClr w14:val="tx1"/>
                  </w14:solidFill>
                </w14:textFill>
              </w:rPr>
              <w:t>4-18</w:t>
            </w:r>
            <w:r>
              <w:rPr>
                <w:rFonts w:hint="eastAsia" w:ascii="Times New Roman" w:hAnsi="Times New Roman"/>
                <w:snapToGrid w:val="0"/>
                <w:color w:val="000000" w:themeColor="text1"/>
                <w:kern w:val="0"/>
                <w:sz w:val="24"/>
                <w14:textFill>
                  <w14:solidFill>
                    <w14:schemeClr w14:val="tx1"/>
                  </w14:solidFill>
                </w14:textFill>
              </w:rPr>
              <w:t>。</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olor w:val="000000" w:themeColor="text1"/>
                <w:sz w:val="21"/>
                <w:szCs w:val="21"/>
                <w:lang w:val="en-US" w:eastAsia="zh-CN"/>
                <w14:textFill>
                  <w14:solidFill>
                    <w14:schemeClr w14:val="tx1"/>
                  </w14:solidFill>
                </w14:textFill>
              </w:rPr>
            </w:pPr>
            <w:r>
              <w:rPr>
                <w:rFonts w:hint="eastAsia" w:ascii="Times New Roman" w:hAnsi="Times New Roman" w:eastAsia="宋体"/>
                <w:color w:val="000000" w:themeColor="text1"/>
                <w:sz w:val="21"/>
                <w:szCs w:val="21"/>
                <w:lang w:val="en-US" w:eastAsia="zh-CN"/>
                <w14:textFill>
                  <w14:solidFill>
                    <w14:schemeClr w14:val="tx1"/>
                  </w14:solidFill>
                </w14:textFill>
              </w:rPr>
              <w:t>表</w:t>
            </w:r>
            <w:r>
              <w:rPr>
                <w:rFonts w:hint="eastAsia" w:eastAsia="宋体"/>
                <w:color w:val="000000" w:themeColor="text1"/>
                <w:sz w:val="21"/>
                <w:szCs w:val="21"/>
                <w:lang w:val="en-US" w:eastAsia="zh-CN"/>
                <w14:textFill>
                  <w14:solidFill>
                    <w14:schemeClr w14:val="tx1"/>
                  </w14:solidFill>
                </w14:textFill>
              </w:rPr>
              <w:t>4-18</w:t>
            </w:r>
            <w:r>
              <w:rPr>
                <w:rFonts w:hint="eastAsia" w:ascii="Times New Roman" w:hAnsi="Times New Roman" w:eastAsia="宋体"/>
                <w:color w:val="000000" w:themeColor="text1"/>
                <w:sz w:val="21"/>
                <w:szCs w:val="21"/>
                <w:lang w:val="en-US" w:eastAsia="zh-CN"/>
                <w14:textFill>
                  <w14:solidFill>
                    <w14:schemeClr w14:val="tx1"/>
                  </w14:solidFill>
                </w14:textFill>
              </w:rPr>
              <w:t xml:space="preserve">  本项目固体废物产生情况一览表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8"/>
              <w:gridCol w:w="1069"/>
              <w:gridCol w:w="897"/>
              <w:gridCol w:w="2208"/>
              <w:gridCol w:w="1023"/>
              <w:gridCol w:w="21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14:textFill>
                        <w14:solidFill>
                          <w14:schemeClr w14:val="tx1"/>
                        </w14:solidFill>
                      </w14:textFill>
                    </w:rPr>
                    <w:t>名称</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14:textFill>
                        <w14:solidFill>
                          <w14:schemeClr w14:val="tx1"/>
                        </w14:solidFill>
                      </w14:textFill>
                    </w:rPr>
                    <w:t>产生量（t/a）</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t>贮存方式</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t>处置方式和去向</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t>处置量（t/a）</w:t>
                  </w:r>
                </w:p>
              </w:tc>
              <w:tc>
                <w:tcPr>
                  <w:tcW w:w="132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vertAlign w:val="baseline"/>
                      <w:lang w:val="en-US" w:eastAsia="zh-CN" w:bidi="ar-SA"/>
                      <w14:textFill>
                        <w14:solidFill>
                          <w14:schemeClr w14:val="tx1"/>
                        </w14:solidFill>
                      </w14:textFill>
                    </w:rPr>
                    <w:t>环境管理要求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香菇、木耳及猴头菇等其他菌类残渣</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67.5</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一般固废暂存间</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密闭桶装，日产日清，及时外售</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67.5</w:t>
                  </w:r>
                </w:p>
              </w:tc>
              <w:tc>
                <w:tcPr>
                  <w:tcW w:w="1321"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参照《一般工业固体废物贮存和填埋污染控制标准》（GB18599-2020）执行，满足相应防渗漏、防雨淋、防扬尘等环境保护要求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废离子交换树脂</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0.1</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由厂家更换直接带走</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0.1</w:t>
                  </w:r>
                </w:p>
              </w:tc>
              <w:tc>
                <w:tcPr>
                  <w:tcW w:w="132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污泥</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1.3</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经密闭桶收集后由周围村民拉走，作为肥料处置。</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1.3</w:t>
                  </w:r>
                </w:p>
              </w:tc>
              <w:tc>
                <w:tcPr>
                  <w:tcW w:w="132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废包装材料</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0.24</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一般固废暂存间</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定期外售</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0.24</w:t>
                  </w:r>
                </w:p>
              </w:tc>
              <w:tc>
                <w:tcPr>
                  <w:tcW w:w="132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废RO膜、超滤膜以及废纳滤膜</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0.1</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厂家回收</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17"/>
                      <w:kern w:val="0"/>
                      <w:sz w:val="21"/>
                      <w:szCs w:val="21"/>
                      <w:u w:val="single"/>
                      <w:vertAlign w:val="baseline"/>
                      <w:lang w:val="en-US" w:eastAsia="zh-CN" w:bidi="ar-SA"/>
                      <w14:textFill>
                        <w14:solidFill>
                          <w14:schemeClr w14:val="tx1"/>
                        </w14:solidFill>
                      </w14:textFill>
                    </w:rPr>
                    <w:t>0</w:t>
                  </w:r>
                </w:p>
              </w:tc>
              <w:tc>
                <w:tcPr>
                  <w:tcW w:w="1321"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废导热油</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0.25</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危废暂存间</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i w:val="0"/>
                      <w:iCs w:val="0"/>
                      <w:color w:val="000000" w:themeColor="text1"/>
                      <w:sz w:val="21"/>
                      <w:szCs w:val="21"/>
                      <w:u w:val="none"/>
                      <w14:textFill>
                        <w14:solidFill>
                          <w14:schemeClr w14:val="tx1"/>
                        </w14:solidFill>
                      </w14:textFill>
                    </w:rPr>
                    <w:t>危险废物经集中收集后，委托有资质的单位进行处置，确保生产过程产生的危险废物得到妥善处置</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0.25</w:t>
                  </w:r>
                </w:p>
              </w:tc>
              <w:tc>
                <w:tcPr>
                  <w:tcW w:w="132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Cs/>
                      <w:color w:val="000000" w:themeColor="text1"/>
                      <w:sz w:val="21"/>
                      <w:szCs w:val="21"/>
                      <w14:textFill>
                        <w14:solidFill>
                          <w14:schemeClr w14:val="tx1"/>
                        </w14:solidFill>
                      </w14:textFill>
                    </w:rPr>
                    <w:t>《危险废物贮存污染控制标准》（GB18597-2023）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生活垃圾</w:t>
                  </w:r>
                </w:p>
              </w:tc>
              <w:tc>
                <w:tcPr>
                  <w:tcW w:w="645"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4.5</w:t>
                  </w:r>
                </w:p>
              </w:tc>
              <w:tc>
                <w:tcPr>
                  <w:tcW w:w="54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w:t>
                  </w:r>
                </w:p>
              </w:tc>
              <w:tc>
                <w:tcPr>
                  <w:tcW w:w="1332"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交由环卫部门处置</w:t>
                  </w:r>
                </w:p>
              </w:tc>
              <w:tc>
                <w:tcPr>
                  <w:tcW w:w="61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4.5</w:t>
                  </w:r>
                </w:p>
              </w:tc>
              <w:tc>
                <w:tcPr>
                  <w:tcW w:w="1321"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17"/>
                      <w:kern w:val="0"/>
                      <w:sz w:val="21"/>
                      <w:szCs w:val="21"/>
                      <w:vertAlign w:val="baseline"/>
                      <w:lang w:val="en-US" w:eastAsia="zh-CN" w:bidi="ar-SA"/>
                      <w14:textFill>
                        <w14:solidFill>
                          <w14:schemeClr w14:val="tx1"/>
                        </w14:solidFill>
                      </w14:textFill>
                    </w:rPr>
                    <w:t>/</w:t>
                  </w:r>
                </w:p>
              </w:tc>
            </w:tr>
          </w:tbl>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olor w:val="000000" w:themeColor="text1"/>
                <w:sz w:val="21"/>
                <w:szCs w:val="21"/>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both"/>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ascii="Times New Roman" w:hAnsi="Times New Roman"/>
                <w:b/>
                <w:snapToGrid w:val="0"/>
                <w:color w:val="000000" w:themeColor="text1"/>
                <w:kern w:val="0"/>
                <w:sz w:val="24"/>
                <w:lang w:val="en-US" w:eastAsia="zh-CN"/>
                <w14:textFill>
                  <w14:solidFill>
                    <w14:schemeClr w14:val="tx1"/>
                  </w14:solidFill>
                </w14:textFill>
              </w:rPr>
              <w:t>5</w:t>
            </w:r>
            <w:r>
              <w:rPr>
                <w:rFonts w:hint="eastAsia"/>
                <w:b/>
                <w:snapToGrid w:val="0"/>
                <w:color w:val="000000" w:themeColor="text1"/>
                <w:kern w:val="0"/>
                <w:sz w:val="24"/>
                <w:lang w:val="en-US" w:eastAsia="zh-CN"/>
                <w14:textFill>
                  <w14:solidFill>
                    <w14:schemeClr w14:val="tx1"/>
                  </w14:solidFill>
                </w14:textFill>
              </w:rPr>
              <w:t>、</w:t>
            </w:r>
            <w:r>
              <w:rPr>
                <w:rFonts w:hint="eastAsia" w:ascii="Times New Roman" w:hAnsi="Times New Roman"/>
                <w:b/>
                <w:snapToGrid w:val="0"/>
                <w:color w:val="000000" w:themeColor="text1"/>
                <w:kern w:val="0"/>
                <w:sz w:val="24"/>
                <w14:textFill>
                  <w14:solidFill>
                    <w14:schemeClr w14:val="tx1"/>
                  </w14:solidFill>
                </w14:textFill>
              </w:rPr>
              <w:t>地下水及土壤环境影响分析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本项目为食品加工类项目，根据《环境影响评价技术导则 地下水环境》（HJ610-2016）附录A，本项目属于“N轻工-107、其他食品制造-除手工制作和单独分装外的（报告表）”项目，项目类别为IV类，可不再对地下水环境影响进行分析。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本项目为食品加工类项目，根据《环境影响评价技术导则 土壤环境（试行）》（HJ964-2018）附录A，本项目属于“其他行业中全部类”项目，项目类别为IV类。根据《环境影响评价技术导则 土壤环境（试行）》（HJ964-2018）中“4.2.2根据行业特征、工艺特点或规模大小等将建设项目类别分为I类、II类、III类、IV类，其中IV类建设项目可不开展土壤环境影响评价；自身为敏感目标的建设项目，可根据需要仅对土壤环境现状进行调查。”本项目属于IV类项目，周边多为企业、商品用房等，项目租赁河南吉尔木食品有限公司现有食用菌加工车间部分区域进行建设，不新增用地，租赁区域已全部硬化，故不再对土壤环境展开评价。</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both"/>
              <w:textAlignment w:val="auto"/>
              <w:outlineLvl w:val="9"/>
              <w:rPr>
                <w:rFonts w:hint="eastAsia"/>
                <w:b w:val="0"/>
                <w:bCs w:val="0"/>
                <w:color w:val="000000" w:themeColor="text1"/>
                <w:sz w:val="24"/>
                <w:u w:val="none"/>
                <w:lang w:eastAsia="zh-CN"/>
                <w14:textFill>
                  <w14:solidFill>
                    <w14:schemeClr w14:val="tx1"/>
                  </w14:solidFill>
                </w14:textFill>
              </w:rPr>
            </w:pPr>
            <w:r>
              <w:rPr>
                <w:b w:val="0"/>
                <w:bCs w:val="0"/>
                <w:color w:val="000000" w:themeColor="text1"/>
                <w:sz w:val="24"/>
                <w:u w:val="none"/>
                <w14:textFill>
                  <w14:solidFill>
                    <w14:schemeClr w14:val="tx1"/>
                  </w14:solidFill>
                </w14:textFill>
              </w:rPr>
              <w:t>本项目对地下水、土壤环境的影响包括地面漫流、</w:t>
            </w:r>
            <w:r>
              <w:rPr>
                <w:rFonts w:hint="eastAsia"/>
                <w:b w:val="0"/>
                <w:bCs w:val="0"/>
                <w:color w:val="000000" w:themeColor="text1"/>
                <w:sz w:val="24"/>
                <w:u w:val="none"/>
                <w:lang w:val="en-US" w:eastAsia="zh-CN"/>
                <w14:textFill>
                  <w14:solidFill>
                    <w14:schemeClr w14:val="tx1"/>
                  </w14:solidFill>
                </w14:textFill>
              </w:rPr>
              <w:t>颗粒物沉降</w:t>
            </w:r>
            <w:r>
              <w:rPr>
                <w:b w:val="0"/>
                <w:bCs w:val="0"/>
                <w:color w:val="000000" w:themeColor="text1"/>
                <w:sz w:val="24"/>
                <w:u w:val="none"/>
                <w14:textFill>
                  <w14:solidFill>
                    <w14:schemeClr w14:val="tx1"/>
                  </w14:solidFill>
                </w14:textFill>
              </w:rPr>
              <w:t>、固体废物随意堆放导致</w:t>
            </w:r>
            <w:r>
              <w:rPr>
                <w:rFonts w:hint="eastAsia"/>
                <w:b w:val="0"/>
                <w:bCs w:val="0"/>
                <w:color w:val="000000" w:themeColor="text1"/>
                <w:sz w:val="24"/>
                <w:u w:val="none"/>
                <w:lang w:eastAsia="zh-CN"/>
                <w14:textFill>
                  <w14:solidFill>
                    <w14:schemeClr w14:val="tx1"/>
                  </w14:solidFill>
                </w14:textFill>
              </w:rPr>
              <w:t>、</w:t>
            </w:r>
            <w:r>
              <w:rPr>
                <w:rFonts w:hint="eastAsia"/>
                <w:b w:val="0"/>
                <w:bCs w:val="0"/>
                <w:color w:val="000000" w:themeColor="text1"/>
                <w:sz w:val="24"/>
                <w:u w:val="none"/>
                <w:lang w:val="en-US" w:eastAsia="zh-CN"/>
                <w14:textFill>
                  <w14:solidFill>
                    <w14:schemeClr w14:val="tx1"/>
                  </w14:solidFill>
                </w14:textFill>
              </w:rPr>
              <w:t>危险废物泄漏</w:t>
            </w:r>
            <w:r>
              <w:rPr>
                <w:b w:val="0"/>
                <w:bCs w:val="0"/>
                <w:color w:val="000000" w:themeColor="text1"/>
                <w:sz w:val="24"/>
                <w:u w:val="none"/>
                <w14:textFill>
                  <w14:solidFill>
                    <w14:schemeClr w14:val="tx1"/>
                  </w14:solidFill>
                </w14:textFill>
              </w:rPr>
              <w:t>，其中</w:t>
            </w:r>
            <w:r>
              <w:rPr>
                <w:rFonts w:hint="eastAsia"/>
                <w:b w:val="0"/>
                <w:bCs w:val="0"/>
                <w:color w:val="000000" w:themeColor="text1"/>
                <w:sz w:val="24"/>
                <w:u w:val="none"/>
                <w:lang w:eastAsia="zh-CN"/>
                <w14:textFill>
                  <w14:solidFill>
                    <w14:schemeClr w14:val="tx1"/>
                  </w14:solidFill>
                </w14:textFill>
              </w:rPr>
              <w:t>项目</w:t>
            </w:r>
            <w:r>
              <w:rPr>
                <w:b w:val="0"/>
                <w:bCs w:val="0"/>
                <w:color w:val="000000" w:themeColor="text1"/>
                <w:sz w:val="24"/>
                <w:u w:val="none"/>
                <w14:textFill>
                  <w14:solidFill>
                    <w14:schemeClr w14:val="tx1"/>
                  </w14:solidFill>
                </w14:textFill>
              </w:rPr>
              <w:t>大气污染物</w:t>
            </w:r>
            <w:r>
              <w:rPr>
                <w:rFonts w:hint="eastAsia"/>
                <w:b w:val="0"/>
                <w:bCs w:val="0"/>
                <w:color w:val="000000" w:themeColor="text1"/>
                <w:sz w:val="24"/>
                <w:u w:val="none"/>
                <w:lang w:eastAsia="zh-CN"/>
                <w14:textFill>
                  <w14:solidFill>
                    <w14:schemeClr w14:val="tx1"/>
                  </w14:solidFill>
                </w14:textFill>
              </w:rPr>
              <w:t>为</w:t>
            </w:r>
            <w:r>
              <w:rPr>
                <w:b w:val="0"/>
                <w:bCs w:val="0"/>
                <w:color w:val="000000" w:themeColor="text1"/>
                <w:sz w:val="24"/>
                <w:u w:val="none"/>
                <w14:textFill>
                  <w14:solidFill>
                    <w14:schemeClr w14:val="tx1"/>
                  </w14:solidFill>
                </w14:textFill>
              </w:rPr>
              <w:t>颗粒物；固体废物污染源主要是</w:t>
            </w:r>
            <w:r>
              <w:rPr>
                <w:rFonts w:hint="eastAsia"/>
                <w:b w:val="0"/>
                <w:bCs w:val="0"/>
                <w:color w:val="000000" w:themeColor="text1"/>
                <w:sz w:val="24"/>
                <w:u w:val="none"/>
                <w:lang w:eastAsia="zh-CN"/>
                <w14:textFill>
                  <w14:solidFill>
                    <w14:schemeClr w14:val="tx1"/>
                  </w14:solidFill>
                </w14:textFill>
              </w:rPr>
              <w:t>一般固废</w:t>
            </w:r>
            <w:r>
              <w:rPr>
                <w:rFonts w:hint="eastAsia"/>
                <w:b w:val="0"/>
                <w:bCs w:val="0"/>
                <w:color w:val="000000" w:themeColor="text1"/>
                <w:sz w:val="24"/>
                <w:u w:val="none"/>
                <w:lang w:val="en-US" w:eastAsia="zh-CN"/>
                <w14:textFill>
                  <w14:solidFill>
                    <w14:schemeClr w14:val="tx1"/>
                  </w14:solidFill>
                </w14:textFill>
              </w:rPr>
              <w:t>和危险废物</w:t>
            </w:r>
            <w:r>
              <w:rPr>
                <w:rFonts w:hint="eastAsia"/>
                <w:b w:val="0"/>
                <w:bCs w:val="0"/>
                <w:color w:val="000000" w:themeColor="text1"/>
                <w:sz w:val="24"/>
                <w:u w:val="none"/>
                <w:lang w:eastAsia="zh-CN"/>
                <w14:textFill>
                  <w14:solidFill>
                    <w14:schemeClr w14:val="tx1"/>
                  </w14:solidFill>
                </w14:textFill>
              </w:rPr>
              <w:t>；生产废水不外排。</w:t>
            </w:r>
          </w:p>
          <w:p>
            <w:pPr>
              <w:pStyle w:val="2"/>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480"/>
              <w:jc w:val="both"/>
              <w:textAlignment w:val="auto"/>
              <w:rPr>
                <w:rFonts w:hint="default" w:ascii="Times New Roman" w:hAnsi="Times New Roman" w:eastAsia="宋体" w:cs="Times New Roman"/>
                <w:b w:val="0"/>
                <w:bCs w:val="0"/>
                <w:color w:val="000000" w:themeColor="text1"/>
                <w:sz w:val="24"/>
                <w:szCs w:val="24"/>
                <w:u w:val="none"/>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4"/>
                <w:szCs w:val="24"/>
                <w:u w:val="none"/>
                <w:lang w:val="en-US" w:eastAsia="zh-CN"/>
                <w14:textFill>
                  <w14:solidFill>
                    <w14:schemeClr w14:val="tx1"/>
                  </w14:solidFill>
                </w14:textFill>
              </w:rPr>
              <w:t>本项目厂区运输道路、车间地面等均硬化处理，</w:t>
            </w:r>
            <w:r>
              <w:rPr>
                <w:rFonts w:hint="default" w:ascii="Times New Roman" w:hAnsi="Times New Roman" w:eastAsia="宋体" w:cs="Times New Roman"/>
                <w:bCs/>
                <w:color w:val="000000" w:themeColor="text1"/>
                <w:sz w:val="24"/>
                <w:szCs w:val="24"/>
                <w:lang w:val="en-US" w:eastAsia="zh-CN"/>
                <w14:textFill>
                  <w14:solidFill>
                    <w14:schemeClr w14:val="tx1"/>
                  </w14:solidFill>
                </w14:textFill>
              </w:rPr>
              <w:t>危险废物暂存间采取重点防渗措施，</w:t>
            </w:r>
            <w:r>
              <w:rPr>
                <w:rFonts w:hint="default" w:ascii="Times New Roman" w:hAnsi="Times New Roman" w:eastAsia="宋体" w:cs="Times New Roman"/>
                <w:color w:val="000000" w:themeColor="text1"/>
                <w:sz w:val="24"/>
                <w:szCs w:val="24"/>
                <w14:textFill>
                  <w14:solidFill>
                    <w14:schemeClr w14:val="tx1"/>
                  </w14:solidFill>
                </w14:textFill>
              </w:rPr>
              <w:t>应进行基础防渗，防渗层为至少1m厚黏土层（渗透系数不大于10</w:t>
            </w:r>
            <w:r>
              <w:rPr>
                <w:rFonts w:hint="default" w:ascii="Times New Roman" w:hAnsi="Times New Roman" w:eastAsia="宋体" w:cs="Times New Roman"/>
                <w:color w:val="000000" w:themeColor="text1"/>
                <w:sz w:val="24"/>
                <w:szCs w:val="24"/>
                <w:vertAlign w:val="superscript"/>
                <w14:textFill>
                  <w14:solidFill>
                    <w14:schemeClr w14:val="tx1"/>
                  </w14:solidFill>
                </w14:textFill>
              </w:rPr>
              <w:t>-7</w:t>
            </w:r>
            <w:r>
              <w:rPr>
                <w:rFonts w:hint="default" w:ascii="Times New Roman" w:hAnsi="Times New Roman" w:eastAsia="宋体" w:cs="Times New Roman"/>
                <w:color w:val="000000" w:themeColor="text1"/>
                <w:sz w:val="24"/>
                <w:szCs w:val="24"/>
                <w14:textFill>
                  <w14:solidFill>
                    <w14:schemeClr w14:val="tx1"/>
                  </w14:solidFill>
                </w14:textFill>
              </w:rPr>
              <w:t>cm/s），或至少2mm厚高密度聚乙烯膜等人工防渗材料（渗透系数不大于</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14:textFill>
                  <w14:solidFill>
                    <w14:schemeClr w14:val="tx1"/>
                  </w14:solidFill>
                </w14:textFill>
              </w:rPr>
              <w:t>0</w:t>
            </w:r>
            <w:r>
              <w:rPr>
                <w:rFonts w:hint="default" w:ascii="Times New Roman" w:hAnsi="Times New Roman" w:eastAsia="宋体" w:cs="Times New Roman"/>
                <w:color w:val="000000" w:themeColor="text1"/>
                <w:sz w:val="24"/>
                <w:szCs w:val="24"/>
                <w:vertAlign w:val="superscript"/>
                <w14:textFill>
                  <w14:solidFill>
                    <w14:schemeClr w14:val="tx1"/>
                  </w14:solidFill>
                </w14:textFill>
              </w:rPr>
              <w:t>-10</w:t>
            </w:r>
            <w:r>
              <w:rPr>
                <w:rFonts w:hint="default" w:ascii="Times New Roman" w:hAnsi="Times New Roman" w:eastAsia="宋体" w:cs="Times New Roman"/>
                <w:color w:val="000000" w:themeColor="text1"/>
                <w:sz w:val="24"/>
                <w:szCs w:val="24"/>
                <w14:textFill>
                  <w14:solidFill>
                    <w14:schemeClr w14:val="tx1"/>
                  </w14:solidFill>
                </w14:textFill>
              </w:rPr>
              <w:t>cm/s）</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bCs/>
                <w:color w:val="000000" w:themeColor="text1"/>
                <w:sz w:val="24"/>
                <w:szCs w:val="24"/>
                <w14:textFill>
                  <w14:solidFill>
                    <w14:schemeClr w14:val="tx1"/>
                  </w14:solidFill>
                </w14:textFill>
              </w:rPr>
              <w:t>以减少由于泄漏而可能造成的地下水污染</w:t>
            </w:r>
            <w:r>
              <w:rPr>
                <w:rFonts w:hint="default" w:ascii="Times New Roman" w:hAnsi="Times New Roman" w:eastAsia="宋体" w:cs="Times New Roman"/>
                <w:b w:val="0"/>
                <w:bCs w:val="0"/>
                <w:color w:val="000000" w:themeColor="text1"/>
                <w:sz w:val="24"/>
                <w:szCs w:val="24"/>
                <w:u w:val="none"/>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both"/>
              <w:textAlignment w:val="auto"/>
              <w:outlineLvl w:val="9"/>
              <w:rPr>
                <w:rFonts w:hint="eastAsia" w:ascii="Times New Roman" w:hAnsi="Times New Roman"/>
                <w:b/>
                <w:bCs w:val="0"/>
                <w:snapToGrid w:val="0"/>
                <w:color w:val="000000" w:themeColor="text1"/>
                <w:kern w:val="0"/>
                <w:sz w:val="24"/>
                <w:u w:val="none"/>
                <w:lang w:val="en-US" w:eastAsia="zh-CN"/>
                <w14:textFill>
                  <w14:solidFill>
                    <w14:schemeClr w14:val="tx1"/>
                  </w14:solidFill>
                </w14:textFill>
              </w:rPr>
            </w:pPr>
            <w:r>
              <w:rPr>
                <w:rFonts w:hint="eastAsia" w:ascii="Times New Roman" w:hAnsi="Times New Roman"/>
                <w:b/>
                <w:bCs w:val="0"/>
                <w:snapToGrid w:val="0"/>
                <w:color w:val="000000" w:themeColor="text1"/>
                <w:kern w:val="0"/>
                <w:sz w:val="24"/>
                <w:u w:val="none"/>
                <w:lang w:val="en-US" w:eastAsia="zh-CN"/>
                <w14:textFill>
                  <w14:solidFill>
                    <w14:schemeClr w14:val="tx1"/>
                  </w14:solidFill>
                </w14:textFill>
              </w:rPr>
              <w:t>6</w:t>
            </w:r>
            <w:r>
              <w:rPr>
                <w:rFonts w:hint="eastAsia"/>
                <w:b/>
                <w:bCs w:val="0"/>
                <w:snapToGrid w:val="0"/>
                <w:color w:val="000000" w:themeColor="text1"/>
                <w:kern w:val="0"/>
                <w:sz w:val="24"/>
                <w:u w:val="none"/>
                <w:lang w:val="en-US" w:eastAsia="zh-CN"/>
                <w14:textFill>
                  <w14:solidFill>
                    <w14:schemeClr w14:val="tx1"/>
                  </w14:solidFill>
                </w14:textFill>
              </w:rPr>
              <w:t>、</w:t>
            </w:r>
            <w:r>
              <w:rPr>
                <w:rFonts w:hint="eastAsia" w:ascii="Times New Roman" w:hAnsi="Times New Roman"/>
                <w:b/>
                <w:bCs w:val="0"/>
                <w:snapToGrid w:val="0"/>
                <w:color w:val="000000" w:themeColor="text1"/>
                <w:kern w:val="0"/>
                <w:sz w:val="24"/>
                <w:u w:val="none"/>
                <w:lang w:val="en-US" w:eastAsia="zh-CN"/>
                <w14:textFill>
                  <w14:solidFill>
                    <w14:schemeClr w14:val="tx1"/>
                  </w14:solidFill>
                </w14:textFill>
              </w:rPr>
              <w:t>环境风险分析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（1）环境风险识别</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本项目环境风险物质为天然气，本项目使用的天然气为罐装天然气，成分主要为甲烷，单个天然气罐容积为212L，22个天然气罐，</w:t>
            </w:r>
            <w:r>
              <w:rPr>
                <w:rFonts w:hint="eastAsia" w:cs="Times New Roman"/>
                <w:color w:val="000000" w:themeColor="text1"/>
                <w:kern w:val="0"/>
                <w:sz w:val="24"/>
                <w:szCs w:val="24"/>
                <w:vertAlign w:val="baseline"/>
                <w:lang w:val="en-US" w:eastAsia="zh-CN"/>
                <w14:textFill>
                  <w14:solidFill>
                    <w14:schemeClr w14:val="tx1"/>
                  </w14:solidFill>
                </w14:textFill>
              </w:rPr>
              <w:t>最大天然气存在量为880</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m</w:t>
            </w:r>
            <w:r>
              <w:rPr>
                <w:rFonts w:hint="eastAsia" w:ascii="Times New Roman" w:hAnsi="Times New Roman" w:eastAsia="宋体" w:cs="Times New Roman"/>
                <w:color w:val="000000" w:themeColor="text1"/>
                <w:kern w:val="0"/>
                <w:sz w:val="24"/>
                <w:szCs w:val="24"/>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，密度为0.45kg/m</w:t>
            </w:r>
            <w:r>
              <w:rPr>
                <w:rFonts w:hint="eastAsia" w:ascii="Times New Roman" w:hAnsi="Times New Roman" w:eastAsia="宋体" w:cs="Times New Roman"/>
                <w:color w:val="000000" w:themeColor="text1"/>
                <w:kern w:val="0"/>
                <w:sz w:val="24"/>
                <w:szCs w:val="24"/>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，则储存的天然气最大为</w:t>
            </w:r>
            <w:r>
              <w:rPr>
                <w:rFonts w:hint="eastAsia" w:cs="Times New Roman"/>
                <w:color w:val="000000" w:themeColor="text1"/>
                <w:kern w:val="0"/>
                <w:sz w:val="24"/>
                <w:szCs w:val="24"/>
                <w:vertAlign w:val="baseline"/>
                <w:lang w:val="en-US" w:eastAsia="zh-CN"/>
                <w14:textFill>
                  <w14:solidFill>
                    <w14:schemeClr w14:val="tx1"/>
                  </w14:solidFill>
                </w14:textFill>
              </w:rPr>
              <w:t>0.396</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t。</w:t>
            </w:r>
          </w:p>
          <w:p>
            <w:pPr>
              <w:pStyle w:val="94"/>
              <w:keepNext w:val="0"/>
              <w:keepLines w:val="0"/>
              <w:pageBreakBefore w:val="0"/>
              <w:widowControl w:val="0"/>
              <w:kinsoku/>
              <w:wordWrap/>
              <w:overflowPunct/>
              <w:topLinePunct w:val="0"/>
              <w:bidi w:val="0"/>
              <w:spacing w:line="360" w:lineRule="auto"/>
              <w:ind w:left="115"/>
              <w:jc w:val="both"/>
              <w:textAlignment w:val="auto"/>
              <w:rPr>
                <w:b w:val="0"/>
                <w:bCs w:val="0"/>
                <w:color w:val="000000" w:themeColor="text1"/>
                <w:sz w:val="24"/>
                <w:szCs w:val="24"/>
                <w:u w:val="none" w:color="auto"/>
                <w14:textFill>
                  <w14:solidFill>
                    <w14:schemeClr w14:val="tx1"/>
                  </w14:solidFill>
                </w14:textFill>
              </w:rPr>
            </w:pPr>
            <w:r>
              <w:rPr>
                <w:b w:val="0"/>
                <w:bCs w:val="0"/>
                <w:color w:val="000000" w:themeColor="text1"/>
                <w:spacing w:val="-1"/>
                <w:sz w:val="24"/>
                <w:szCs w:val="24"/>
                <w:u w:val="none" w:color="auto"/>
                <w14:textFill>
                  <w14:solidFill>
                    <w14:schemeClr w14:val="tx1"/>
                  </w14:solidFill>
                </w14:textFill>
              </w:rPr>
              <w:t>根据《建设项目环境风险评价技术导则》（</w:t>
            </w:r>
            <w:r>
              <w:rPr>
                <w:rFonts w:ascii="Times New Roman" w:hAnsi="Times New Roman" w:eastAsia="Times New Roman" w:cs="Times New Roman"/>
                <w:b w:val="0"/>
                <w:bCs w:val="0"/>
                <w:color w:val="000000" w:themeColor="text1"/>
                <w:spacing w:val="-2"/>
                <w:sz w:val="24"/>
                <w:szCs w:val="24"/>
                <w:u w:val="none" w:color="auto"/>
                <w14:textFill>
                  <w14:solidFill>
                    <w14:schemeClr w14:val="tx1"/>
                  </w14:solidFill>
                </w14:textFill>
              </w:rPr>
              <w:t>HJ169-2018</w:t>
            </w:r>
            <w:r>
              <w:rPr>
                <w:b w:val="0"/>
                <w:bCs w:val="0"/>
                <w:color w:val="000000" w:themeColor="text1"/>
                <w:spacing w:val="-2"/>
                <w:sz w:val="24"/>
                <w:szCs w:val="24"/>
                <w:u w:val="none" w:color="auto"/>
                <w14:textFill>
                  <w14:solidFill>
                    <w14:schemeClr w14:val="tx1"/>
                  </w14:solidFill>
                </w14:textFill>
              </w:rPr>
              <w:t>）附录</w:t>
            </w:r>
            <w:r>
              <w:rPr>
                <w:b w:val="0"/>
                <w:bCs w:val="0"/>
                <w:color w:val="000000" w:themeColor="text1"/>
                <w:spacing w:val="-55"/>
                <w:sz w:val="24"/>
                <w:szCs w:val="24"/>
                <w:u w:val="none" w:color="auto"/>
                <w14:textFill>
                  <w14:solidFill>
                    <w14:schemeClr w14:val="tx1"/>
                  </w14:solidFill>
                </w14:textFill>
              </w:rPr>
              <w:t xml:space="preserve"> </w:t>
            </w:r>
            <w:r>
              <w:rPr>
                <w:rFonts w:ascii="Times New Roman" w:hAnsi="Times New Roman" w:eastAsia="Times New Roman" w:cs="Times New Roman"/>
                <w:b w:val="0"/>
                <w:bCs w:val="0"/>
                <w:color w:val="000000" w:themeColor="text1"/>
                <w:spacing w:val="-2"/>
                <w:sz w:val="24"/>
                <w:szCs w:val="24"/>
                <w:u w:val="none" w:color="auto"/>
                <w14:textFill>
                  <w14:solidFill>
                    <w14:schemeClr w14:val="tx1"/>
                  </w14:solidFill>
                </w14:textFill>
              </w:rPr>
              <w:t xml:space="preserve">B </w:t>
            </w:r>
            <w:r>
              <w:rPr>
                <w:b w:val="0"/>
                <w:bCs w:val="0"/>
                <w:color w:val="000000" w:themeColor="text1"/>
                <w:spacing w:val="-2"/>
                <w:sz w:val="24"/>
                <w:szCs w:val="24"/>
                <w:u w:val="none" w:color="auto"/>
                <w14:textFill>
                  <w14:solidFill>
                    <w14:schemeClr w14:val="tx1"/>
                  </w14:solidFill>
                </w14:textFill>
              </w:rPr>
              <w:t>重点关注</w:t>
            </w:r>
            <w:r>
              <w:rPr>
                <w:b w:val="0"/>
                <w:bCs w:val="0"/>
                <w:color w:val="000000" w:themeColor="text1"/>
                <w:spacing w:val="-5"/>
                <w:sz w:val="24"/>
                <w:szCs w:val="24"/>
                <w:u w:val="none" w:color="auto"/>
                <w14:textFill>
                  <w14:solidFill>
                    <w14:schemeClr w14:val="tx1"/>
                  </w14:solidFill>
                </w14:textFill>
              </w:rPr>
              <w:t>的危险物质及临界量表，本项目涉及的主要危险物质主要是天然气。</w:t>
            </w:r>
            <w:r>
              <w:rPr>
                <w:b w:val="0"/>
                <w:bCs w:val="0"/>
                <w:color w:val="000000" w:themeColor="text1"/>
                <w:spacing w:val="-2"/>
                <w:sz w:val="24"/>
                <w:szCs w:val="24"/>
                <w:u w:val="none" w:color="auto"/>
                <w14:textFill>
                  <w14:solidFill>
                    <w14:schemeClr w14:val="tx1"/>
                  </w14:solidFill>
                </w14:textFill>
              </w:rPr>
              <w:t>天然气厂区储存量与临界量比值（</w:t>
            </w:r>
            <w:r>
              <w:rPr>
                <w:rFonts w:ascii="Times New Roman" w:hAnsi="Times New Roman" w:eastAsia="Times New Roman" w:cs="Times New Roman"/>
                <w:b w:val="0"/>
                <w:bCs w:val="0"/>
                <w:color w:val="000000" w:themeColor="text1"/>
                <w:spacing w:val="-2"/>
                <w:sz w:val="24"/>
                <w:szCs w:val="24"/>
                <w:u w:val="none" w:color="auto"/>
                <w14:textFill>
                  <w14:solidFill>
                    <w14:schemeClr w14:val="tx1"/>
                  </w14:solidFill>
                </w14:textFill>
              </w:rPr>
              <w:t>Q</w:t>
            </w:r>
            <w:r>
              <w:rPr>
                <w:b w:val="0"/>
                <w:bCs w:val="0"/>
                <w:color w:val="000000" w:themeColor="text1"/>
                <w:spacing w:val="-2"/>
                <w:sz w:val="24"/>
                <w:szCs w:val="24"/>
                <w:u w:val="none" w:color="auto"/>
                <w14:textFill>
                  <w14:solidFill>
                    <w14:schemeClr w14:val="tx1"/>
                  </w14:solidFill>
                </w14:textFill>
              </w:rPr>
              <w:t>）见</w:t>
            </w:r>
            <w:r>
              <w:rPr>
                <w:b w:val="0"/>
                <w:bCs w:val="0"/>
                <w:color w:val="000000" w:themeColor="text1"/>
                <w:spacing w:val="-3"/>
                <w:sz w:val="24"/>
                <w:szCs w:val="24"/>
                <w:u w:val="none" w:color="auto"/>
                <w14:textFill>
                  <w14:solidFill>
                    <w14:schemeClr w14:val="tx1"/>
                  </w14:solidFill>
                </w14:textFill>
              </w:rPr>
              <w:t>表</w:t>
            </w:r>
            <w:r>
              <w:rPr>
                <w:b w:val="0"/>
                <w:bCs w:val="0"/>
                <w:color w:val="000000" w:themeColor="text1"/>
                <w:spacing w:val="-51"/>
                <w:sz w:val="24"/>
                <w:szCs w:val="24"/>
                <w:u w:val="none" w:color="auto"/>
                <w14:textFill>
                  <w14:solidFill>
                    <w14:schemeClr w14:val="tx1"/>
                  </w14:solidFill>
                </w14:textFill>
              </w:rPr>
              <w:t xml:space="preserve"> </w:t>
            </w:r>
            <w:r>
              <w:rPr>
                <w:rFonts w:hint="eastAsia" w:ascii="Times New Roman" w:hAnsi="Times New Roman" w:eastAsia="宋体" w:cs="Times New Roman"/>
                <w:b w:val="0"/>
                <w:bCs w:val="0"/>
                <w:color w:val="000000" w:themeColor="text1"/>
                <w:spacing w:val="-3"/>
                <w:sz w:val="24"/>
                <w:szCs w:val="24"/>
                <w:u w:val="none" w:color="auto"/>
                <w:lang w:val="en-US" w:eastAsia="zh-CN"/>
                <w14:textFill>
                  <w14:solidFill>
                    <w14:schemeClr w14:val="tx1"/>
                  </w14:solidFill>
                </w14:textFill>
              </w:rPr>
              <w:t>4-19</w:t>
            </w:r>
            <w:r>
              <w:rPr>
                <w:rFonts w:ascii="Times New Roman" w:hAnsi="Times New Roman" w:eastAsia="Times New Roman" w:cs="Times New Roman"/>
                <w:b w:val="0"/>
                <w:bCs w:val="0"/>
                <w:color w:val="000000" w:themeColor="text1"/>
                <w:spacing w:val="-28"/>
                <w:sz w:val="24"/>
                <w:szCs w:val="24"/>
                <w:u w:val="none" w:color="auto"/>
                <w14:textFill>
                  <w14:solidFill>
                    <w14:schemeClr w14:val="tx1"/>
                  </w14:solidFill>
                </w14:textFill>
              </w:rPr>
              <w:t xml:space="preserve"> </w:t>
            </w:r>
            <w:r>
              <w:rPr>
                <w:b w:val="0"/>
                <w:bCs w:val="0"/>
                <w:color w:val="000000" w:themeColor="text1"/>
                <w:spacing w:val="-3"/>
                <w:sz w:val="24"/>
                <w:szCs w:val="24"/>
                <w:u w:val="none" w:color="auto"/>
                <w14:textFill>
                  <w14:solidFill>
                    <w14:schemeClr w14:val="tx1"/>
                  </w14:solidFill>
                </w14:textFill>
              </w:rPr>
              <w:t>。</w:t>
            </w:r>
          </w:p>
          <w:p>
            <w:pPr>
              <w:spacing w:before="193" w:line="212" w:lineRule="auto"/>
              <w:ind w:left="2527"/>
              <w:rPr>
                <w:rFonts w:hint="eastAsia" w:ascii="宋体" w:hAnsi="宋体" w:eastAsia="宋体" w:cs="宋体"/>
                <w:b/>
                <w:bCs/>
                <w:color w:val="000000" w:themeColor="text1"/>
                <w:sz w:val="21"/>
                <w:szCs w:val="21"/>
                <w:u w:val="none" w:color="auto"/>
                <w14:textFill>
                  <w14:solidFill>
                    <w14:schemeClr w14:val="tx1"/>
                  </w14:solidFill>
                </w14:textFill>
              </w:rPr>
            </w:pPr>
            <w:r>
              <w:rPr>
                <w:rFonts w:hint="eastAsia" w:ascii="宋体" w:hAnsi="宋体" w:eastAsia="宋体" w:cs="宋体"/>
                <w:b/>
                <w:bCs/>
                <w:color w:val="000000" w:themeColor="text1"/>
                <w:spacing w:val="-3"/>
                <w:sz w:val="21"/>
                <w:szCs w:val="21"/>
                <w:u w:val="none" w:color="auto"/>
                <w14:textFill>
                  <w14:solidFill>
                    <w14:schemeClr w14:val="tx1"/>
                  </w14:solidFill>
                </w14:textFill>
              </w:rPr>
              <w:t>表</w:t>
            </w:r>
            <w:r>
              <w:rPr>
                <w:rFonts w:hint="eastAsia" w:ascii="宋体" w:hAnsi="宋体" w:eastAsia="宋体" w:cs="宋体"/>
                <w:b/>
                <w:bCs/>
                <w:color w:val="000000" w:themeColor="text1"/>
                <w:spacing w:val="-47"/>
                <w:sz w:val="21"/>
                <w:szCs w:val="21"/>
                <w:u w:val="none" w:color="auto"/>
                <w14:textFill>
                  <w14:solidFill>
                    <w14:schemeClr w14:val="tx1"/>
                  </w14:solidFill>
                </w14:textFill>
              </w:rPr>
              <w:t xml:space="preserve"> </w:t>
            </w:r>
            <w:r>
              <w:rPr>
                <w:rFonts w:hint="eastAsia" w:ascii="宋体" w:hAnsi="宋体" w:eastAsia="宋体" w:cs="宋体"/>
                <w:b/>
                <w:bCs/>
                <w:color w:val="000000" w:themeColor="text1"/>
                <w:spacing w:val="-3"/>
                <w:sz w:val="21"/>
                <w:szCs w:val="21"/>
                <w:u w:val="none" w:color="auto"/>
                <w:lang w:val="en-US" w:eastAsia="zh-CN"/>
                <w14:textFill>
                  <w14:solidFill>
                    <w14:schemeClr w14:val="tx1"/>
                  </w14:solidFill>
                </w14:textFill>
              </w:rPr>
              <w:t>4-19</w:t>
            </w:r>
            <w:r>
              <w:rPr>
                <w:rFonts w:hint="eastAsia" w:ascii="宋体" w:hAnsi="宋体" w:eastAsia="宋体" w:cs="宋体"/>
                <w:b/>
                <w:bCs/>
                <w:color w:val="000000" w:themeColor="text1"/>
                <w:spacing w:val="-3"/>
                <w:sz w:val="21"/>
                <w:szCs w:val="21"/>
                <w:u w:val="none" w:color="auto"/>
                <w14:textFill>
                  <w14:solidFill>
                    <w14:schemeClr w14:val="tx1"/>
                  </w14:solidFill>
                </w14:textFill>
              </w:rPr>
              <w:t xml:space="preserve">  项目风险物质与临界量比值表</w:t>
            </w:r>
          </w:p>
          <w:tbl>
            <w:tblPr>
              <w:tblStyle w:val="95"/>
              <w:tblW w:w="8260" w:type="dxa"/>
              <w:tblInd w:w="10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687"/>
              <w:gridCol w:w="2022"/>
              <w:gridCol w:w="2695"/>
              <w:gridCol w:w="185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1" w:hRule="atLeast"/>
              </w:trPr>
              <w:tc>
                <w:tcPr>
                  <w:tcW w:w="1687" w:type="dxa"/>
                  <w:vAlign w:val="top"/>
                </w:tcPr>
                <w:p>
                  <w:pPr>
                    <w:pStyle w:val="94"/>
                    <w:spacing w:before="31" w:line="212" w:lineRule="auto"/>
                    <w:ind w:left="428"/>
                    <w:rPr>
                      <w:b/>
                      <w:bCs/>
                      <w:color w:val="000000" w:themeColor="text1"/>
                      <w:sz w:val="21"/>
                      <w:szCs w:val="21"/>
                      <w:u w:val="none" w:color="auto"/>
                      <w14:textFill>
                        <w14:solidFill>
                          <w14:schemeClr w14:val="tx1"/>
                        </w14:solidFill>
                      </w14:textFill>
                    </w:rPr>
                  </w:pPr>
                  <w:r>
                    <w:rPr>
                      <w:b/>
                      <w:bCs/>
                      <w:color w:val="000000" w:themeColor="text1"/>
                      <w:spacing w:val="6"/>
                      <w:sz w:val="21"/>
                      <w:szCs w:val="21"/>
                      <w:u w:val="none" w:color="auto"/>
                      <w14:textFill>
                        <w14:solidFill>
                          <w14:schemeClr w14:val="tx1"/>
                        </w14:solidFill>
                      </w14:textFill>
                    </w:rPr>
                    <w:t>物质名称</w:t>
                  </w:r>
                </w:p>
              </w:tc>
              <w:tc>
                <w:tcPr>
                  <w:tcW w:w="2022" w:type="dxa"/>
                  <w:vAlign w:val="top"/>
                </w:tcPr>
                <w:p>
                  <w:pPr>
                    <w:pStyle w:val="94"/>
                    <w:spacing w:before="36" w:line="207" w:lineRule="auto"/>
                    <w:ind w:left="243"/>
                    <w:rPr>
                      <w:b/>
                      <w:bCs/>
                      <w:color w:val="000000" w:themeColor="text1"/>
                      <w:sz w:val="21"/>
                      <w:szCs w:val="21"/>
                      <w:u w:val="none" w:color="auto"/>
                      <w14:textFill>
                        <w14:solidFill>
                          <w14:schemeClr w14:val="tx1"/>
                        </w14:solidFill>
                      </w14:textFill>
                    </w:rPr>
                  </w:pPr>
                  <w:r>
                    <w:rPr>
                      <w:b/>
                      <w:bCs/>
                      <w:color w:val="000000" w:themeColor="text1"/>
                      <w:spacing w:val="5"/>
                      <w:sz w:val="21"/>
                      <w:szCs w:val="21"/>
                      <w:u w:val="none" w:color="auto"/>
                      <w14:textFill>
                        <w14:solidFill>
                          <w14:schemeClr w14:val="tx1"/>
                        </w14:solidFill>
                      </w14:textFill>
                    </w:rPr>
                    <w:t>最大存在量（</w:t>
                  </w:r>
                  <w:r>
                    <w:rPr>
                      <w:rFonts w:ascii="Times New Roman" w:hAnsi="Times New Roman" w:eastAsia="Times New Roman" w:cs="Times New Roman"/>
                      <w:b/>
                      <w:bCs/>
                      <w:color w:val="000000" w:themeColor="text1"/>
                      <w:spacing w:val="5"/>
                      <w:sz w:val="21"/>
                      <w:szCs w:val="21"/>
                      <w:u w:val="none" w:color="auto"/>
                      <w14:textFill>
                        <w14:solidFill>
                          <w14:schemeClr w14:val="tx1"/>
                        </w14:solidFill>
                      </w14:textFill>
                    </w:rPr>
                    <w:t>t</w:t>
                  </w:r>
                  <w:r>
                    <w:rPr>
                      <w:b/>
                      <w:bCs/>
                      <w:color w:val="000000" w:themeColor="text1"/>
                      <w:spacing w:val="5"/>
                      <w:sz w:val="21"/>
                      <w:szCs w:val="21"/>
                      <w:u w:val="none" w:color="auto"/>
                      <w14:textFill>
                        <w14:solidFill>
                          <w14:schemeClr w14:val="tx1"/>
                        </w14:solidFill>
                      </w14:textFill>
                    </w:rPr>
                    <w:t>）</w:t>
                  </w:r>
                </w:p>
              </w:tc>
              <w:tc>
                <w:tcPr>
                  <w:tcW w:w="2695" w:type="dxa"/>
                  <w:vAlign w:val="top"/>
                </w:tcPr>
                <w:p>
                  <w:pPr>
                    <w:pStyle w:val="94"/>
                    <w:spacing w:before="36" w:line="207" w:lineRule="auto"/>
                    <w:ind w:left="581"/>
                    <w:rPr>
                      <w:b/>
                      <w:bCs/>
                      <w:color w:val="000000" w:themeColor="text1"/>
                      <w:sz w:val="21"/>
                      <w:szCs w:val="21"/>
                      <w:u w:val="none" w:color="auto"/>
                      <w14:textFill>
                        <w14:solidFill>
                          <w14:schemeClr w14:val="tx1"/>
                        </w14:solidFill>
                      </w14:textFill>
                    </w:rPr>
                  </w:pPr>
                  <w:r>
                    <w:rPr>
                      <w:b/>
                      <w:bCs/>
                      <w:color w:val="000000" w:themeColor="text1"/>
                      <w:spacing w:val="6"/>
                      <w:sz w:val="21"/>
                      <w:szCs w:val="21"/>
                      <w:u w:val="none" w:color="auto"/>
                      <w14:textFill>
                        <w14:solidFill>
                          <w14:schemeClr w14:val="tx1"/>
                        </w14:solidFill>
                      </w14:textFill>
                    </w:rPr>
                    <w:t>标准临界量（</w:t>
                  </w:r>
                  <w:r>
                    <w:rPr>
                      <w:rFonts w:ascii="Times New Roman" w:hAnsi="Times New Roman" w:eastAsia="Times New Roman" w:cs="Times New Roman"/>
                      <w:b/>
                      <w:bCs/>
                      <w:color w:val="000000" w:themeColor="text1"/>
                      <w:spacing w:val="6"/>
                      <w:sz w:val="21"/>
                      <w:szCs w:val="21"/>
                      <w:u w:val="none" w:color="auto"/>
                      <w14:textFill>
                        <w14:solidFill>
                          <w14:schemeClr w14:val="tx1"/>
                        </w14:solidFill>
                      </w14:textFill>
                    </w:rPr>
                    <w:t>t</w:t>
                  </w:r>
                  <w:r>
                    <w:rPr>
                      <w:b/>
                      <w:bCs/>
                      <w:color w:val="000000" w:themeColor="text1"/>
                      <w:spacing w:val="6"/>
                      <w:sz w:val="21"/>
                      <w:szCs w:val="21"/>
                      <w:u w:val="none" w:color="auto"/>
                      <w14:textFill>
                        <w14:solidFill>
                          <w14:schemeClr w14:val="tx1"/>
                        </w14:solidFill>
                      </w14:textFill>
                    </w:rPr>
                    <w:t>）</w:t>
                  </w:r>
                </w:p>
              </w:tc>
              <w:tc>
                <w:tcPr>
                  <w:tcW w:w="1856" w:type="dxa"/>
                  <w:vAlign w:val="top"/>
                </w:tcPr>
                <w:p>
                  <w:pPr>
                    <w:spacing w:before="79" w:line="189" w:lineRule="auto"/>
                    <w:ind w:left="763"/>
                    <w:rPr>
                      <w:rFonts w:ascii="Times New Roman" w:hAnsi="Times New Roman" w:eastAsia="Times New Roman" w:cs="Times New Roman"/>
                      <w:b/>
                      <w:bCs/>
                      <w:color w:val="000000" w:themeColor="text1"/>
                      <w:sz w:val="21"/>
                      <w:szCs w:val="21"/>
                      <w:u w:val="none" w:color="auto"/>
                      <w14:textFill>
                        <w14:solidFill>
                          <w14:schemeClr w14:val="tx1"/>
                        </w14:solidFill>
                      </w14:textFill>
                    </w:rPr>
                  </w:pPr>
                  <w:r>
                    <w:rPr>
                      <w:rFonts w:ascii="Times New Roman" w:hAnsi="Times New Roman" w:eastAsia="Times New Roman" w:cs="Times New Roman"/>
                      <w:b/>
                      <w:bCs/>
                      <w:color w:val="000000" w:themeColor="text1"/>
                      <w:spacing w:val="1"/>
                      <w:sz w:val="21"/>
                      <w:szCs w:val="21"/>
                      <w:u w:val="none" w:color="auto"/>
                      <w14:textFill>
                        <w14:solidFill>
                          <w14:schemeClr w14:val="tx1"/>
                        </w14:solidFill>
                      </w14:textFill>
                    </w:rPr>
                    <w:t>q/Q</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6" w:hRule="atLeast"/>
              </w:trPr>
              <w:tc>
                <w:tcPr>
                  <w:tcW w:w="1687" w:type="dxa"/>
                  <w:vAlign w:val="top"/>
                </w:tcPr>
                <w:p>
                  <w:pPr>
                    <w:pStyle w:val="94"/>
                    <w:spacing w:before="33" w:line="215" w:lineRule="auto"/>
                    <w:ind w:left="537"/>
                    <w:rPr>
                      <w:b w:val="0"/>
                      <w:bCs w:val="0"/>
                      <w:color w:val="000000" w:themeColor="text1"/>
                      <w:sz w:val="21"/>
                      <w:szCs w:val="21"/>
                      <w:u w:val="none" w:color="auto"/>
                      <w14:textFill>
                        <w14:solidFill>
                          <w14:schemeClr w14:val="tx1"/>
                        </w14:solidFill>
                      </w14:textFill>
                    </w:rPr>
                  </w:pPr>
                  <w:r>
                    <w:rPr>
                      <w:b w:val="0"/>
                      <w:bCs w:val="0"/>
                      <w:color w:val="000000" w:themeColor="text1"/>
                      <w:spacing w:val="4"/>
                      <w:sz w:val="21"/>
                      <w:szCs w:val="21"/>
                      <w:u w:val="none" w:color="auto"/>
                      <w14:textFill>
                        <w14:solidFill>
                          <w14:schemeClr w14:val="tx1"/>
                        </w14:solidFill>
                      </w14:textFill>
                    </w:rPr>
                    <w:t>天然气</w:t>
                  </w:r>
                </w:p>
              </w:tc>
              <w:tc>
                <w:tcPr>
                  <w:tcW w:w="2022" w:type="dxa"/>
                  <w:vAlign w:val="top"/>
                </w:tcPr>
                <w:p>
                  <w:pPr>
                    <w:spacing w:before="78" w:line="195" w:lineRule="auto"/>
                    <w:ind w:left="725"/>
                    <w:rPr>
                      <w:rFonts w:hint="default" w:ascii="Times New Roman" w:hAnsi="Times New Roman" w:eastAsia="宋体" w:cs="Times New Roman"/>
                      <w:b w:val="0"/>
                      <w:bCs w:val="0"/>
                      <w:color w:val="000000" w:themeColor="text1"/>
                      <w:sz w:val="21"/>
                      <w:szCs w:val="21"/>
                      <w:u w:val="none" w:color="auto"/>
                      <w:lang w:val="en-US" w:eastAsia="zh-CN"/>
                      <w14:textFill>
                        <w14:solidFill>
                          <w14:schemeClr w14:val="tx1"/>
                        </w14:solidFill>
                      </w14:textFill>
                    </w:rPr>
                  </w:pPr>
                  <w:r>
                    <w:rPr>
                      <w:rFonts w:hint="eastAsia" w:cs="Times New Roman"/>
                      <w:b w:val="0"/>
                      <w:bCs w:val="0"/>
                      <w:color w:val="000000" w:themeColor="text1"/>
                      <w:spacing w:val="3"/>
                      <w:sz w:val="21"/>
                      <w:szCs w:val="21"/>
                      <w:u w:val="none" w:color="auto"/>
                      <w:lang w:val="en-US" w:eastAsia="zh-CN"/>
                      <w14:textFill>
                        <w14:solidFill>
                          <w14:schemeClr w14:val="tx1"/>
                        </w14:solidFill>
                      </w14:textFill>
                    </w:rPr>
                    <w:t>0.396</w:t>
                  </w:r>
                </w:p>
              </w:tc>
              <w:tc>
                <w:tcPr>
                  <w:tcW w:w="2695" w:type="dxa"/>
                  <w:vAlign w:val="top"/>
                </w:tcPr>
                <w:p>
                  <w:pPr>
                    <w:spacing w:before="78" w:line="195" w:lineRule="auto"/>
                    <w:ind w:left="1253"/>
                    <w:rPr>
                      <w:rFonts w:ascii="Times New Roman" w:hAnsi="Times New Roman" w:eastAsia="Times New Roman" w:cs="Times New Roman"/>
                      <w:b w:val="0"/>
                      <w:bCs w:val="0"/>
                      <w:color w:val="000000" w:themeColor="text1"/>
                      <w:sz w:val="21"/>
                      <w:szCs w:val="21"/>
                      <w:u w:val="none" w:color="auto"/>
                      <w14:textFill>
                        <w14:solidFill>
                          <w14:schemeClr w14:val="tx1"/>
                        </w14:solidFill>
                      </w14:textFill>
                    </w:rPr>
                  </w:pPr>
                  <w:r>
                    <w:rPr>
                      <w:rFonts w:ascii="Times New Roman" w:hAnsi="Times New Roman" w:eastAsia="Times New Roman" w:cs="Times New Roman"/>
                      <w:b w:val="0"/>
                      <w:bCs w:val="0"/>
                      <w:color w:val="000000" w:themeColor="text1"/>
                      <w:spacing w:val="-2"/>
                      <w:sz w:val="21"/>
                      <w:szCs w:val="21"/>
                      <w:u w:val="none" w:color="auto"/>
                      <w14:textFill>
                        <w14:solidFill>
                          <w14:schemeClr w14:val="tx1"/>
                        </w14:solidFill>
                      </w14:textFill>
                    </w:rPr>
                    <w:t>10</w:t>
                  </w:r>
                </w:p>
              </w:tc>
              <w:tc>
                <w:tcPr>
                  <w:tcW w:w="1856" w:type="dxa"/>
                  <w:vAlign w:val="top"/>
                </w:tcPr>
                <w:p>
                  <w:pPr>
                    <w:spacing w:before="78" w:line="195" w:lineRule="auto"/>
                    <w:ind w:left="592"/>
                    <w:rPr>
                      <w:rFonts w:hint="default" w:ascii="Times New Roman" w:hAnsi="Times New Roman" w:eastAsia="宋体" w:cs="Times New Roman"/>
                      <w:b w:val="0"/>
                      <w:bCs w:val="0"/>
                      <w:color w:val="000000" w:themeColor="text1"/>
                      <w:sz w:val="21"/>
                      <w:szCs w:val="21"/>
                      <w:u w:val="none" w:color="auto"/>
                      <w:lang w:val="en-US" w:eastAsia="zh-CN"/>
                      <w14:textFill>
                        <w14:solidFill>
                          <w14:schemeClr w14:val="tx1"/>
                        </w14:solidFill>
                      </w14:textFill>
                    </w:rPr>
                  </w:pPr>
                  <w:r>
                    <w:rPr>
                      <w:rFonts w:hint="eastAsia" w:eastAsia="宋体" w:cs="Times New Roman"/>
                      <w:b w:val="0"/>
                      <w:bCs w:val="0"/>
                      <w:color w:val="000000" w:themeColor="text1"/>
                      <w:spacing w:val="3"/>
                      <w:sz w:val="21"/>
                      <w:szCs w:val="21"/>
                      <w:u w:val="none" w:color="auto"/>
                      <w:lang w:val="en-US" w:eastAsia="zh-CN"/>
                      <w14:textFill>
                        <w14:solidFill>
                          <w14:schemeClr w14:val="tx1"/>
                        </w14:solidFill>
                      </w14:textFill>
                    </w:rPr>
                    <w:t>0.</w:t>
                  </w:r>
                  <w:r>
                    <w:rPr>
                      <w:rFonts w:hint="eastAsia" w:cs="Times New Roman"/>
                      <w:b w:val="0"/>
                      <w:bCs w:val="0"/>
                      <w:color w:val="000000" w:themeColor="text1"/>
                      <w:spacing w:val="3"/>
                      <w:sz w:val="21"/>
                      <w:szCs w:val="21"/>
                      <w:u w:val="none" w:color="auto"/>
                      <w:lang w:val="en-US" w:eastAsia="zh-CN"/>
                      <w14:textFill>
                        <w14:solidFill>
                          <w14:schemeClr w14:val="tx1"/>
                        </w14:solidFill>
                      </w14:textFill>
                    </w:rPr>
                    <w:t>0396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 w:hRule="atLeast"/>
              </w:trPr>
              <w:tc>
                <w:tcPr>
                  <w:tcW w:w="1687" w:type="dxa"/>
                  <w:vAlign w:val="top"/>
                </w:tcPr>
                <w:p>
                  <w:pPr>
                    <w:pStyle w:val="94"/>
                    <w:spacing w:before="34" w:line="218" w:lineRule="auto"/>
                    <w:ind w:left="637"/>
                    <w:rPr>
                      <w:b w:val="0"/>
                      <w:bCs w:val="0"/>
                      <w:color w:val="000000" w:themeColor="text1"/>
                      <w:sz w:val="21"/>
                      <w:szCs w:val="21"/>
                      <w:u w:val="none" w:color="auto"/>
                      <w14:textFill>
                        <w14:solidFill>
                          <w14:schemeClr w14:val="tx1"/>
                        </w14:solidFill>
                      </w14:textFill>
                    </w:rPr>
                  </w:pPr>
                  <w:r>
                    <w:rPr>
                      <w:b w:val="0"/>
                      <w:bCs w:val="0"/>
                      <w:color w:val="000000" w:themeColor="text1"/>
                      <w:spacing w:val="3"/>
                      <w:sz w:val="21"/>
                      <w:szCs w:val="21"/>
                      <w:u w:val="none" w:color="auto"/>
                      <w14:textFill>
                        <w14:solidFill>
                          <w14:schemeClr w14:val="tx1"/>
                        </w14:solidFill>
                      </w14:textFill>
                    </w:rPr>
                    <w:t>合计</w:t>
                  </w:r>
                </w:p>
              </w:tc>
              <w:tc>
                <w:tcPr>
                  <w:tcW w:w="2022" w:type="dxa"/>
                  <w:vAlign w:val="top"/>
                </w:tcPr>
                <w:p>
                  <w:pPr>
                    <w:rPr>
                      <w:rFonts w:ascii="Arial"/>
                      <w:b w:val="0"/>
                      <w:bCs w:val="0"/>
                      <w:color w:val="000000" w:themeColor="text1"/>
                      <w:sz w:val="21"/>
                      <w:szCs w:val="21"/>
                      <w:u w:val="none" w:color="auto"/>
                      <w14:textFill>
                        <w14:solidFill>
                          <w14:schemeClr w14:val="tx1"/>
                        </w14:solidFill>
                      </w14:textFill>
                    </w:rPr>
                  </w:pPr>
                </w:p>
              </w:tc>
              <w:tc>
                <w:tcPr>
                  <w:tcW w:w="2695" w:type="dxa"/>
                  <w:vAlign w:val="top"/>
                </w:tcPr>
                <w:p>
                  <w:pPr>
                    <w:rPr>
                      <w:rFonts w:ascii="Arial"/>
                      <w:b w:val="0"/>
                      <w:bCs w:val="0"/>
                      <w:color w:val="000000" w:themeColor="text1"/>
                      <w:sz w:val="21"/>
                      <w:szCs w:val="21"/>
                      <w:u w:val="none" w:color="auto"/>
                      <w14:textFill>
                        <w14:solidFill>
                          <w14:schemeClr w14:val="tx1"/>
                        </w14:solidFill>
                      </w14:textFill>
                    </w:rPr>
                  </w:pPr>
                </w:p>
              </w:tc>
              <w:tc>
                <w:tcPr>
                  <w:tcW w:w="1856" w:type="dxa"/>
                  <w:vAlign w:val="top"/>
                </w:tcPr>
                <w:p>
                  <w:pPr>
                    <w:spacing w:before="80" w:line="195" w:lineRule="auto"/>
                    <w:ind w:left="592"/>
                    <w:rPr>
                      <w:rFonts w:hint="default" w:ascii="Times New Roman" w:hAnsi="Times New Roman" w:eastAsia="宋体" w:cs="Times New Roman"/>
                      <w:b w:val="0"/>
                      <w:bCs w:val="0"/>
                      <w:color w:val="000000" w:themeColor="text1"/>
                      <w:sz w:val="21"/>
                      <w:szCs w:val="21"/>
                      <w:u w:val="none" w:color="auto"/>
                      <w:lang w:val="en-US" w:eastAsia="zh-CN"/>
                      <w14:textFill>
                        <w14:solidFill>
                          <w14:schemeClr w14:val="tx1"/>
                        </w14:solidFill>
                      </w14:textFill>
                    </w:rPr>
                  </w:pPr>
                  <w:r>
                    <w:rPr>
                      <w:rFonts w:hint="eastAsia" w:eastAsia="宋体" w:cs="Times New Roman"/>
                      <w:b w:val="0"/>
                      <w:bCs w:val="0"/>
                      <w:color w:val="000000" w:themeColor="text1"/>
                      <w:spacing w:val="3"/>
                      <w:sz w:val="21"/>
                      <w:szCs w:val="21"/>
                      <w:u w:val="none" w:color="auto"/>
                      <w:lang w:val="en-US" w:eastAsia="zh-CN"/>
                      <w14:textFill>
                        <w14:solidFill>
                          <w14:schemeClr w14:val="tx1"/>
                        </w14:solidFill>
                      </w14:textFill>
                    </w:rPr>
                    <w:t>0.</w:t>
                  </w:r>
                  <w:r>
                    <w:rPr>
                      <w:rFonts w:hint="eastAsia" w:cs="Times New Roman"/>
                      <w:b w:val="0"/>
                      <w:bCs w:val="0"/>
                      <w:color w:val="000000" w:themeColor="text1"/>
                      <w:spacing w:val="3"/>
                      <w:sz w:val="21"/>
                      <w:szCs w:val="21"/>
                      <w:u w:val="none" w:color="auto"/>
                      <w:lang w:val="en-US" w:eastAsia="zh-CN"/>
                      <w14:textFill>
                        <w14:solidFill>
                          <w14:schemeClr w14:val="tx1"/>
                        </w14:solidFill>
                      </w14:textFill>
                    </w:rPr>
                    <w:t>0396</w:t>
                  </w:r>
                </w:p>
              </w:tc>
            </w:tr>
          </w:tbl>
          <w:p>
            <w:pPr>
              <w:pStyle w:val="94"/>
              <w:keepNext w:val="0"/>
              <w:keepLines w:val="0"/>
              <w:pageBreakBefore w:val="0"/>
              <w:widowControl w:val="0"/>
              <w:kinsoku/>
              <w:wordWrap/>
              <w:overflowPunct/>
              <w:topLinePunct w:val="0"/>
              <w:autoSpaceDE/>
              <w:autoSpaceDN/>
              <w:bidi w:val="0"/>
              <w:adjustRightInd/>
              <w:snapToGrid/>
              <w:spacing w:line="389" w:lineRule="auto"/>
              <w:ind w:left="0" w:firstLine="468" w:firstLineChars="200"/>
              <w:textAlignment w:val="auto"/>
              <w:rPr>
                <w:rFonts w:hint="default" w:ascii="Times New Roman" w:hAnsi="Times New Roman" w:eastAsia="宋体" w:cs="Times New Roman"/>
                <w:b w:val="0"/>
                <w:bCs w:val="0"/>
                <w:color w:val="000000" w:themeColor="text1"/>
                <w:kern w:val="0"/>
                <w:sz w:val="24"/>
                <w:szCs w:val="24"/>
                <w:u w:val="none" w:color="auto"/>
                <w:vertAlign w:val="baseline"/>
                <w:lang w:val="en-US" w:eastAsia="zh-CN"/>
                <w14:textFill>
                  <w14:solidFill>
                    <w14:schemeClr w14:val="tx1"/>
                  </w14:solidFill>
                </w14:textFill>
              </w:rPr>
            </w:pPr>
            <w:r>
              <w:rPr>
                <w:b w:val="0"/>
                <w:bCs w:val="0"/>
                <w:color w:val="000000" w:themeColor="text1"/>
                <w:spacing w:val="-3"/>
                <w:sz w:val="24"/>
                <w:szCs w:val="24"/>
                <w:u w:val="none" w:color="auto"/>
                <w14:textFill>
                  <w14:solidFill>
                    <w14:schemeClr w14:val="tx1"/>
                  </w14:solidFill>
                </w14:textFill>
              </w:rPr>
              <w:t>经计算，本项目</w:t>
            </w:r>
            <w:r>
              <w:rPr>
                <w:rFonts w:ascii="Times New Roman" w:hAnsi="Times New Roman" w:eastAsia="Times New Roman" w:cs="Times New Roman"/>
                <w:b w:val="0"/>
                <w:bCs w:val="0"/>
                <w:color w:val="000000" w:themeColor="text1"/>
                <w:spacing w:val="-3"/>
                <w:sz w:val="24"/>
                <w:szCs w:val="24"/>
                <w:u w:val="none" w:color="auto"/>
                <w14:textFill>
                  <w14:solidFill>
                    <w14:schemeClr w14:val="tx1"/>
                  </w14:solidFill>
                </w14:textFill>
              </w:rPr>
              <w:t>Q=0.</w:t>
            </w:r>
            <w:r>
              <w:rPr>
                <w:rFonts w:hint="eastAsia" w:ascii="Times New Roman" w:hAnsi="Times New Roman" w:cs="Times New Roman"/>
                <w:b w:val="0"/>
                <w:bCs w:val="0"/>
                <w:color w:val="000000" w:themeColor="text1"/>
                <w:spacing w:val="-3"/>
                <w:sz w:val="24"/>
                <w:szCs w:val="24"/>
                <w:u w:val="none" w:color="auto"/>
                <w:lang w:val="en-US" w:eastAsia="zh-CN"/>
                <w14:textFill>
                  <w14:solidFill>
                    <w14:schemeClr w14:val="tx1"/>
                  </w14:solidFill>
                </w14:textFill>
              </w:rPr>
              <w:t>0396</w:t>
            </w:r>
            <w:r>
              <w:rPr>
                <w:b w:val="0"/>
                <w:bCs w:val="0"/>
                <w:color w:val="000000" w:themeColor="text1"/>
                <w:spacing w:val="-3"/>
                <w:sz w:val="24"/>
                <w:szCs w:val="24"/>
                <w:u w:val="none" w:color="auto"/>
                <w14:textFill>
                  <w14:solidFill>
                    <w14:schemeClr w14:val="tx1"/>
                  </w14:solidFill>
                </w14:textFill>
              </w:rPr>
              <w:t>＜</w:t>
            </w:r>
            <w:r>
              <w:rPr>
                <w:rFonts w:ascii="Times New Roman" w:hAnsi="Times New Roman" w:eastAsia="Times New Roman" w:cs="Times New Roman"/>
                <w:b w:val="0"/>
                <w:bCs w:val="0"/>
                <w:color w:val="000000" w:themeColor="text1"/>
                <w:spacing w:val="-3"/>
                <w:sz w:val="24"/>
                <w:szCs w:val="24"/>
                <w:u w:val="none" w:color="auto"/>
                <w14:textFill>
                  <w14:solidFill>
                    <w14:schemeClr w14:val="tx1"/>
                  </w14:solidFill>
                </w14:textFill>
              </w:rPr>
              <w:t>1</w:t>
            </w:r>
            <w:r>
              <w:rPr>
                <w:b w:val="0"/>
                <w:bCs w:val="0"/>
                <w:color w:val="000000" w:themeColor="text1"/>
                <w:spacing w:val="-3"/>
                <w:sz w:val="24"/>
                <w:szCs w:val="24"/>
                <w:u w:val="none" w:color="auto"/>
                <w14:textFill>
                  <w14:solidFill>
                    <w14:schemeClr w14:val="tx1"/>
                  </w14:solidFill>
                </w14:textFill>
              </w:rPr>
              <w:t>，根据《建设项目环境风险评价技术导则》</w:t>
            </w:r>
            <w:r>
              <w:rPr>
                <w:b w:val="0"/>
                <w:bCs w:val="0"/>
                <w:color w:val="000000" w:themeColor="text1"/>
                <w:spacing w:val="-8"/>
                <w:sz w:val="24"/>
                <w:szCs w:val="24"/>
                <w:u w:val="none" w:color="auto"/>
                <w14:textFill>
                  <w14:solidFill>
                    <w14:schemeClr w14:val="tx1"/>
                  </w14:solidFill>
                </w14:textFill>
              </w:rPr>
              <w:t>（</w:t>
            </w:r>
            <w:r>
              <w:rPr>
                <w:rFonts w:ascii="Times New Roman" w:hAnsi="Times New Roman" w:eastAsia="Times New Roman" w:cs="Times New Roman"/>
                <w:b w:val="0"/>
                <w:bCs w:val="0"/>
                <w:color w:val="000000" w:themeColor="text1"/>
                <w:spacing w:val="-8"/>
                <w:sz w:val="24"/>
                <w:szCs w:val="24"/>
                <w:u w:val="none" w:color="auto"/>
                <w14:textFill>
                  <w14:solidFill>
                    <w14:schemeClr w14:val="tx1"/>
                  </w14:solidFill>
                </w14:textFill>
              </w:rPr>
              <w:t>HJ169-2018</w:t>
            </w:r>
            <w:r>
              <w:rPr>
                <w:b w:val="0"/>
                <w:bCs w:val="0"/>
                <w:color w:val="000000" w:themeColor="text1"/>
                <w:spacing w:val="14"/>
                <w:sz w:val="24"/>
                <w:szCs w:val="24"/>
                <w:u w:val="none" w:color="auto"/>
                <w14:textFill>
                  <w14:solidFill>
                    <w14:schemeClr w14:val="tx1"/>
                  </w14:solidFill>
                </w14:textFill>
              </w:rPr>
              <w:t>），</w:t>
            </w:r>
            <w:r>
              <w:rPr>
                <w:b w:val="0"/>
                <w:bCs w:val="0"/>
                <w:color w:val="000000" w:themeColor="text1"/>
                <w:spacing w:val="-8"/>
                <w:sz w:val="24"/>
                <w:szCs w:val="24"/>
                <w:u w:val="none" w:color="auto"/>
                <w14:textFill>
                  <w14:solidFill>
                    <w14:schemeClr w14:val="tx1"/>
                  </w14:solidFill>
                </w14:textFill>
              </w:rPr>
              <w:t>当</w:t>
            </w:r>
            <w:r>
              <w:rPr>
                <w:b w:val="0"/>
                <w:bCs w:val="0"/>
                <w:color w:val="000000" w:themeColor="text1"/>
                <w:spacing w:val="-49"/>
                <w:sz w:val="24"/>
                <w:szCs w:val="24"/>
                <w:u w:val="none" w:color="auto"/>
                <w14:textFill>
                  <w14:solidFill>
                    <w14:schemeClr w14:val="tx1"/>
                  </w14:solidFill>
                </w14:textFill>
              </w:rPr>
              <w:t xml:space="preserve"> </w:t>
            </w:r>
            <w:r>
              <w:rPr>
                <w:rFonts w:ascii="Times New Roman" w:hAnsi="Times New Roman" w:eastAsia="Times New Roman" w:cs="Times New Roman"/>
                <w:b w:val="0"/>
                <w:bCs w:val="0"/>
                <w:color w:val="000000" w:themeColor="text1"/>
                <w:spacing w:val="-8"/>
                <w:sz w:val="24"/>
                <w:szCs w:val="24"/>
                <w:u w:val="none" w:color="auto"/>
                <w14:textFill>
                  <w14:solidFill>
                    <w14:schemeClr w14:val="tx1"/>
                  </w14:solidFill>
                </w14:textFill>
              </w:rPr>
              <w:t>Q</w:t>
            </w:r>
            <w:r>
              <w:rPr>
                <w:b w:val="0"/>
                <w:bCs w:val="0"/>
                <w:color w:val="000000" w:themeColor="text1"/>
                <w:spacing w:val="-8"/>
                <w:sz w:val="24"/>
                <w:szCs w:val="24"/>
                <w:u w:val="none" w:color="auto"/>
                <w14:textFill>
                  <w14:solidFill>
                    <w14:schemeClr w14:val="tx1"/>
                  </w14:solidFill>
                </w14:textFill>
              </w:rPr>
              <w:t>＜</w:t>
            </w:r>
            <w:r>
              <w:rPr>
                <w:rFonts w:ascii="Times New Roman" w:hAnsi="Times New Roman" w:eastAsia="Times New Roman" w:cs="Times New Roman"/>
                <w:b w:val="0"/>
                <w:bCs w:val="0"/>
                <w:color w:val="000000" w:themeColor="text1"/>
                <w:spacing w:val="-8"/>
                <w:sz w:val="24"/>
                <w:szCs w:val="24"/>
                <w:u w:val="none" w:color="auto"/>
                <w14:textFill>
                  <w14:solidFill>
                    <w14:schemeClr w14:val="tx1"/>
                  </w14:solidFill>
                </w14:textFill>
              </w:rPr>
              <w:t>1</w:t>
            </w:r>
            <w:r>
              <w:rPr>
                <w:b w:val="0"/>
                <w:bCs w:val="0"/>
                <w:color w:val="000000" w:themeColor="text1"/>
                <w:spacing w:val="-8"/>
                <w:sz w:val="24"/>
                <w:szCs w:val="24"/>
                <w:u w:val="none" w:color="auto"/>
                <w14:textFill>
                  <w14:solidFill>
                    <w14:schemeClr w14:val="tx1"/>
                  </w14:solidFill>
                </w14:textFill>
              </w:rPr>
              <w:t>时，该项目环境风险趋势为Ⅰ</w:t>
            </w:r>
            <w:r>
              <w:rPr>
                <w:b w:val="0"/>
                <w:bCs w:val="0"/>
                <w:color w:val="000000" w:themeColor="text1"/>
                <w:spacing w:val="-94"/>
                <w:sz w:val="24"/>
                <w:szCs w:val="24"/>
                <w:u w:val="none" w:color="auto"/>
                <w14:textFill>
                  <w14:solidFill>
                    <w14:schemeClr w14:val="tx1"/>
                  </w14:solidFill>
                </w14:textFill>
              </w:rPr>
              <w:t xml:space="preserve"> </w:t>
            </w:r>
            <w:r>
              <w:rPr>
                <w:b w:val="0"/>
                <w:bCs w:val="0"/>
                <w:color w:val="000000" w:themeColor="text1"/>
                <w:spacing w:val="-8"/>
                <w:sz w:val="24"/>
                <w:szCs w:val="24"/>
                <w:u w:val="none" w:color="auto"/>
                <w14:textFill>
                  <w14:solidFill>
                    <w14:schemeClr w14:val="tx1"/>
                  </w14:solidFill>
                </w14:textFill>
              </w:rPr>
              <w:t>,可开展简易分析。</w:t>
            </w:r>
          </w:p>
          <w:p>
            <w:pPr>
              <w:pStyle w:val="94"/>
              <w:keepNext w:val="0"/>
              <w:keepLines w:val="0"/>
              <w:pageBreakBefore w:val="0"/>
              <w:widowControl w:val="0"/>
              <w:kinsoku/>
              <w:wordWrap/>
              <w:overflowPunct/>
              <w:topLinePunct w:val="0"/>
              <w:autoSpaceDE/>
              <w:autoSpaceDN/>
              <w:bidi w:val="0"/>
              <w:adjustRightInd w:val="0"/>
              <w:snapToGrid w:val="0"/>
              <w:spacing w:line="360" w:lineRule="auto"/>
              <w:ind w:left="0" w:right="0"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b w:val="0"/>
                <w:bCs w:val="0"/>
                <w:color w:val="000000" w:themeColor="text1"/>
                <w:sz w:val="24"/>
                <w:szCs w:val="24"/>
                <w:u w:val="none" w:color="auto"/>
                <w14:textFill>
                  <w14:solidFill>
                    <w14:schemeClr w14:val="tx1"/>
                  </w14:solidFill>
                </w14:textFill>
              </w:rPr>
              <w:t>厂区设置天然气储罐天然气管道储存</w:t>
            </w:r>
            <w:r>
              <w:rPr>
                <w:rFonts w:hint="eastAsia"/>
                <w:b w:val="0"/>
                <w:bCs w:val="0"/>
                <w:color w:val="000000" w:themeColor="text1"/>
                <w:spacing w:val="-1"/>
                <w:sz w:val="24"/>
                <w:szCs w:val="24"/>
                <w:u w:val="none" w:color="auto"/>
                <w:lang w:eastAsia="zh-CN"/>
                <w14:textFill>
                  <w14:solidFill>
                    <w14:schemeClr w14:val="tx1"/>
                  </w14:solidFill>
                </w14:textFill>
              </w:rPr>
              <w:t>，</w:t>
            </w:r>
            <w:r>
              <w:rPr>
                <w:b w:val="0"/>
                <w:bCs w:val="0"/>
                <w:color w:val="000000" w:themeColor="text1"/>
                <w:spacing w:val="-1"/>
                <w:sz w:val="24"/>
                <w:szCs w:val="24"/>
                <w:u w:val="none" w:color="auto"/>
                <w14:textFill>
                  <w14:solidFill>
                    <w14:schemeClr w14:val="tx1"/>
                  </w14:solidFill>
                </w14:textFill>
              </w:rPr>
              <w:t>本次提出厂区天然气环境风险防范措施。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（1）天然气储罐及燃气锅炉房建设要求</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本项目天然气罐及燃气锅炉位于租赁厂房北侧外部，依据《建筑设计防火规范》（GB5016-2014），具体建设要求如下：</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①天然气储罐应位于通风的房间内，不应露天存放。</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②天然气储罐区的四周应设置高度不小于1.0m的不燃性实体防护墙。</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③天然气储罐区应布置在地势平坦、开阔不易积存液化石油气的地带，且应布置在城市（区域）全年最小频率风向的上风侧。</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④天然气储罐区应与装卸区、辅助生产区及办公区分开布置。</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⑤本项目天然气储罐容积为20m</w:t>
            </w:r>
            <w:r>
              <w:rPr>
                <w:rFonts w:hint="eastAsia" w:ascii="Times New Roman" w:hAnsi="Times New Roman" w:eastAsia="宋体" w:cs="Times New Roman"/>
                <w:b w:val="0"/>
                <w:bCs w:val="0"/>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，依据《建筑设计防火规范》（GB5016-2014）要求，容积不大于20m</w:t>
            </w:r>
            <w:r>
              <w:rPr>
                <w:rFonts w:hint="eastAsia" w:ascii="Times New Roman" w:hAnsi="Times New Roman" w:eastAsia="宋体" w:cs="Times New Roman"/>
                <w:b w:val="0"/>
                <w:bCs w:val="0"/>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的可燃气体储罐与其使用厂房的防火间距不限，因此项目无防火距离要求。</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⑥燃气锅炉房应设置爆炸泄压设施，且设置独立的通风系统。</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⑦燃气锅炉房与其他部位之间应采用耐火极限不低于2.00h的防火隔墙和1.50h的不燃性楼板分隔。在隔墙和楼板上不应开设洞口，确需在隔墙上设置门、窗时，应采用甲级防火门、窗。</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⑧应设置火灾报警装置、可燃气体浓度报警装置等。</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综上所述，本项目天然气储罐及燃气锅炉建设应严格按照安全设计部门的要求进行建设，防火要求应符合现行国家标准《城镇燃气设计规范》的规定要求。</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（2）事故防范措施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首先从工艺上控制源头，采用先进的生产工艺和装备，尽可能不排或少排，以达到降低工作场所有害物质的目的；其次对不可避免排除的有害物质采取国内外相应高效的治理措施，并对操作人员采取相应的防护性措施，尽可能减轻对操作人员的危害。</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为了防范事故和减少灾害，须制定风险事故的防范措施和应急预案。</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①风险事故减缓措施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事故的防范措施是项目风险评价的重要内容，为防止事故的发生，拟建项目的环境风险评价从管理、安全设计、防火、防毒等方面提出风险事故的以下防范措施：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A.在对天然气设施运行及停气检修时必须严格按照有关规定进行。</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B.加强员工的思想、道德教育，提高员工的责任心和主观能动性：完善并严格遵守相关的操作规程，加强岗位培训，落实岗位责任制；加强设备管理，特别是对易产生有毒物质泄漏的部位加强检查。</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C.建立事故预防、监测、检验、报警系统；采取技术、工艺、设备、管理等综合预防措施，避免有毒物质意外泄漏事故发生；生产过程中的有毒物料，均应在密闭的状态下在工艺过程中流动，不与岗位操作人员接触，在易产生泄漏的位置设置检测仪和自动报警器，当发生泄漏事故时能及时报警，使事故能够得到及时扼杀；生产场所应设置相应的通风设施，确保工作人员不受有害气体的危害；对输送管道、管件等以及与之相关的设备进行重点安全监督。</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D.提高项目生产的自动化控制水平，减少生产系统的操作偏差，确保拟建项目的生产安全。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E.加强事故管理，在生产过程中注意对其它单位相关事故的研究，充分吸取经验和教训。</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F.设计上各套生产装置尽量采用先进合理、安全可靠的工艺流程，从根本上提高装置的安全性，防止和减少事故的发生。</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G.天然气储罐四周设置围堰，围堰内地面及墙体做好防渗，并安装气体泄漏报警装置。</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H.实施现场巡回检查制度，定期检修设备，发现问题及时更换零部件，排除事故隐患，防止跑、冒、滴、漏。检修时需切断原料源，并由专人监护，检修时按规定的要求进行。</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I.天然气储存罐区内严禁烟火，入内人员不得携带易燃、易爆物品；</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J.厂区设置1座容积为</w:t>
            </w:r>
            <w:r>
              <w:rPr>
                <w:rFonts w:hint="eastAsia" w:cs="Times New Roman"/>
                <w:b w:val="0"/>
                <w:bCs w:val="0"/>
                <w:color w:val="000000" w:themeColor="text1"/>
                <w:kern w:val="0"/>
                <w:sz w:val="24"/>
                <w:szCs w:val="24"/>
                <w:u w:val="none"/>
                <w:vertAlign w:val="baseline"/>
                <w:lang w:val="en-US" w:eastAsia="zh-CN"/>
                <w14:textFill>
                  <w14:solidFill>
                    <w14:schemeClr w14:val="tx1"/>
                  </w14:solidFill>
                </w14:textFill>
              </w:rPr>
              <w:t>230</w:t>
            </w: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m</w:t>
            </w:r>
            <w:r>
              <w:rPr>
                <w:rFonts w:hint="eastAsia" w:ascii="Times New Roman" w:hAnsi="Times New Roman" w:eastAsia="宋体" w:cs="Times New Roman"/>
                <w:b w:val="0"/>
                <w:bCs w:val="0"/>
                <w:color w:val="000000" w:themeColor="text1"/>
                <w:kern w:val="0"/>
                <w:sz w:val="24"/>
                <w:szCs w:val="24"/>
                <w:u w:val="none"/>
                <w:vertAlign w:val="superscript"/>
                <w:lang w:val="en-US" w:eastAsia="zh-CN"/>
                <w14:textFill>
                  <w14:solidFill>
                    <w14:schemeClr w14:val="tx1"/>
                  </w14:solidFill>
                </w14:textFill>
              </w:rPr>
              <w:t>3</w:t>
            </w: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事故池并设置导流沟，防止火灾事故状态下，事故废水外排至昭平台水库，对昭平台水库造成影响</w:t>
            </w:r>
            <w:r>
              <w:rPr>
                <w:rFonts w:hint="eastAsia" w:cs="Times New Roman"/>
                <w:b w:val="0"/>
                <w:bCs w:val="0"/>
                <w:color w:val="000000" w:themeColor="text1"/>
                <w:kern w:val="0"/>
                <w:sz w:val="24"/>
                <w:szCs w:val="24"/>
                <w:u w:val="none"/>
                <w:vertAlign w:val="baseline"/>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sz w:val="24"/>
                <w:u w:val="none"/>
                <w14:textFill>
                  <w14:solidFill>
                    <w14:schemeClr w14:val="tx1"/>
                  </w14:solidFill>
                </w14:textFill>
              </w:rPr>
            </w:pPr>
            <w:r>
              <w:rPr>
                <w:rFonts w:hint="eastAsia"/>
                <w:b w:val="0"/>
                <w:bCs w:val="0"/>
                <w:color w:val="000000" w:themeColor="text1"/>
                <w:sz w:val="24"/>
                <w:u w:val="none"/>
                <w14:textFill>
                  <w14:solidFill>
                    <w14:schemeClr w14:val="tx1"/>
                  </w14:solidFill>
                </w14:textFill>
              </w:rPr>
              <w:t>本项目设立独立的事故废水收集</w:t>
            </w:r>
            <w:r>
              <w:rPr>
                <w:rFonts w:hint="eastAsia"/>
                <w:b w:val="0"/>
                <w:bCs w:val="0"/>
                <w:color w:val="000000" w:themeColor="text1"/>
                <w:sz w:val="24"/>
                <w:u w:val="none"/>
                <w:lang w:val="en-US" w:eastAsia="zh-CN"/>
                <w14:textFill>
                  <w14:solidFill>
                    <w14:schemeClr w14:val="tx1"/>
                  </w14:solidFill>
                </w14:textFill>
              </w:rPr>
              <w:t>池</w:t>
            </w:r>
            <w:r>
              <w:rPr>
                <w:rFonts w:hint="eastAsia"/>
                <w:b w:val="0"/>
                <w:bCs w:val="0"/>
                <w:color w:val="000000" w:themeColor="text1"/>
                <w:sz w:val="24"/>
                <w:u w:val="none"/>
                <w14:textFill>
                  <w14:solidFill>
                    <w14:schemeClr w14:val="tx1"/>
                  </w14:solidFill>
                </w14:textFill>
              </w:rPr>
              <w:t>，消防废水以及事故废水均接入事故废水池，然后根据检测情况进行合理处理，严禁废水超标外排或不予处理直接排放行为。</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sz w:val="24"/>
                <w:u w:val="none"/>
                <w14:textFill>
                  <w14:solidFill>
                    <w14:schemeClr w14:val="tx1"/>
                  </w14:solidFill>
                </w14:textFill>
              </w:rPr>
            </w:pPr>
            <w:r>
              <w:rPr>
                <w:rFonts w:hint="eastAsia"/>
                <w:b w:val="0"/>
                <w:bCs w:val="0"/>
                <w:color w:val="000000" w:themeColor="text1"/>
                <w:sz w:val="24"/>
                <w:u w:val="none"/>
                <w14:textFill>
                  <w14:solidFill>
                    <w14:schemeClr w14:val="tx1"/>
                  </w14:solidFill>
                </w14:textFill>
              </w:rPr>
              <w:t>根据《关于印发</w:t>
            </w:r>
            <w:r>
              <w:rPr>
                <w:b w:val="0"/>
                <w:bCs w:val="0"/>
                <w:color w:val="000000" w:themeColor="text1"/>
                <w:sz w:val="24"/>
                <w:u w:val="none"/>
                <w14:textFill>
                  <w14:solidFill>
                    <w14:schemeClr w14:val="tx1"/>
                  </w14:solidFill>
                </w14:textFill>
              </w:rPr>
              <w:t>“</w:t>
            </w:r>
            <w:r>
              <w:rPr>
                <w:rFonts w:hint="eastAsia"/>
                <w:b w:val="0"/>
                <w:bCs w:val="0"/>
                <w:color w:val="000000" w:themeColor="text1"/>
                <w:sz w:val="24"/>
                <w:u w:val="none"/>
                <w14:textFill>
                  <w14:solidFill>
                    <w14:schemeClr w14:val="tx1"/>
                  </w14:solidFill>
                </w14:textFill>
              </w:rPr>
              <w:t>水体污染防控紧急措施设计导则</w:t>
            </w:r>
            <w:r>
              <w:rPr>
                <w:b w:val="0"/>
                <w:bCs w:val="0"/>
                <w:color w:val="000000" w:themeColor="text1"/>
                <w:sz w:val="24"/>
                <w:u w:val="none"/>
                <w14:textFill>
                  <w14:solidFill>
                    <w14:schemeClr w14:val="tx1"/>
                  </w14:solidFill>
                </w14:textFill>
              </w:rPr>
              <w:t>”</w:t>
            </w:r>
            <w:r>
              <w:rPr>
                <w:rFonts w:hint="eastAsia"/>
                <w:b w:val="0"/>
                <w:bCs w:val="0"/>
                <w:color w:val="000000" w:themeColor="text1"/>
                <w:sz w:val="24"/>
                <w:u w:val="none"/>
                <w14:textFill>
                  <w14:solidFill>
                    <w14:schemeClr w14:val="tx1"/>
                  </w14:solidFill>
                </w14:textFill>
              </w:rPr>
              <w:t>的通知》（中国石化建标</w:t>
            </w:r>
            <w:r>
              <w:rPr>
                <w:b w:val="0"/>
                <w:bCs w:val="0"/>
                <w:color w:val="000000" w:themeColor="text1"/>
                <w:sz w:val="24"/>
                <w:u w:val="none"/>
                <w14:textFill>
                  <w14:solidFill>
                    <w14:schemeClr w14:val="tx1"/>
                  </w14:solidFill>
                </w14:textFill>
              </w:rPr>
              <w:t>[2006]43</w:t>
            </w:r>
            <w:r>
              <w:rPr>
                <w:rFonts w:hint="eastAsia"/>
                <w:b w:val="0"/>
                <w:bCs w:val="0"/>
                <w:color w:val="000000" w:themeColor="text1"/>
                <w:sz w:val="24"/>
                <w:u w:val="none"/>
                <w14:textFill>
                  <w14:solidFill>
                    <w14:schemeClr w14:val="tx1"/>
                  </w14:solidFill>
                </w14:textFill>
              </w:rPr>
              <w:t>号）中相关要求，事故储存设施总有效容积计算公式如下：</w:t>
            </w:r>
          </w:p>
          <w:p>
            <w:pPr>
              <w:keepNext w:val="0"/>
              <w:keepLines w:val="0"/>
              <w:pageBreakBefore w:val="0"/>
              <w:widowControl w:val="0"/>
              <w:kinsoku/>
              <w:wordWrap/>
              <w:overflowPunct/>
              <w:topLinePunct w:val="0"/>
              <w:autoSpaceDE/>
              <w:autoSpaceDN/>
              <w:bidi w:val="0"/>
              <w:spacing w:line="360" w:lineRule="auto"/>
              <w:ind w:firstLine="480" w:firstLineChars="200"/>
              <w:jc w:val="center"/>
              <w:textAlignment w:val="auto"/>
              <w:rPr>
                <w:b w:val="0"/>
                <w:bCs w:val="0"/>
                <w:color w:val="000000" w:themeColor="text1"/>
                <w:sz w:val="24"/>
                <w:u w:val="none"/>
                <w14:textFill>
                  <w14:solidFill>
                    <w14:schemeClr w14:val="tx1"/>
                  </w14:solidFill>
                </w14:textFill>
              </w:rPr>
            </w:pPr>
            <w:r>
              <w:rPr>
                <w:b w:val="0"/>
                <w:bCs w:val="0"/>
                <w:color w:val="000000" w:themeColor="text1"/>
                <w:sz w:val="24"/>
                <w:u w:val="none"/>
                <w14:textFill>
                  <w14:solidFill>
                    <w14:schemeClr w14:val="tx1"/>
                  </w14:solidFill>
                </w14:textFill>
              </w:rPr>
              <w:t>V</w:t>
            </w:r>
            <w:r>
              <w:rPr>
                <w:rFonts w:hint="eastAsia"/>
                <w:b w:val="0"/>
                <w:bCs w:val="0"/>
                <w:color w:val="000000" w:themeColor="text1"/>
                <w:sz w:val="24"/>
                <w:u w:val="none"/>
                <w:vertAlign w:val="subscript"/>
                <w14:textFill>
                  <w14:solidFill>
                    <w14:schemeClr w14:val="tx1"/>
                  </w14:solidFill>
                </w14:textFill>
              </w:rPr>
              <w:t>总</w:t>
            </w:r>
            <w:r>
              <w:rPr>
                <w:b w:val="0"/>
                <w:bCs w:val="0"/>
                <w:color w:val="000000" w:themeColor="text1"/>
                <w:sz w:val="24"/>
                <w:u w:val="none"/>
                <w14:textFill>
                  <w14:solidFill>
                    <w14:schemeClr w14:val="tx1"/>
                  </w14:solidFill>
                </w14:textFill>
              </w:rPr>
              <w:t>=</w:t>
            </w:r>
            <w:r>
              <w:rPr>
                <w:rFonts w:hint="eastAsia"/>
                <w:b w:val="0"/>
                <w:bCs w:val="0"/>
                <w:color w:val="000000" w:themeColor="text1"/>
                <w:sz w:val="24"/>
                <w:u w:val="none"/>
                <w14:textFill>
                  <w14:solidFill>
                    <w14:schemeClr w14:val="tx1"/>
                  </w14:solidFill>
                </w14:textFill>
              </w:rPr>
              <w:t>（</w:t>
            </w:r>
            <w:r>
              <w:rPr>
                <w:b w:val="0"/>
                <w:bCs w:val="0"/>
                <w:color w:val="000000" w:themeColor="text1"/>
                <w:sz w:val="24"/>
                <w:u w:val="none"/>
                <w14:textFill>
                  <w14:solidFill>
                    <w14:schemeClr w14:val="tx1"/>
                  </w14:solidFill>
                </w14:textFill>
              </w:rPr>
              <w:t>V</w:t>
            </w:r>
            <w:r>
              <w:rPr>
                <w:b w:val="0"/>
                <w:bCs w:val="0"/>
                <w:color w:val="000000" w:themeColor="text1"/>
                <w:sz w:val="24"/>
                <w:u w:val="none"/>
                <w:vertAlign w:val="subscript"/>
                <w14:textFill>
                  <w14:solidFill>
                    <w14:schemeClr w14:val="tx1"/>
                  </w14:solidFill>
                </w14:textFill>
              </w:rPr>
              <w:t>1</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2</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3</w:t>
            </w:r>
            <w:r>
              <w:rPr>
                <w:rFonts w:hint="eastAsia"/>
                <w:b w:val="0"/>
                <w:bCs w:val="0"/>
                <w:color w:val="000000" w:themeColor="text1"/>
                <w:sz w:val="24"/>
                <w:u w:val="none"/>
                <w14:textFill>
                  <w14:solidFill>
                    <w14:schemeClr w14:val="tx1"/>
                  </w14:solidFill>
                </w14:textFill>
              </w:rPr>
              <w:t>）</w:t>
            </w:r>
            <w:r>
              <w:rPr>
                <w:b w:val="0"/>
                <w:bCs w:val="0"/>
                <w:color w:val="000000" w:themeColor="text1"/>
                <w:sz w:val="24"/>
                <w:u w:val="none"/>
                <w:vertAlign w:val="subscript"/>
                <w14:textFill>
                  <w14:solidFill>
                    <w14:schemeClr w14:val="tx1"/>
                  </w14:solidFill>
                </w14:textFill>
              </w:rPr>
              <w:t>max</w:t>
            </w:r>
            <w:r>
              <w:rPr>
                <w:b w:val="0"/>
                <w:bCs w:val="0"/>
                <w:color w:val="000000" w:themeColor="text1"/>
                <w:sz w:val="24"/>
                <w:u w:val="none"/>
                <w14:textFill>
                  <w14:solidFill>
                    <w14:schemeClr w14:val="tx1"/>
                  </w14:solidFill>
                </w14:textFill>
              </w:rPr>
              <w:t xml:space="preserve"> + V</w:t>
            </w:r>
            <w:r>
              <w:rPr>
                <w:b w:val="0"/>
                <w:bCs w:val="0"/>
                <w:color w:val="000000" w:themeColor="text1"/>
                <w:sz w:val="24"/>
                <w:u w:val="none"/>
                <w:vertAlign w:val="subscript"/>
                <w14:textFill>
                  <w14:solidFill>
                    <w14:schemeClr w14:val="tx1"/>
                  </w14:solidFill>
                </w14:textFill>
              </w:rPr>
              <w:t>4</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5</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sz w:val="24"/>
                <w:u w:val="none"/>
                <w14:textFill>
                  <w14:solidFill>
                    <w14:schemeClr w14:val="tx1"/>
                  </w14:solidFill>
                </w14:textFill>
              </w:rPr>
            </w:pPr>
            <w:r>
              <w:rPr>
                <w:rFonts w:hint="eastAsia"/>
                <w:b w:val="0"/>
                <w:bCs w:val="0"/>
                <w:color w:val="000000" w:themeColor="text1"/>
                <w:sz w:val="24"/>
                <w:u w:val="none"/>
                <w14:textFill>
                  <w14:solidFill>
                    <w14:schemeClr w14:val="tx1"/>
                  </w14:solidFill>
                </w14:textFill>
              </w:rPr>
              <w:t>注：（</w:t>
            </w:r>
            <w:r>
              <w:rPr>
                <w:b w:val="0"/>
                <w:bCs w:val="0"/>
                <w:color w:val="000000" w:themeColor="text1"/>
                <w:sz w:val="24"/>
                <w:u w:val="none"/>
                <w14:textFill>
                  <w14:solidFill>
                    <w14:schemeClr w14:val="tx1"/>
                  </w14:solidFill>
                </w14:textFill>
              </w:rPr>
              <w:t>V</w:t>
            </w:r>
            <w:r>
              <w:rPr>
                <w:b w:val="0"/>
                <w:bCs w:val="0"/>
                <w:color w:val="000000" w:themeColor="text1"/>
                <w:sz w:val="24"/>
                <w:u w:val="none"/>
                <w:vertAlign w:val="subscript"/>
                <w14:textFill>
                  <w14:solidFill>
                    <w14:schemeClr w14:val="tx1"/>
                  </w14:solidFill>
                </w14:textFill>
              </w:rPr>
              <w:t>1</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2</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3</w:t>
            </w:r>
            <w:r>
              <w:rPr>
                <w:rFonts w:hint="eastAsia"/>
                <w:b w:val="0"/>
                <w:bCs w:val="0"/>
                <w:color w:val="000000" w:themeColor="text1"/>
                <w:sz w:val="24"/>
                <w:u w:val="none"/>
                <w14:textFill>
                  <w14:solidFill>
                    <w14:schemeClr w14:val="tx1"/>
                  </w14:solidFill>
                </w14:textFill>
              </w:rPr>
              <w:t>）</w:t>
            </w:r>
            <w:r>
              <w:rPr>
                <w:b w:val="0"/>
                <w:bCs w:val="0"/>
                <w:color w:val="000000" w:themeColor="text1"/>
                <w:sz w:val="24"/>
                <w:u w:val="none"/>
                <w:vertAlign w:val="subscript"/>
                <w14:textFill>
                  <w14:solidFill>
                    <w14:schemeClr w14:val="tx1"/>
                  </w14:solidFill>
                </w14:textFill>
              </w:rPr>
              <w:t>max</w:t>
            </w:r>
            <w:r>
              <w:rPr>
                <w:rFonts w:hint="eastAsia"/>
                <w:b w:val="0"/>
                <w:bCs w:val="0"/>
                <w:color w:val="000000" w:themeColor="text1"/>
                <w:sz w:val="24"/>
                <w:u w:val="none"/>
                <w14:textFill>
                  <w14:solidFill>
                    <w14:schemeClr w14:val="tx1"/>
                  </w14:solidFill>
                </w14:textFill>
              </w:rPr>
              <w:t>是指对收集系统范围内不同罐组或装置分别计算</w:t>
            </w:r>
            <w:r>
              <w:rPr>
                <w:b w:val="0"/>
                <w:bCs w:val="0"/>
                <w:color w:val="000000" w:themeColor="text1"/>
                <w:sz w:val="24"/>
                <w:u w:val="none"/>
                <w14:textFill>
                  <w14:solidFill>
                    <w14:schemeClr w14:val="tx1"/>
                  </w14:solidFill>
                </w14:textFill>
              </w:rPr>
              <w:t>V</w:t>
            </w:r>
            <w:r>
              <w:rPr>
                <w:b w:val="0"/>
                <w:bCs w:val="0"/>
                <w:color w:val="000000" w:themeColor="text1"/>
                <w:sz w:val="24"/>
                <w:u w:val="none"/>
                <w:vertAlign w:val="subscript"/>
                <w14:textFill>
                  <w14:solidFill>
                    <w14:schemeClr w14:val="tx1"/>
                  </w14:solidFill>
                </w14:textFill>
              </w:rPr>
              <w:t>1</w:t>
            </w:r>
            <w:r>
              <w:rPr>
                <w:b w:val="0"/>
                <w:bCs w:val="0"/>
                <w:color w:val="000000" w:themeColor="text1"/>
                <w:sz w:val="24"/>
                <w:u w:val="none"/>
                <w14:textFill>
                  <w14:solidFill>
                    <w14:schemeClr w14:val="tx1"/>
                  </w14:solidFill>
                </w14:textFill>
              </w:rPr>
              <w:t>+ V</w:t>
            </w:r>
            <w:r>
              <w:rPr>
                <w:b w:val="0"/>
                <w:bCs w:val="0"/>
                <w:color w:val="000000" w:themeColor="text1"/>
                <w:sz w:val="24"/>
                <w:u w:val="none"/>
                <w:vertAlign w:val="subscript"/>
                <w14:textFill>
                  <w14:solidFill>
                    <w14:schemeClr w14:val="tx1"/>
                  </w14:solidFill>
                </w14:textFill>
              </w:rPr>
              <w:t>2</w:t>
            </w:r>
            <w:r>
              <w:rPr>
                <w:b w:val="0"/>
                <w:bCs w:val="0"/>
                <w:color w:val="000000" w:themeColor="text1"/>
                <w:sz w:val="24"/>
                <w:u w:val="none"/>
                <w14:textFill>
                  <w14:solidFill>
                    <w14:schemeClr w14:val="tx1"/>
                  </w14:solidFill>
                </w14:textFill>
              </w:rPr>
              <w:t>-V</w:t>
            </w:r>
            <w:r>
              <w:rPr>
                <w:b w:val="0"/>
                <w:bCs w:val="0"/>
                <w:color w:val="000000" w:themeColor="text1"/>
                <w:sz w:val="24"/>
                <w:u w:val="none"/>
                <w:vertAlign w:val="subscript"/>
                <w14:textFill>
                  <w14:solidFill>
                    <w14:schemeClr w14:val="tx1"/>
                  </w14:solidFill>
                </w14:textFill>
              </w:rPr>
              <w:t>3</w:t>
            </w:r>
            <w:r>
              <w:rPr>
                <w:rFonts w:hint="eastAsia"/>
                <w:b w:val="0"/>
                <w:bCs w:val="0"/>
                <w:color w:val="000000" w:themeColor="text1"/>
                <w:sz w:val="24"/>
                <w:u w:val="none"/>
                <w14:textFill>
                  <w14:solidFill>
                    <w14:schemeClr w14:val="tx1"/>
                  </w14:solidFill>
                </w14:textFill>
              </w:rPr>
              <w:t>，取其中最大值。</w:t>
            </w:r>
          </w:p>
          <w:p>
            <w:pPr>
              <w:keepNext w:val="0"/>
              <w:keepLines w:val="0"/>
              <w:pageBreakBefore w:val="0"/>
              <w:widowControl w:val="0"/>
              <w:kinsoku/>
              <w:wordWrap/>
              <w:overflowPunct/>
              <w:topLinePunct w:val="0"/>
              <w:autoSpaceDE/>
              <w:autoSpaceDN/>
              <w:bidi w:val="0"/>
              <w:spacing w:line="360" w:lineRule="auto"/>
              <w:ind w:firstLine="464" w:firstLineChars="200"/>
              <w:textAlignment w:val="auto"/>
              <w:rPr>
                <w:b w:val="0"/>
                <w:bCs w:val="0"/>
                <w:color w:val="000000" w:themeColor="text1"/>
                <w:spacing w:val="-4"/>
                <w:sz w:val="24"/>
                <w:u w:val="none"/>
                <w14:textFill>
                  <w14:solidFill>
                    <w14:schemeClr w14:val="tx1"/>
                  </w14:solidFill>
                </w14:textFill>
              </w:rPr>
            </w:pPr>
            <w:r>
              <w:rPr>
                <w:b w:val="0"/>
                <w:bCs w:val="0"/>
                <w:color w:val="000000" w:themeColor="text1"/>
                <w:spacing w:val="-4"/>
                <w:sz w:val="24"/>
                <w:u w:val="none"/>
                <w14:textFill>
                  <w14:solidFill>
                    <w14:schemeClr w14:val="tx1"/>
                  </w14:solidFill>
                </w14:textFill>
              </w:rPr>
              <w:t>V</w:t>
            </w:r>
            <w:r>
              <w:rPr>
                <w:b w:val="0"/>
                <w:bCs w:val="0"/>
                <w:color w:val="000000" w:themeColor="text1"/>
                <w:spacing w:val="-4"/>
                <w:sz w:val="24"/>
                <w:u w:val="none"/>
                <w:vertAlign w:val="subscript"/>
                <w14:textFill>
                  <w14:solidFill>
                    <w14:schemeClr w14:val="tx1"/>
                  </w14:solidFill>
                </w14:textFill>
              </w:rPr>
              <w:t>1</w:t>
            </w:r>
            <w:r>
              <w:rPr>
                <w:b w:val="0"/>
                <w:bCs w:val="0"/>
                <w:color w:val="000000" w:themeColor="text1"/>
                <w:spacing w:val="-4"/>
                <w:sz w:val="24"/>
                <w:u w:val="none"/>
                <w14:textFill>
                  <w14:solidFill>
                    <w14:schemeClr w14:val="tx1"/>
                  </w14:solidFill>
                </w14:textFill>
              </w:rPr>
              <w:t>——</w:t>
            </w:r>
            <w:r>
              <w:rPr>
                <w:rFonts w:hint="eastAsia"/>
                <w:b w:val="0"/>
                <w:bCs w:val="0"/>
                <w:color w:val="000000" w:themeColor="text1"/>
                <w:spacing w:val="-4"/>
                <w:sz w:val="24"/>
                <w:u w:val="none"/>
                <w14:textFill>
                  <w14:solidFill>
                    <w14:schemeClr w14:val="tx1"/>
                  </w14:solidFill>
                </w14:textFill>
              </w:rPr>
              <w:t>收集系统范围内发生事故的一个罐组或一套装置的物料量。储存相同物料的罐组按一个最大储罐计，装置物料量按存留最大物料量的一台反应器或中间储罐计，本项目</w:t>
            </w:r>
            <w:r>
              <w:rPr>
                <w:rFonts w:hint="eastAsia"/>
                <w:b w:val="0"/>
                <w:bCs w:val="0"/>
                <w:color w:val="000000" w:themeColor="text1"/>
                <w:sz w:val="24"/>
                <w:u w:val="none"/>
                <w14:textFill>
                  <w14:solidFill>
                    <w14:schemeClr w14:val="tx1"/>
                  </w14:solidFill>
                </w14:textFill>
              </w:rPr>
              <w:t>物料泄漏量为</w:t>
            </w:r>
            <w:r>
              <w:rPr>
                <w:rFonts w:hint="eastAsia"/>
                <w:b w:val="0"/>
                <w:bCs w:val="0"/>
                <w:color w:val="000000" w:themeColor="text1"/>
                <w:sz w:val="24"/>
                <w:u w:val="none"/>
                <w:lang w:val="en-US" w:eastAsia="zh-CN"/>
                <w14:textFill>
                  <w14:solidFill>
                    <w14:schemeClr w14:val="tx1"/>
                  </w14:solidFill>
                </w14:textFill>
              </w:rPr>
              <w:t>23.3m</w:t>
            </w:r>
            <w:r>
              <w:rPr>
                <w:rFonts w:hint="eastAsia"/>
                <w:b w:val="0"/>
                <w:bCs w:val="0"/>
                <w:color w:val="000000" w:themeColor="text1"/>
                <w:sz w:val="24"/>
                <w:u w:val="none"/>
                <w:vertAlign w:val="superscript"/>
                <w:lang w:val="en-US" w:eastAsia="zh-CN"/>
                <w14:textFill>
                  <w14:solidFill>
                    <w14:schemeClr w14:val="tx1"/>
                  </w14:solidFill>
                </w14:textFill>
              </w:rPr>
              <w:t>3</w:t>
            </w:r>
            <w:r>
              <w:rPr>
                <w:rFonts w:hint="eastAsia"/>
                <w:b w:val="0"/>
                <w:bCs w:val="0"/>
                <w:color w:val="000000" w:themeColor="text1"/>
                <w:spacing w:val="-4"/>
                <w:sz w:val="24"/>
                <w:u w:val="none"/>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V</w:t>
            </w:r>
            <w:r>
              <w:rPr>
                <w:b w:val="0"/>
                <w:bCs w:val="0"/>
                <w:color w:val="000000" w:themeColor="text1"/>
                <w:kern w:val="0"/>
                <w:sz w:val="24"/>
                <w:u w:val="none"/>
                <w:vertAlign w:val="subscript"/>
                <w14:textFill>
                  <w14:solidFill>
                    <w14:schemeClr w14:val="tx1"/>
                  </w14:solidFill>
                </w14:textFill>
              </w:rPr>
              <w:t>2</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发生事故的储罐或装置的消防水量，</w:t>
            </w:r>
            <w:r>
              <w:rPr>
                <w:b w:val="0"/>
                <w:bCs w:val="0"/>
                <w:color w:val="000000" w:themeColor="text1"/>
                <w:kern w:val="0"/>
                <w:sz w:val="24"/>
                <w:u w:val="none"/>
                <w14:textFill>
                  <w14:solidFill>
                    <w14:schemeClr w14:val="tx1"/>
                  </w14:solidFill>
                </w14:textFill>
              </w:rPr>
              <w:t>m</w:t>
            </w:r>
            <w:r>
              <w:rPr>
                <w:b w:val="0"/>
                <w:bCs w:val="0"/>
                <w:color w:val="000000" w:themeColor="text1"/>
                <w:kern w:val="0"/>
                <w:sz w:val="24"/>
                <w:u w:val="none"/>
                <w:vertAlign w:val="superscript"/>
                <w14:textFill>
                  <w14:solidFill>
                    <w14:schemeClr w14:val="tx1"/>
                  </w14:solidFill>
                </w14:textFill>
              </w:rPr>
              <w:t>3</w:t>
            </w:r>
            <w:r>
              <w:rPr>
                <w:rFonts w:hint="eastAsia"/>
                <w:b w:val="0"/>
                <w:bCs w:val="0"/>
                <w:color w:val="000000" w:themeColor="text1"/>
                <w:kern w:val="0"/>
                <w:sz w:val="24"/>
                <w:u w:val="none"/>
                <w14:textFill>
                  <w14:solidFill>
                    <w14:schemeClr w14:val="tx1"/>
                  </w14:solidFill>
                </w14:textFill>
              </w:rPr>
              <w:t>；</w:t>
            </w:r>
            <w:r>
              <w:rPr>
                <w:b w:val="0"/>
                <w:bCs w:val="0"/>
                <w:color w:val="000000" w:themeColor="text1"/>
                <w:kern w:val="0"/>
                <w:sz w:val="24"/>
                <w:u w:val="none"/>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spacing w:line="360" w:lineRule="auto"/>
              <w:ind w:firstLine="480" w:firstLineChars="200"/>
              <w:jc w:val="center"/>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V</w:t>
            </w:r>
            <w:r>
              <w:rPr>
                <w:b w:val="0"/>
                <w:bCs w:val="0"/>
                <w:color w:val="000000" w:themeColor="text1"/>
                <w:kern w:val="0"/>
                <w:sz w:val="24"/>
                <w:u w:val="none"/>
                <w:vertAlign w:val="subscript"/>
                <w14:textFill>
                  <w14:solidFill>
                    <w14:schemeClr w14:val="tx1"/>
                  </w14:solidFill>
                </w14:textFill>
              </w:rPr>
              <w:t>2</w:t>
            </w:r>
            <w:r>
              <w:rPr>
                <w:b w:val="0"/>
                <w:bCs w:val="0"/>
                <w:color w:val="000000" w:themeColor="text1"/>
                <w:kern w:val="0"/>
                <w:sz w:val="24"/>
                <w:u w:val="none"/>
                <w14:textFill>
                  <w14:solidFill>
                    <w14:schemeClr w14:val="tx1"/>
                  </w14:solidFill>
                </w14:textFill>
              </w:rPr>
              <w:t>=∑Q</w:t>
            </w:r>
            <w:r>
              <w:rPr>
                <w:rFonts w:hint="eastAsia"/>
                <w:b w:val="0"/>
                <w:bCs w:val="0"/>
                <w:color w:val="000000" w:themeColor="text1"/>
                <w:kern w:val="0"/>
                <w:sz w:val="24"/>
                <w:u w:val="none"/>
                <w:vertAlign w:val="subscript"/>
                <w14:textFill>
                  <w14:solidFill>
                    <w14:schemeClr w14:val="tx1"/>
                  </w14:solidFill>
                </w14:textFill>
              </w:rPr>
              <w:t>消</w:t>
            </w:r>
            <w:r>
              <w:rPr>
                <w:b w:val="0"/>
                <w:bCs w:val="0"/>
                <w:color w:val="000000" w:themeColor="text1"/>
                <w:kern w:val="0"/>
                <w:sz w:val="24"/>
                <w:u w:val="none"/>
                <w14:textFill>
                  <w14:solidFill>
                    <w14:schemeClr w14:val="tx1"/>
                  </w14:solidFill>
                </w14:textFill>
              </w:rPr>
              <w:t>t</w:t>
            </w:r>
            <w:r>
              <w:rPr>
                <w:rFonts w:hint="eastAsia"/>
                <w:b w:val="0"/>
                <w:bCs w:val="0"/>
                <w:color w:val="000000" w:themeColor="text1"/>
                <w:kern w:val="0"/>
                <w:sz w:val="24"/>
                <w:u w:val="none"/>
                <w:vertAlign w:val="subscript"/>
                <w14:textFill>
                  <w14:solidFill>
                    <w14:schemeClr w14:val="tx1"/>
                  </w14:solidFill>
                </w14:textFill>
              </w:rPr>
              <w:t>消</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Q</w:t>
            </w:r>
            <w:r>
              <w:rPr>
                <w:rFonts w:hint="eastAsia"/>
                <w:b w:val="0"/>
                <w:bCs w:val="0"/>
                <w:color w:val="000000" w:themeColor="text1"/>
                <w:kern w:val="0"/>
                <w:sz w:val="24"/>
                <w:u w:val="none"/>
                <w:vertAlign w:val="subscript"/>
                <w14:textFill>
                  <w14:solidFill>
                    <w14:schemeClr w14:val="tx1"/>
                  </w14:solidFill>
                </w14:textFill>
              </w:rPr>
              <w:t>消</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发生事故的储罐或装置的同时使用的消防设施给水流量，</w:t>
            </w:r>
            <w:r>
              <w:rPr>
                <w:b w:val="0"/>
                <w:bCs w:val="0"/>
                <w:color w:val="000000" w:themeColor="text1"/>
                <w:kern w:val="0"/>
                <w:sz w:val="24"/>
                <w:u w:val="none"/>
                <w14:textFill>
                  <w14:solidFill>
                    <w14:schemeClr w14:val="tx1"/>
                  </w14:solidFill>
                </w14:textFill>
              </w:rPr>
              <w:t>m</w:t>
            </w:r>
            <w:r>
              <w:rPr>
                <w:b w:val="0"/>
                <w:bCs w:val="0"/>
                <w:color w:val="000000" w:themeColor="text1"/>
                <w:kern w:val="0"/>
                <w:sz w:val="24"/>
                <w:u w:val="none"/>
                <w:vertAlign w:val="superscript"/>
                <w14:textFill>
                  <w14:solidFill>
                    <w14:schemeClr w14:val="tx1"/>
                  </w14:solidFill>
                </w14:textFill>
              </w:rPr>
              <w:t>3</w:t>
            </w:r>
            <w:r>
              <w:rPr>
                <w:b w:val="0"/>
                <w:bCs w:val="0"/>
                <w:color w:val="000000" w:themeColor="text1"/>
                <w:kern w:val="0"/>
                <w:sz w:val="24"/>
                <w:u w:val="none"/>
                <w14:textFill>
                  <w14:solidFill>
                    <w14:schemeClr w14:val="tx1"/>
                  </w14:solidFill>
                </w14:textFill>
              </w:rPr>
              <w:t>/h</w:t>
            </w:r>
            <w:r>
              <w:rPr>
                <w:rFonts w:hint="eastAsia"/>
                <w:b w:val="0"/>
                <w:bCs w:val="0"/>
                <w:color w:val="000000" w:themeColor="text1"/>
                <w:kern w:val="0"/>
                <w:sz w:val="24"/>
                <w:u w:val="none"/>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t</w:t>
            </w:r>
            <w:r>
              <w:rPr>
                <w:rFonts w:hint="eastAsia"/>
                <w:b w:val="0"/>
                <w:bCs w:val="0"/>
                <w:color w:val="000000" w:themeColor="text1"/>
                <w:kern w:val="0"/>
                <w:sz w:val="24"/>
                <w:u w:val="none"/>
                <w:vertAlign w:val="subscript"/>
                <w14:textFill>
                  <w14:solidFill>
                    <w14:schemeClr w14:val="tx1"/>
                  </w14:solidFill>
                </w14:textFill>
              </w:rPr>
              <w:t>消</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消防设施对应的设计消防历时，</w:t>
            </w:r>
            <w:r>
              <w:rPr>
                <w:b w:val="0"/>
                <w:bCs w:val="0"/>
                <w:color w:val="000000" w:themeColor="text1"/>
                <w:kern w:val="0"/>
                <w:sz w:val="24"/>
                <w:u w:val="none"/>
                <w14:textFill>
                  <w14:solidFill>
                    <w14:schemeClr w14:val="tx1"/>
                  </w14:solidFill>
                </w14:textFill>
              </w:rPr>
              <w:t>h</w:t>
            </w:r>
            <w:r>
              <w:rPr>
                <w:rFonts w:hint="eastAsia"/>
                <w:b w:val="0"/>
                <w:bCs w:val="0"/>
                <w:color w:val="000000" w:themeColor="text1"/>
                <w:kern w:val="0"/>
                <w:sz w:val="24"/>
                <w:u w:val="none"/>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V</w:t>
            </w:r>
            <w:r>
              <w:rPr>
                <w:b w:val="0"/>
                <w:bCs w:val="0"/>
                <w:color w:val="000000" w:themeColor="text1"/>
                <w:kern w:val="0"/>
                <w:sz w:val="24"/>
                <w:u w:val="none"/>
                <w:vertAlign w:val="subscript"/>
                <w14:textFill>
                  <w14:solidFill>
                    <w14:schemeClr w14:val="tx1"/>
                  </w14:solidFill>
                </w14:textFill>
              </w:rPr>
              <w:t>3</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发生事故时可以转输到其他储存或处理设施的物料量，</w:t>
            </w:r>
            <w:r>
              <w:rPr>
                <w:b w:val="0"/>
                <w:bCs w:val="0"/>
                <w:color w:val="000000" w:themeColor="text1"/>
                <w:kern w:val="0"/>
                <w:sz w:val="24"/>
                <w:u w:val="none"/>
                <w14:textFill>
                  <w14:solidFill>
                    <w14:schemeClr w14:val="tx1"/>
                  </w14:solidFill>
                </w14:textFill>
              </w:rPr>
              <w:t>m</w:t>
            </w:r>
            <w:r>
              <w:rPr>
                <w:b w:val="0"/>
                <w:bCs w:val="0"/>
                <w:color w:val="000000" w:themeColor="text1"/>
                <w:kern w:val="0"/>
                <w:sz w:val="24"/>
                <w:u w:val="none"/>
                <w:vertAlign w:val="superscript"/>
                <w14:textFill>
                  <w14:solidFill>
                    <w14:schemeClr w14:val="tx1"/>
                  </w14:solidFill>
                </w14:textFill>
              </w:rPr>
              <w:t>3</w:t>
            </w:r>
            <w:r>
              <w:rPr>
                <w:rFonts w:hint="eastAsia"/>
                <w:b w:val="0"/>
                <w:bCs w:val="0"/>
                <w:color w:val="000000" w:themeColor="text1"/>
                <w:kern w:val="0"/>
                <w:sz w:val="24"/>
                <w:u w:val="none"/>
                <w14:textFill>
                  <w14:solidFill>
                    <w14:schemeClr w14:val="tx1"/>
                  </w14:solidFill>
                </w14:textFill>
              </w:rPr>
              <w:t>，</w:t>
            </w:r>
            <w:r>
              <w:rPr>
                <w:rFonts w:hint="eastAsia"/>
                <w:b w:val="0"/>
                <w:bCs w:val="0"/>
                <w:color w:val="000000" w:themeColor="text1"/>
                <w:sz w:val="24"/>
                <w:u w:val="none"/>
                <w14:textFill>
                  <w14:solidFill>
                    <w14:schemeClr w14:val="tx1"/>
                  </w14:solidFill>
                </w14:textFill>
              </w:rPr>
              <w:t>本项目不考虑</w:t>
            </w:r>
            <w:r>
              <w:rPr>
                <w:rFonts w:hint="eastAsia"/>
                <w:b w:val="0"/>
                <w:bCs w:val="0"/>
                <w:color w:val="000000" w:themeColor="text1"/>
                <w:kern w:val="0"/>
                <w:sz w:val="24"/>
                <w:u w:val="none"/>
                <w14:textFill>
                  <w14:solidFill>
                    <w14:schemeClr w14:val="tx1"/>
                  </w14:solidFill>
                </w14:textFill>
              </w:rPr>
              <w:t>；</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kern w:val="0"/>
                <w:sz w:val="24"/>
                <w:u w:val="none"/>
                <w14:textFill>
                  <w14:solidFill>
                    <w14:schemeClr w14:val="tx1"/>
                  </w14:solidFill>
                </w14:textFill>
              </w:rPr>
            </w:pPr>
            <w:r>
              <w:rPr>
                <w:b w:val="0"/>
                <w:bCs w:val="0"/>
                <w:color w:val="000000" w:themeColor="text1"/>
                <w:kern w:val="0"/>
                <w:sz w:val="24"/>
                <w:u w:val="none"/>
                <w14:textFill>
                  <w14:solidFill>
                    <w14:schemeClr w14:val="tx1"/>
                  </w14:solidFill>
                </w14:textFill>
              </w:rPr>
              <w:t>V</w:t>
            </w:r>
            <w:r>
              <w:rPr>
                <w:b w:val="0"/>
                <w:bCs w:val="0"/>
                <w:color w:val="000000" w:themeColor="text1"/>
                <w:kern w:val="0"/>
                <w:sz w:val="24"/>
                <w:u w:val="none"/>
                <w:vertAlign w:val="subscript"/>
                <w14:textFill>
                  <w14:solidFill>
                    <w14:schemeClr w14:val="tx1"/>
                  </w14:solidFill>
                </w14:textFill>
              </w:rPr>
              <w:t>4</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发生事故时仍必须进入该收集系统的生产废水量，20.02</w:t>
            </w:r>
            <w:r>
              <w:rPr>
                <w:b w:val="0"/>
                <w:bCs w:val="0"/>
                <w:color w:val="000000" w:themeColor="text1"/>
                <w:kern w:val="0"/>
                <w:sz w:val="24"/>
                <w:u w:val="none"/>
                <w14:textFill>
                  <w14:solidFill>
                    <w14:schemeClr w14:val="tx1"/>
                  </w14:solidFill>
                </w14:textFill>
              </w:rPr>
              <w:t>m</w:t>
            </w:r>
            <w:r>
              <w:rPr>
                <w:b w:val="0"/>
                <w:bCs w:val="0"/>
                <w:color w:val="000000" w:themeColor="text1"/>
                <w:kern w:val="0"/>
                <w:sz w:val="24"/>
                <w:u w:val="none"/>
                <w:vertAlign w:val="superscript"/>
                <w14:textFill>
                  <w14:solidFill>
                    <w14:schemeClr w14:val="tx1"/>
                  </w14:solidFill>
                </w14:textFill>
              </w:rPr>
              <w:t>3</w:t>
            </w:r>
            <w:r>
              <w:rPr>
                <w:rFonts w:hint="eastAsia"/>
                <w:b w:val="0"/>
                <w:bCs w:val="0"/>
                <w:color w:val="000000" w:themeColor="text1"/>
                <w:kern w:val="0"/>
                <w:sz w:val="24"/>
                <w:u w:val="none"/>
                <w14:textFill>
                  <w14:solidFill>
                    <w14:schemeClr w14:val="tx1"/>
                  </w14:solidFill>
                </w14:textFill>
              </w:rPr>
              <w:t>；</w:t>
            </w:r>
            <w:r>
              <w:rPr>
                <w:b w:val="0"/>
                <w:bCs w:val="0"/>
                <w:color w:val="000000" w:themeColor="text1"/>
                <w:kern w:val="0"/>
                <w:sz w:val="24"/>
                <w:u w:val="none"/>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eastAsia="宋体"/>
                <w:b w:val="0"/>
                <w:bCs w:val="0"/>
                <w:color w:val="000000" w:themeColor="text1"/>
                <w:kern w:val="0"/>
                <w:sz w:val="24"/>
                <w:u w:val="none"/>
                <w:lang w:val="en-US" w:eastAsia="zh-CN"/>
                <w14:textFill>
                  <w14:solidFill>
                    <w14:schemeClr w14:val="tx1"/>
                  </w14:solidFill>
                </w14:textFill>
              </w:rPr>
            </w:pPr>
            <w:r>
              <w:rPr>
                <w:b w:val="0"/>
                <w:bCs w:val="0"/>
                <w:color w:val="000000" w:themeColor="text1"/>
                <w:kern w:val="0"/>
                <w:sz w:val="24"/>
                <w:u w:val="none"/>
                <w14:textFill>
                  <w14:solidFill>
                    <w14:schemeClr w14:val="tx1"/>
                  </w14:solidFill>
                </w14:textFill>
              </w:rPr>
              <w:t>V</w:t>
            </w:r>
            <w:r>
              <w:rPr>
                <w:b w:val="0"/>
                <w:bCs w:val="0"/>
                <w:color w:val="000000" w:themeColor="text1"/>
                <w:kern w:val="0"/>
                <w:sz w:val="24"/>
                <w:u w:val="none"/>
                <w:vertAlign w:val="subscript"/>
                <w14:textFill>
                  <w14:solidFill>
                    <w14:schemeClr w14:val="tx1"/>
                  </w14:solidFill>
                </w14:textFill>
              </w:rPr>
              <w:t>5</w:t>
            </w:r>
            <w:r>
              <w:rPr>
                <w:b w:val="0"/>
                <w:bCs w:val="0"/>
                <w:color w:val="000000" w:themeColor="text1"/>
                <w:kern w:val="0"/>
                <w:sz w:val="24"/>
                <w:u w:val="none"/>
                <w14:textFill>
                  <w14:solidFill>
                    <w14:schemeClr w14:val="tx1"/>
                  </w14:solidFill>
                </w14:textFill>
              </w:rPr>
              <w:t>——</w:t>
            </w:r>
            <w:r>
              <w:rPr>
                <w:rFonts w:hint="eastAsia"/>
                <w:b w:val="0"/>
                <w:bCs w:val="0"/>
                <w:color w:val="000000" w:themeColor="text1"/>
                <w:kern w:val="0"/>
                <w:sz w:val="24"/>
                <w:u w:val="none"/>
                <w14:textFill>
                  <w14:solidFill>
                    <w14:schemeClr w14:val="tx1"/>
                  </w14:solidFill>
                </w14:textFill>
              </w:rPr>
              <w:t>发生事故时可能进入该收集系统的降雨量，</w:t>
            </w:r>
            <w:r>
              <w:rPr>
                <w:b w:val="0"/>
                <w:bCs w:val="0"/>
                <w:color w:val="000000" w:themeColor="text1"/>
                <w:kern w:val="0"/>
                <w:sz w:val="24"/>
                <w:u w:val="none"/>
                <w14:textFill>
                  <w14:solidFill>
                    <w14:schemeClr w14:val="tx1"/>
                  </w14:solidFill>
                </w14:textFill>
              </w:rPr>
              <w:t>m</w:t>
            </w:r>
            <w:r>
              <w:rPr>
                <w:b w:val="0"/>
                <w:bCs w:val="0"/>
                <w:color w:val="000000" w:themeColor="text1"/>
                <w:kern w:val="0"/>
                <w:sz w:val="24"/>
                <w:u w:val="none"/>
                <w:vertAlign w:val="superscript"/>
                <w14:textFill>
                  <w14:solidFill>
                    <w14:schemeClr w14:val="tx1"/>
                  </w14:solidFill>
                </w14:textFill>
              </w:rPr>
              <w:t>3</w:t>
            </w:r>
            <w:r>
              <w:rPr>
                <w:rFonts w:hint="eastAsia"/>
                <w:b w:val="0"/>
                <w:bCs w:val="0"/>
                <w:color w:val="000000" w:themeColor="text1"/>
                <w:kern w:val="0"/>
                <w:sz w:val="24"/>
                <w:u w:val="none"/>
                <w:lang w:eastAsia="zh-CN"/>
                <w14:textFill>
                  <w14:solidFill>
                    <w14:schemeClr w14:val="tx1"/>
                  </w14:solidFill>
                </w14:textFill>
              </w:rPr>
              <w:t>，</w:t>
            </w:r>
            <w:r>
              <w:rPr>
                <w:rFonts w:hint="eastAsia"/>
                <w:b w:val="0"/>
                <w:bCs w:val="0"/>
                <w:color w:val="000000" w:themeColor="text1"/>
                <w:kern w:val="0"/>
                <w:sz w:val="24"/>
                <w:u w:val="none"/>
                <w:lang w:val="en-US" w:eastAsia="zh-CN"/>
                <w14:textFill>
                  <w14:solidFill>
                    <w14:schemeClr w14:val="tx1"/>
                  </w14:solidFill>
                </w14:textFill>
              </w:rPr>
              <w:t>本项目为食品制品行业，</w:t>
            </w:r>
            <w:r>
              <w:rPr>
                <w:rFonts w:hint="eastAsia"/>
                <w:b w:val="0"/>
                <w:bCs w:val="0"/>
                <w:color w:val="000000" w:themeColor="text1"/>
                <w:kern w:val="0"/>
                <w:sz w:val="24"/>
                <w:u w:val="none"/>
                <w14:textFill>
                  <w14:solidFill>
                    <w14:schemeClr w14:val="tx1"/>
                  </w14:solidFill>
                </w14:textFill>
              </w:rPr>
              <w:t>本项目生产设备均在室内，</w:t>
            </w:r>
            <w:r>
              <w:rPr>
                <w:rFonts w:hint="eastAsia"/>
                <w:b w:val="0"/>
                <w:bCs w:val="0"/>
                <w:color w:val="000000" w:themeColor="text1"/>
                <w:kern w:val="0"/>
                <w:sz w:val="24"/>
                <w:u w:val="none"/>
                <w:lang w:val="en-US" w:eastAsia="zh-CN"/>
                <w14:textFill>
                  <w14:solidFill>
                    <w14:schemeClr w14:val="tx1"/>
                  </w14:solidFill>
                </w14:textFill>
              </w:rPr>
              <w:t>初期雨水无有毒有害物质，因此不收集初期雨水。</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eastAsia"/>
                <w:b w:val="0"/>
                <w:bCs w:val="0"/>
                <w:color w:val="000000" w:themeColor="text1"/>
                <w:sz w:val="24"/>
                <w:u w:val="none"/>
                <w14:textFill>
                  <w14:solidFill>
                    <w14:schemeClr w14:val="tx1"/>
                  </w14:solidFill>
                </w14:textFill>
              </w:rPr>
            </w:pPr>
            <w:r>
              <w:rPr>
                <w:rFonts w:hint="eastAsia"/>
                <w:b w:val="0"/>
                <w:bCs w:val="0"/>
                <w:color w:val="000000" w:themeColor="text1"/>
                <w:sz w:val="24"/>
                <w:u w:val="none"/>
                <w14:textFill>
                  <w14:solidFill>
                    <w14:schemeClr w14:val="tx1"/>
                  </w14:solidFill>
                </w14:textFill>
              </w:rPr>
              <w:t>根据《建筑设计防火规范》（</w:t>
            </w:r>
            <w:r>
              <w:rPr>
                <w:b w:val="0"/>
                <w:bCs w:val="0"/>
                <w:color w:val="000000" w:themeColor="text1"/>
                <w:sz w:val="24"/>
                <w:u w:val="none"/>
                <w14:textFill>
                  <w14:solidFill>
                    <w14:schemeClr w14:val="tx1"/>
                  </w14:solidFill>
                </w14:textFill>
              </w:rPr>
              <w:t>GB50016-20</w:t>
            </w:r>
            <w:r>
              <w:rPr>
                <w:rFonts w:hint="eastAsia"/>
                <w:b w:val="0"/>
                <w:bCs w:val="0"/>
                <w:color w:val="000000" w:themeColor="text1"/>
                <w:sz w:val="24"/>
                <w:u w:val="none"/>
                <w14:textFill>
                  <w14:solidFill>
                    <w14:schemeClr w14:val="tx1"/>
                  </w14:solidFill>
                </w14:textFill>
              </w:rPr>
              <w:t>14）中有关规定，工程消防按同一时间厂区内发生火灾数按</w:t>
            </w:r>
            <w:r>
              <w:rPr>
                <w:b w:val="0"/>
                <w:bCs w:val="0"/>
                <w:color w:val="000000" w:themeColor="text1"/>
                <w:sz w:val="24"/>
                <w:u w:val="none"/>
                <w14:textFill>
                  <w14:solidFill>
                    <w14:schemeClr w14:val="tx1"/>
                  </w14:solidFill>
                </w14:textFill>
              </w:rPr>
              <w:t>1</w:t>
            </w:r>
            <w:r>
              <w:rPr>
                <w:rFonts w:hint="eastAsia"/>
                <w:b w:val="0"/>
                <w:bCs w:val="0"/>
                <w:color w:val="000000" w:themeColor="text1"/>
                <w:sz w:val="24"/>
                <w:u w:val="none"/>
                <w14:textFill>
                  <w14:solidFill>
                    <w14:schemeClr w14:val="tx1"/>
                  </w14:solidFill>
                </w14:textFill>
              </w:rPr>
              <w:t>处考虑。生产装置区采用稳高压消防给水系统。消防用水量为</w:t>
            </w:r>
            <w:r>
              <w:rPr>
                <w:b w:val="0"/>
                <w:bCs w:val="0"/>
                <w:color w:val="000000" w:themeColor="text1"/>
                <w:sz w:val="24"/>
                <w:u w:val="none"/>
                <w14:textFill>
                  <w14:solidFill>
                    <w14:schemeClr w14:val="tx1"/>
                  </w14:solidFill>
                </w14:textFill>
              </w:rPr>
              <w:t>25L/s</w:t>
            </w:r>
            <w:r>
              <w:rPr>
                <w:rFonts w:hint="eastAsia"/>
                <w:b w:val="0"/>
                <w:bCs w:val="0"/>
                <w:color w:val="000000" w:themeColor="text1"/>
                <w:sz w:val="24"/>
                <w:u w:val="none"/>
                <w14:textFill>
                  <w14:solidFill>
                    <w14:schemeClr w14:val="tx1"/>
                  </w14:solidFill>
                </w14:textFill>
              </w:rPr>
              <w:t>；火灾延续供水时间为</w:t>
            </w:r>
            <w:r>
              <w:rPr>
                <w:b w:val="0"/>
                <w:bCs w:val="0"/>
                <w:color w:val="000000" w:themeColor="text1"/>
                <w:sz w:val="24"/>
                <w:u w:val="none"/>
                <w14:textFill>
                  <w14:solidFill>
                    <w14:schemeClr w14:val="tx1"/>
                  </w14:solidFill>
                </w14:textFill>
              </w:rPr>
              <w:t>2</w:t>
            </w:r>
            <w:r>
              <w:rPr>
                <w:rFonts w:hint="eastAsia"/>
                <w:b w:val="0"/>
                <w:bCs w:val="0"/>
                <w:color w:val="000000" w:themeColor="text1"/>
                <w:sz w:val="24"/>
                <w:u w:val="none"/>
                <w14:textFill>
                  <w14:solidFill>
                    <w14:schemeClr w14:val="tx1"/>
                  </w14:solidFill>
                </w14:textFill>
              </w:rPr>
              <w:t>小时，则本项目最大消防水总量为</w:t>
            </w:r>
            <w:r>
              <w:rPr>
                <w:b w:val="0"/>
                <w:bCs w:val="0"/>
                <w:color w:val="000000" w:themeColor="text1"/>
                <w:sz w:val="24"/>
                <w:u w:val="none"/>
                <w14:textFill>
                  <w14:solidFill>
                    <w14:schemeClr w14:val="tx1"/>
                  </w14:solidFill>
                </w14:textFill>
              </w:rPr>
              <w:t>180m</w:t>
            </w:r>
            <w:r>
              <w:rPr>
                <w:b w:val="0"/>
                <w:bCs w:val="0"/>
                <w:color w:val="000000" w:themeColor="text1"/>
                <w:sz w:val="24"/>
                <w:u w:val="none"/>
                <w:vertAlign w:val="superscript"/>
                <w14:textFill>
                  <w14:solidFill>
                    <w14:schemeClr w14:val="tx1"/>
                  </w14:solidFill>
                </w14:textFill>
              </w:rPr>
              <w:t>3</w:t>
            </w:r>
            <w:r>
              <w:rPr>
                <w:rFonts w:hint="eastAsia"/>
                <w:b w:val="0"/>
                <w:bCs w:val="0"/>
                <w:color w:val="000000" w:themeColor="text1"/>
                <w:sz w:val="24"/>
                <w:u w:val="none"/>
                <w14:textFill>
                  <w14:solidFill>
                    <w14:schemeClr w14:val="tx1"/>
                  </w14:solidFill>
                </w14:textFill>
              </w:rPr>
              <w:t>。本项目不单独建设消防水池，项目区循环水池兼用消防水池，本项目循环水池</w:t>
            </w:r>
            <w:r>
              <w:rPr>
                <w:rFonts w:hint="eastAsia"/>
                <w:b w:val="0"/>
                <w:bCs w:val="0"/>
                <w:color w:val="000000" w:themeColor="text1"/>
                <w:sz w:val="24"/>
                <w:u w:val="none"/>
                <w:lang w:val="en-US" w:eastAsia="zh-CN"/>
                <w14:textFill>
                  <w14:solidFill>
                    <w14:schemeClr w14:val="tx1"/>
                  </w14:solidFill>
                </w14:textFill>
              </w:rPr>
              <w:t>1</w:t>
            </w:r>
            <w:r>
              <w:rPr>
                <w:rFonts w:hint="eastAsia"/>
                <w:b w:val="0"/>
                <w:bCs w:val="0"/>
                <w:color w:val="000000" w:themeColor="text1"/>
                <w:sz w:val="24"/>
                <w:u w:val="none"/>
                <w14:textFill>
                  <w14:solidFill>
                    <w14:schemeClr w14:val="tx1"/>
                  </w14:solidFill>
                </w14:textFill>
              </w:rPr>
              <w:t>座，可满足本项目消防用水的需要。</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b w:val="0"/>
                <w:bCs w:val="0"/>
                <w:color w:val="000000" w:themeColor="text1"/>
                <w:sz w:val="24"/>
                <w:u w:val="none"/>
                <w14:textFill>
                  <w14:solidFill>
                    <w14:schemeClr w14:val="tx1"/>
                  </w14:solidFill>
                </w14:textFill>
              </w:rPr>
            </w:pPr>
            <w:r>
              <w:rPr>
                <w:rFonts w:hint="eastAsia"/>
                <w:b w:val="0"/>
                <w:bCs w:val="0"/>
                <w:color w:val="000000" w:themeColor="text1"/>
                <w:sz w:val="24"/>
                <w:u w:val="none"/>
                <w14:textFill>
                  <w14:solidFill>
                    <w14:schemeClr w14:val="tx1"/>
                  </w14:solidFill>
                </w14:textFill>
              </w:rPr>
              <w:t>经计算，项目所需消防事故废水池总容积最小为</w:t>
            </w:r>
            <w:r>
              <w:rPr>
                <w:rFonts w:hint="eastAsia"/>
                <w:b w:val="0"/>
                <w:bCs w:val="0"/>
                <w:color w:val="000000" w:themeColor="text1"/>
                <w:sz w:val="24"/>
                <w:u w:val="none"/>
                <w:lang w:val="en-US" w:eastAsia="zh-CN"/>
                <w14:textFill>
                  <w14:solidFill>
                    <w14:schemeClr w14:val="tx1"/>
                  </w14:solidFill>
                </w14:textFill>
              </w:rPr>
              <w:t>203.3</w:t>
            </w:r>
            <w:r>
              <w:rPr>
                <w:b w:val="0"/>
                <w:bCs w:val="0"/>
                <w:color w:val="000000" w:themeColor="text1"/>
                <w:sz w:val="24"/>
                <w:u w:val="none"/>
                <w14:textFill>
                  <w14:solidFill>
                    <w14:schemeClr w14:val="tx1"/>
                  </w14:solidFill>
                </w14:textFill>
              </w:rPr>
              <w:t>m</w:t>
            </w:r>
            <w:r>
              <w:rPr>
                <w:b w:val="0"/>
                <w:bCs w:val="0"/>
                <w:color w:val="000000" w:themeColor="text1"/>
                <w:sz w:val="24"/>
                <w:u w:val="none"/>
                <w:vertAlign w:val="superscript"/>
                <w14:textFill>
                  <w14:solidFill>
                    <w14:schemeClr w14:val="tx1"/>
                  </w14:solidFill>
                </w14:textFill>
              </w:rPr>
              <w:t>2</w:t>
            </w:r>
            <w:r>
              <w:rPr>
                <w:rFonts w:hint="eastAsia"/>
                <w:b w:val="0"/>
                <w:bCs w:val="0"/>
                <w:color w:val="000000" w:themeColor="text1"/>
                <w:sz w:val="24"/>
                <w:u w:val="none"/>
                <w14:textFill>
                  <w14:solidFill>
                    <w14:schemeClr w14:val="tx1"/>
                  </w14:solidFill>
                </w14:textFill>
              </w:rPr>
              <w:t>，根据项目设计情况，拟新建一个</w:t>
            </w:r>
            <w:r>
              <w:rPr>
                <w:rFonts w:hint="eastAsia"/>
                <w:b w:val="0"/>
                <w:bCs w:val="0"/>
                <w:color w:val="000000" w:themeColor="text1"/>
                <w:sz w:val="24"/>
                <w:u w:val="none"/>
                <w:lang w:val="en-US" w:eastAsia="zh-CN"/>
                <w14:textFill>
                  <w14:solidFill>
                    <w14:schemeClr w14:val="tx1"/>
                  </w14:solidFill>
                </w14:textFill>
              </w:rPr>
              <w:t>230</w:t>
            </w:r>
            <w:r>
              <w:rPr>
                <w:b w:val="0"/>
                <w:bCs w:val="0"/>
                <w:color w:val="000000" w:themeColor="text1"/>
                <w:sz w:val="24"/>
                <w:u w:val="none"/>
                <w14:textFill>
                  <w14:solidFill>
                    <w14:schemeClr w14:val="tx1"/>
                  </w14:solidFill>
                </w14:textFill>
              </w:rPr>
              <w:t>m</w:t>
            </w:r>
            <w:r>
              <w:rPr>
                <w:b w:val="0"/>
                <w:bCs w:val="0"/>
                <w:color w:val="000000" w:themeColor="text1"/>
                <w:sz w:val="24"/>
                <w:u w:val="none"/>
                <w:vertAlign w:val="superscript"/>
                <w14:textFill>
                  <w14:solidFill>
                    <w14:schemeClr w14:val="tx1"/>
                  </w14:solidFill>
                </w14:textFill>
              </w:rPr>
              <w:t>3</w:t>
            </w:r>
            <w:r>
              <w:rPr>
                <w:rFonts w:hint="eastAsia"/>
                <w:b w:val="0"/>
                <w:bCs w:val="0"/>
                <w:color w:val="000000" w:themeColor="text1"/>
                <w:sz w:val="24"/>
                <w:u w:val="none"/>
                <w14:textFill>
                  <w14:solidFill>
                    <w14:schemeClr w14:val="tx1"/>
                  </w14:solidFill>
                </w14:textFill>
              </w:rPr>
              <w:t>（规格（</w:t>
            </w:r>
            <w:r>
              <w:rPr>
                <w:rFonts w:hint="eastAsia"/>
                <w:b w:val="0"/>
                <w:bCs w:val="0"/>
                <w:color w:val="000000" w:themeColor="text1"/>
                <w:sz w:val="24"/>
                <w:u w:val="none"/>
                <w:lang w:val="en-US" w:eastAsia="zh-CN"/>
                <w14:textFill>
                  <w14:solidFill>
                    <w14:schemeClr w14:val="tx1"/>
                  </w14:solidFill>
                </w14:textFill>
              </w:rPr>
              <w:t>7.6</w:t>
            </w:r>
            <w:r>
              <w:rPr>
                <w:b w:val="0"/>
                <w:bCs w:val="0"/>
                <w:color w:val="000000" w:themeColor="text1"/>
                <w:sz w:val="24"/>
                <w:u w:val="none"/>
                <w14:textFill>
                  <w14:solidFill>
                    <w14:schemeClr w14:val="tx1"/>
                  </w14:solidFill>
                </w14:textFill>
              </w:rPr>
              <w:t>×</w:t>
            </w:r>
            <w:r>
              <w:rPr>
                <w:rFonts w:hint="eastAsia"/>
                <w:b w:val="0"/>
                <w:bCs w:val="0"/>
                <w:color w:val="000000" w:themeColor="text1"/>
                <w:sz w:val="24"/>
                <w:u w:val="none"/>
                <w:lang w:val="en-US" w:eastAsia="zh-CN"/>
                <w14:textFill>
                  <w14:solidFill>
                    <w14:schemeClr w14:val="tx1"/>
                  </w14:solidFill>
                </w14:textFill>
              </w:rPr>
              <w:t>10</w:t>
            </w:r>
            <w:r>
              <w:rPr>
                <w:b w:val="0"/>
                <w:bCs w:val="0"/>
                <w:color w:val="000000" w:themeColor="text1"/>
                <w:sz w:val="24"/>
                <w:u w:val="none"/>
                <w14:textFill>
                  <w14:solidFill>
                    <w14:schemeClr w14:val="tx1"/>
                  </w14:solidFill>
                </w14:textFill>
              </w:rPr>
              <w:t>×</w:t>
            </w:r>
            <w:r>
              <w:rPr>
                <w:rFonts w:hint="eastAsia"/>
                <w:b w:val="0"/>
                <w:bCs w:val="0"/>
                <w:color w:val="000000" w:themeColor="text1"/>
                <w:sz w:val="24"/>
                <w:u w:val="none"/>
                <w:lang w:val="en-US" w:eastAsia="zh-CN"/>
                <w14:textFill>
                  <w14:solidFill>
                    <w14:schemeClr w14:val="tx1"/>
                  </w14:solidFill>
                </w14:textFill>
              </w:rPr>
              <w:t>3</w:t>
            </w:r>
            <w:r>
              <w:rPr>
                <w:b w:val="0"/>
                <w:bCs w:val="0"/>
                <w:color w:val="000000" w:themeColor="text1"/>
                <w:sz w:val="24"/>
                <w:u w:val="none"/>
                <w14:textFill>
                  <w14:solidFill>
                    <w14:schemeClr w14:val="tx1"/>
                  </w14:solidFill>
                </w14:textFill>
              </w:rPr>
              <w:t>m</w:t>
            </w:r>
            <w:r>
              <w:rPr>
                <w:rFonts w:hint="eastAsia"/>
                <w:b w:val="0"/>
                <w:bCs w:val="0"/>
                <w:color w:val="000000" w:themeColor="text1"/>
                <w:sz w:val="24"/>
                <w:u w:val="none"/>
                <w14:textFill>
                  <w14:solidFill>
                    <w14:schemeClr w14:val="tx1"/>
                  </w14:solidFill>
                </w14:textFill>
              </w:rPr>
              <w:t>）的消防事故废水池，同时完善导排系统。</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②风险事故应急方案</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制定风险事故应急预案的目的是为了在发生风险事故时，能以最快的速度发挥最大的效能，有序的实施救援，尽快控制事态的发展，降低事故造成的危害，减少事故造成的损失。</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风险事故应急预案的基本要求包括：科学性、实用性和权威性。风险事故的应急救援工作是一项科学性很强的工作，必须开展科学分析和论证，制定严密、统一、完整的应急预案；应急预案应符合项目的客观情况，具有实用、简单、易掌握等特性，便于实施；对事故处置过程中职责、权限、任务、工作标准、奖励与处罚等做出明确规定，使之成为企业的一项制度，确保其权威性。</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为了有效地处理风险事故，应有切实可行的处置措施。项目风险事故应急措施包括设备器材、事故现场指挥、救护、通讯等系统的建立、现场应急措施方案、事故危害监测队伍、现场撤离和善后措施方案等。</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A.设立报警、通讯系统以及事故处置领导体系；</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B.制定有效处理事故的应急行动方案，并得到有关部门的认可，能与有关部门有效配合；</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C.明确职责，并落实到单位和有关人员；</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D.制定控制和减少事故影响范围、程度以及补救行动的实施计划；</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E.对事故现场管理以及事故处置全过程的监督，应由富有事故处置经验的人员或有关部门工作人员承担；</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F.为提高事故处置队伍的协同救援水平和实战能力，检验救援体系的应急综合运作状态，提高其实战水平，应进行应急救援演练。</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③风险事故应急计划</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本项目必须在平时拟定事故应急预案，以应对可能发生应急危害事故，一旦发生事故，即可以在有充分准备的情况下，对事故进行紧急处理。</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风险事故的应急计划包括应急状态分类、应急计划区和事故等级水平、应急防护、应急医学处理等。因此，风险事故应急计划应当包括以下内容：</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A.项目在生产过程中所使用以及产生的危险源的概况；</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B.应急计划实施区域；</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C.应急和事故灾害控制的组织、责任、授权人；</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D.应急设备、设施、材料和人员调动系统和程序；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E.应急通知和与授权人、有关人员、相关方面的通讯系统和程序；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F.应急环境监测和事故环境影响评价；</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G.应急防护措施，清除泄漏物的措施、方法和使用器材；</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H.提供应急人员接触剂量控制、人员撤离、医疗救护与公众健康保证的系统和程序；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I.应急状态终止与事故影响的恢复措施；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J.应急人员培训、演练和试验应急系统的程序；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K.应急事故的公众教育以及事故信息公布程序；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L.调动第三方资源进行应急支持的安排和程序；</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M.事故的记录和报告程序。</w:t>
            </w: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360" w:lineRule="auto"/>
              <w:ind w:leftChars="200" w:right="0" w:rightChars="0"/>
              <w:jc w:val="both"/>
              <w:textAlignment w:val="auto"/>
              <w:rPr>
                <w:rFonts w:hint="default" w:ascii="Times New Roman" w:hAnsi="Times New Roman" w:eastAsia="宋体" w:cs="Times New Roman"/>
                <w:b/>
                <w:bCs/>
                <w:color w:val="000000" w:themeColor="text1"/>
                <w:sz w:val="24"/>
                <w:szCs w:val="24"/>
                <w:u w:val="single"/>
                <w:lang w:eastAsia="zh-CN"/>
                <w14:textFill>
                  <w14:solidFill>
                    <w14:schemeClr w14:val="tx1"/>
                  </w14:solidFill>
                </w14:textFill>
              </w:rPr>
            </w:pPr>
            <w:r>
              <w:rPr>
                <w:rFonts w:hint="eastAsia" w:ascii="Times New Roman" w:hAnsi="Times New Roman" w:eastAsia="宋体" w:cs="Times New Roman"/>
                <w:b/>
                <w:bCs/>
                <w:color w:val="000000" w:themeColor="text1"/>
                <w:sz w:val="24"/>
                <w:szCs w:val="24"/>
                <w:u w:val="single"/>
                <w:lang w:eastAsia="zh-CN"/>
                <w14:textFill>
                  <w14:solidFill>
                    <w14:schemeClr w14:val="tx1"/>
                  </w14:solidFill>
                </w14:textFill>
              </w:rPr>
              <w:t>（</w:t>
            </w:r>
            <w:r>
              <w:rPr>
                <w:rFonts w:hint="eastAsia" w:ascii="Times New Roman" w:hAnsi="Times New Roman" w:eastAsia="宋体" w:cs="Times New Roman"/>
                <w:b/>
                <w:bCs/>
                <w:color w:val="000000" w:themeColor="text1"/>
                <w:sz w:val="24"/>
                <w:szCs w:val="24"/>
                <w:u w:val="single"/>
                <w:lang w:val="en-US" w:eastAsia="zh-CN"/>
                <w14:textFill>
                  <w14:solidFill>
                    <w14:schemeClr w14:val="tx1"/>
                  </w14:solidFill>
                </w14:textFill>
              </w:rPr>
              <w:t>3</w:t>
            </w:r>
            <w:r>
              <w:rPr>
                <w:rFonts w:hint="eastAsia" w:ascii="Times New Roman" w:hAnsi="Times New Roman" w:eastAsia="宋体" w:cs="Times New Roman"/>
                <w:b/>
                <w:bCs/>
                <w:color w:val="000000" w:themeColor="text1"/>
                <w:sz w:val="24"/>
                <w:szCs w:val="24"/>
                <w:u w:val="single"/>
                <w:lang w:eastAsia="zh-CN"/>
                <w14:textFill>
                  <w14:solidFill>
                    <w14:schemeClr w14:val="tx1"/>
                  </w14:solidFill>
                </w14:textFill>
              </w:rPr>
              <w:t>）</w:t>
            </w:r>
            <w:r>
              <w:rPr>
                <w:rFonts w:hint="default" w:ascii="Times New Roman" w:hAnsi="Times New Roman" w:eastAsia="宋体" w:cs="Times New Roman"/>
                <w:b/>
                <w:bCs/>
                <w:color w:val="000000" w:themeColor="text1"/>
                <w:sz w:val="24"/>
                <w:szCs w:val="24"/>
                <w:u w:val="single"/>
                <w:lang w:eastAsia="zh-CN"/>
                <w14:textFill>
                  <w14:solidFill>
                    <w14:schemeClr w14:val="tx1"/>
                  </w14:solidFill>
                </w14:textFill>
              </w:rPr>
              <w:t>泄漏风险防范措施</w:t>
            </w:r>
          </w:p>
          <w:p>
            <w:pPr>
              <w:keepNext w:val="0"/>
              <w:keepLines w:val="0"/>
              <w:pageBreakBefore w:val="0"/>
              <w:kinsoku/>
              <w:wordWrap/>
              <w:overflowPunct/>
              <w:topLinePunct w:val="0"/>
              <w:autoSpaceDE/>
              <w:autoSpaceDN/>
              <w:bidi w:val="0"/>
              <w:adjustRightInd/>
              <w:snapToGrid/>
              <w:spacing w:beforeAutospacing="0" w:afterAutospacing="0" w:line="360" w:lineRule="auto"/>
              <w:ind w:left="0" w:leftChars="0" w:right="0" w:rightChars="0" w:firstLine="482" w:firstLineChars="200"/>
              <w:jc w:val="both"/>
              <w:textAlignment w:val="auto"/>
              <w:rPr>
                <w:rFonts w:hint="default" w:ascii="Times New Roman" w:hAnsi="Times New Roman" w:eastAsia="宋体" w:cs="Times New Roman"/>
                <w:b/>
                <w:bCs/>
                <w:color w:val="000000" w:themeColor="text1"/>
                <w:sz w:val="24"/>
                <w:u w:val="single"/>
                <w:lang w:eastAsia="zh-CN"/>
                <w14:textFill>
                  <w14:solidFill>
                    <w14:schemeClr w14:val="tx1"/>
                  </w14:solidFill>
                </w14:textFill>
              </w:rPr>
            </w:pPr>
            <w:r>
              <w:rPr>
                <w:rFonts w:hint="default" w:ascii="Times New Roman" w:hAnsi="Times New Roman" w:cs="Times New Roman"/>
                <w:b/>
                <w:bCs/>
                <w:color w:val="000000" w:themeColor="text1"/>
                <w:sz w:val="24"/>
                <w:u w:val="single"/>
                <w:lang w:val="en-US" w:eastAsia="zh-CN"/>
                <w14:textFill>
                  <w14:solidFill>
                    <w14:schemeClr w14:val="tx1"/>
                  </w14:solidFill>
                </w14:textFill>
              </w:rPr>
              <w:t>危废间地面与裙脚要用坚固、防渗的材料建设，防渗层为至少lm厚粘土层（渗透系数≤10</w:t>
            </w:r>
            <w:r>
              <w:rPr>
                <w:rFonts w:hint="default" w:ascii="Times New Roman" w:hAnsi="Times New Roman" w:cs="Times New Roman"/>
                <w:b/>
                <w:bCs/>
                <w:color w:val="000000" w:themeColor="text1"/>
                <w:sz w:val="24"/>
                <w:u w:val="single"/>
                <w:vertAlign w:val="superscript"/>
                <w:lang w:val="en-US" w:eastAsia="zh-CN"/>
                <w14:textFill>
                  <w14:solidFill>
                    <w14:schemeClr w14:val="tx1"/>
                  </w14:solidFill>
                </w14:textFill>
              </w:rPr>
              <w:t>-7</w:t>
            </w:r>
            <w:r>
              <w:rPr>
                <w:rFonts w:hint="default" w:ascii="Times New Roman" w:hAnsi="Times New Roman" w:cs="Times New Roman"/>
                <w:b/>
                <w:bCs/>
                <w:color w:val="000000" w:themeColor="text1"/>
                <w:sz w:val="24"/>
                <w:u w:val="single"/>
                <w:lang w:val="en-US" w:eastAsia="zh-CN"/>
                <w14:textFill>
                  <w14:solidFill>
                    <w14:schemeClr w14:val="tx1"/>
                  </w14:solidFill>
                </w14:textFill>
              </w:rPr>
              <w:t>cm/s），或2mm厚高密度聚乙烯，或至少2mm厚的其它人工材料，渗透系数≤10</w:t>
            </w:r>
            <w:r>
              <w:rPr>
                <w:rFonts w:hint="default" w:ascii="Times New Roman" w:hAnsi="Times New Roman" w:cs="Times New Roman"/>
                <w:b/>
                <w:bCs/>
                <w:color w:val="000000" w:themeColor="text1"/>
                <w:sz w:val="24"/>
                <w:u w:val="single"/>
                <w:vertAlign w:val="superscript"/>
                <w:lang w:val="en-US" w:eastAsia="zh-CN"/>
                <w14:textFill>
                  <w14:solidFill>
                    <w14:schemeClr w14:val="tx1"/>
                  </w14:solidFill>
                </w14:textFill>
              </w:rPr>
              <w:t>-10</w:t>
            </w:r>
            <w:r>
              <w:rPr>
                <w:rFonts w:hint="default" w:ascii="Times New Roman" w:hAnsi="Times New Roman" w:cs="Times New Roman"/>
                <w:b/>
                <w:bCs/>
                <w:color w:val="000000" w:themeColor="text1"/>
                <w:sz w:val="24"/>
                <w:u w:val="single"/>
                <w:lang w:val="en-US" w:eastAsia="zh-CN"/>
                <w14:textFill>
                  <w14:solidFill>
                    <w14:schemeClr w14:val="tx1"/>
                  </w14:solidFill>
                </w14:textFill>
              </w:rPr>
              <w:t>cm/s</w:t>
            </w:r>
            <w:r>
              <w:rPr>
                <w:rFonts w:hint="eastAsia" w:ascii="Times New Roman" w:hAnsi="Times New Roman" w:cs="Times New Roman"/>
                <w:b/>
                <w:bCs/>
                <w:color w:val="000000" w:themeColor="text1"/>
                <w:sz w:val="24"/>
                <w:u w:val="single"/>
                <w:lang w:val="en-US" w:eastAsia="zh-CN"/>
                <w14:textFill>
                  <w14:solidFill>
                    <w14:schemeClr w14:val="tx1"/>
                  </w14:solidFill>
                </w14:textFill>
              </w:rPr>
              <w:t>。并在</w:t>
            </w:r>
            <w:r>
              <w:rPr>
                <w:rFonts w:hint="default" w:ascii="Times New Roman" w:hAnsi="Times New Roman" w:eastAsia="宋体" w:cs="Times New Roman"/>
                <w:b/>
                <w:bCs/>
                <w:color w:val="000000" w:themeColor="text1"/>
                <w:sz w:val="24"/>
                <w:u w:val="single"/>
                <w:lang w:eastAsia="zh-CN"/>
                <w14:textFill>
                  <w14:solidFill>
                    <w14:schemeClr w14:val="tx1"/>
                  </w14:solidFill>
                </w14:textFill>
              </w:rPr>
              <w:t>贮存间内和周围设置</w:t>
            </w:r>
            <w:r>
              <w:rPr>
                <w:rFonts w:hint="default" w:ascii="Times New Roman" w:hAnsi="Times New Roman" w:eastAsia="宋体" w:cs="Times New Roman"/>
                <w:b/>
                <w:bCs/>
                <w:color w:val="000000" w:themeColor="text1"/>
                <w:sz w:val="24"/>
                <w:u w:val="single"/>
                <w14:textFill>
                  <w14:solidFill>
                    <w14:schemeClr w14:val="tx1"/>
                  </w14:solidFill>
                </w14:textFill>
              </w:rPr>
              <w:t>用于扑救小型初始火灾</w:t>
            </w:r>
            <w:r>
              <w:rPr>
                <w:rFonts w:hint="default" w:ascii="Times New Roman" w:hAnsi="Times New Roman" w:eastAsia="宋体" w:cs="Times New Roman"/>
                <w:b/>
                <w:bCs/>
                <w:color w:val="000000" w:themeColor="text1"/>
                <w:sz w:val="24"/>
                <w:u w:val="single"/>
                <w:lang w:eastAsia="zh-CN"/>
                <w14:textFill>
                  <w14:solidFill>
                    <w14:schemeClr w14:val="tx1"/>
                  </w14:solidFill>
                </w14:textFill>
              </w:rPr>
              <w:t>的消防设施。</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w:t>
            </w:r>
            <w:r>
              <w:rPr>
                <w:rFonts w:hint="eastAsia" w:cs="Times New Roman"/>
                <w:color w:val="000000" w:themeColor="text1"/>
                <w:kern w:val="0"/>
                <w:sz w:val="24"/>
                <w:szCs w:val="24"/>
                <w:vertAlign w:val="baseline"/>
                <w:lang w:val="en-US" w:eastAsia="zh-CN"/>
                <w14:textFill>
                  <w14:solidFill>
                    <w14:schemeClr w14:val="tx1"/>
                  </w14:solidFill>
                </w14:textFill>
              </w:rPr>
              <w:t>4</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）分析结论</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评价认为在项目设计和施工过程中，严格按照安全生产的有关规定采取以上措施后，可将工程的事故风险控制在可接受范围。由于本项目位于昭平台水库准保护区内，评价建议及时办理突发环境事件应急预案手续。</w:t>
            </w:r>
          </w:p>
          <w:p>
            <w:pPr>
              <w:pStyle w:val="71"/>
              <w:spacing w:line="360" w:lineRule="auto"/>
              <w:jc w:val="left"/>
              <w:rPr>
                <w:rFonts w:hint="default" w:ascii="Times New Roman" w:hAnsi="Times New Roman" w:eastAsia="宋体" w:cs="Times New Roman"/>
                <w:b/>
                <w:color w:val="000000" w:themeColor="text1"/>
                <w:kern w:val="0"/>
                <w:sz w:val="24"/>
                <w:lang w:val="en-US" w:eastAsia="zh-CN"/>
                <w14:textFill>
                  <w14:solidFill>
                    <w14:schemeClr w14:val="tx1"/>
                  </w14:solidFill>
                </w14:textFill>
              </w:rPr>
            </w:pPr>
            <w:r>
              <w:rPr>
                <w:rFonts w:hint="eastAsia" w:cs="Times New Roman"/>
                <w:b/>
                <w:color w:val="000000" w:themeColor="text1"/>
                <w:kern w:val="0"/>
                <w:sz w:val="24"/>
                <w:lang w:val="en-US" w:eastAsia="zh-CN"/>
                <w14:textFill>
                  <w14:solidFill>
                    <w14:schemeClr w14:val="tx1"/>
                  </w14:solidFill>
                </w14:textFill>
              </w:rPr>
              <w:t>7</w:t>
            </w:r>
            <w:r>
              <w:rPr>
                <w:rFonts w:hint="default" w:ascii="Times New Roman" w:hAnsi="Times New Roman" w:eastAsia="宋体" w:cs="Times New Roman"/>
                <w:b/>
                <w:color w:val="000000" w:themeColor="text1"/>
                <w:kern w:val="0"/>
                <w:sz w:val="24"/>
                <w:lang w:val="en-US" w:eastAsia="zh-CN"/>
                <w14:textFill>
                  <w14:solidFill>
                    <w14:schemeClr w14:val="tx1"/>
                  </w14:solidFill>
                </w14:textFill>
              </w:rPr>
              <w:t>、</w:t>
            </w:r>
            <w:r>
              <w:rPr>
                <w:rFonts w:hint="eastAsia" w:cs="Times New Roman"/>
                <w:b/>
                <w:color w:val="000000" w:themeColor="text1"/>
                <w:kern w:val="0"/>
                <w:sz w:val="24"/>
                <w:lang w:val="en-US" w:eastAsia="zh-CN"/>
                <w14:textFill>
                  <w14:solidFill>
                    <w14:schemeClr w14:val="tx1"/>
                  </w14:solidFill>
                </w14:textFill>
              </w:rPr>
              <w:t>总量控制</w:t>
            </w:r>
          </w:p>
          <w:p>
            <w:pPr>
              <w:keepNext w:val="0"/>
              <w:keepLines w:val="0"/>
              <w:pageBreakBefore w:val="0"/>
              <w:widowControl w:val="0"/>
              <w:kinsoku/>
              <w:wordWrap/>
              <w:overflowPunct/>
              <w:topLinePunct w:val="0"/>
              <w:autoSpaceDE/>
              <w:autoSpaceDN/>
              <w:bidi w:val="0"/>
              <w:adjustRightInd w:val="0"/>
              <w:snapToGrid w:val="0"/>
              <w:spacing w:line="460" w:lineRule="exact"/>
              <w:ind w:firstLine="480" w:firstLineChars="200"/>
              <w:textAlignment w:val="auto"/>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pPr>
            <w:r>
              <w:rPr>
                <w:rFonts w:hint="eastAsia"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本项目建成后污染物排放总量见表4-20</w:t>
            </w:r>
            <w:r>
              <w:rPr>
                <w:rFonts w:hint="default" w:ascii="Times New Roman" w:hAnsi="Times New Roman" w:eastAsia="宋体" w:cs="Times New Roman"/>
                <w:b w:val="0"/>
                <w:bCs w:val="0"/>
                <w:color w:val="000000" w:themeColor="text1"/>
                <w:kern w:val="0"/>
                <w:sz w:val="24"/>
                <w:szCs w:val="24"/>
                <w:u w:val="none"/>
                <w:vertAlign w:val="baseline"/>
                <w:lang w:val="en-US" w:eastAsia="zh-CN"/>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val="0"/>
              <w:snapToGrid w:val="0"/>
              <w:spacing w:line="460" w:lineRule="exact"/>
              <w:ind w:firstLine="422" w:firstLineChars="200"/>
              <w:jc w:val="center"/>
              <w:textAlignment w:val="auto"/>
              <w:rPr>
                <w:rFonts w:hint="default" w:ascii="Times New Roman" w:hAnsi="Times New Roman" w:eastAsia="宋体" w:cs="Times New Roman"/>
                <w:b/>
                <w:bCs/>
                <w:color w:val="000000" w:themeColor="text1"/>
                <w:kern w:val="0"/>
                <w:sz w:val="21"/>
                <w:szCs w:val="21"/>
                <w:u w:val="none"/>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kern w:val="0"/>
                <w:sz w:val="21"/>
                <w:szCs w:val="21"/>
                <w:u w:val="none"/>
                <w:vertAlign w:val="baseline"/>
                <w:lang w:val="en-US" w:eastAsia="zh-CN"/>
                <w14:textFill>
                  <w14:solidFill>
                    <w14:schemeClr w14:val="tx1"/>
                  </w14:solidFill>
                </w14:textFill>
              </w:rPr>
              <w:t>表4-20  建成后污染物排放总量</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6"/>
              <w:gridCol w:w="1657"/>
              <w:gridCol w:w="1657"/>
              <w:gridCol w:w="1657"/>
              <w:gridCol w:w="16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种类</w:t>
                  </w:r>
                </w:p>
              </w:tc>
              <w:tc>
                <w:tcPr>
                  <w:tcW w:w="165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污染物名称</w:t>
                  </w:r>
                </w:p>
              </w:tc>
              <w:tc>
                <w:tcPr>
                  <w:tcW w:w="1657"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重新报批前</w:t>
                  </w:r>
                </w:p>
              </w:tc>
              <w:tc>
                <w:tcPr>
                  <w:tcW w:w="1657"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重新报批后</w:t>
                  </w:r>
                </w:p>
              </w:tc>
              <w:tc>
                <w:tcPr>
                  <w:tcW w:w="1657"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变化量（t/a）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65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657"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排放量（t/a）</w:t>
                  </w:r>
                </w:p>
              </w:tc>
              <w:tc>
                <w:tcPr>
                  <w:tcW w:w="1657"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排放量（t/a）</w:t>
                  </w:r>
                </w:p>
              </w:tc>
              <w:tc>
                <w:tcPr>
                  <w:tcW w:w="1657"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 w:hRule="atLeast"/>
              </w:trPr>
              <w:tc>
                <w:tcPr>
                  <w:tcW w:w="1656" w:type="dxa"/>
                  <w:vMerge w:val="restart"/>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废气</w:t>
                  </w: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颗粒物</w:t>
                  </w: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0.154</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0.1647</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+0.0107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SO</w:t>
                  </w:r>
                  <w:r>
                    <w:rPr>
                      <w:rFonts w:hint="default" w:ascii="Times New Roman" w:hAnsi="Times New Roman" w:eastAsia="宋体" w:cs="Times New Roman"/>
                      <w:color w:val="000000" w:themeColor="text1"/>
                      <w:spacing w:val="-11"/>
                      <w:kern w:val="0"/>
                      <w:sz w:val="21"/>
                      <w:szCs w:val="21"/>
                      <w:vertAlign w:val="subscript"/>
                      <w:lang w:val="en-US" w:eastAsia="zh-CN" w:bidi="ar-SA"/>
                      <w14:textFill>
                        <w14:solidFill>
                          <w14:schemeClr w14:val="tx1"/>
                        </w14:solidFill>
                      </w14:textFill>
                    </w:rPr>
                    <w:t>2</w:t>
                  </w: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460" w:lineRule="exact"/>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0.054</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0.2304</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t>+0.1764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6" w:type="dxa"/>
                  <w:vMerge w:val="continue"/>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center"/>
                    <w:textAlignment w:val="auto"/>
                    <w:outlineLvl w:val="9"/>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NOx</w:t>
                  </w:r>
                </w:p>
              </w:tc>
              <w:tc>
                <w:tcPr>
                  <w:tcW w:w="1657" w:type="dxa"/>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color w:val="000000" w:themeColor="text1"/>
                      <w:spacing w:val="-11"/>
                      <w:kern w:val="0"/>
                      <w:sz w:val="21"/>
                      <w:szCs w:val="21"/>
                      <w:vertAlign w:val="baseline"/>
                      <w:lang w:val="en-US" w:eastAsia="zh-CN" w:bidi="ar-SA"/>
                      <w14:textFill>
                        <w14:solidFill>
                          <w14:schemeClr w14:val="tx1"/>
                        </w14:solidFill>
                      </w14:textFill>
                    </w:rPr>
                    <w:t>0.505</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eastAsia" w:cs="Times New Roman"/>
                      <w:i w:val="0"/>
                      <w:iCs w:val="0"/>
                      <w:color w:val="000000" w:themeColor="text1"/>
                      <w:kern w:val="0"/>
                      <w:sz w:val="21"/>
                      <w:szCs w:val="21"/>
                      <w:u w:val="none"/>
                      <w:lang w:val="en-US" w:eastAsia="zh-CN" w:bidi="ar"/>
                      <w14:textFill>
                        <w14:solidFill>
                          <w14:schemeClr w14:val="tx1"/>
                        </w14:solidFill>
                      </w14:textFill>
                    </w:rPr>
                    <w:t>0.5391</w:t>
                  </w:r>
                </w:p>
              </w:tc>
              <w:tc>
                <w:tcPr>
                  <w:tcW w:w="1657" w:type="dxa"/>
                  <w:vAlign w:val="center"/>
                </w:tcPr>
                <w:p>
                  <w:pPr>
                    <w:keepNext w:val="0"/>
                    <w:keepLines w:val="0"/>
                    <w:pageBreakBefore w:val="0"/>
                    <w:widowControl/>
                    <w:suppressLineNumbers w:val="0"/>
                    <w:kinsoku/>
                    <w:wordWrap/>
                    <w:overflowPunct/>
                    <w:topLinePunct w:val="0"/>
                    <w:bidi w:val="0"/>
                    <w:adjustRightInd w:val="0"/>
                    <w:snapToGrid w:val="0"/>
                    <w:spacing w:line="240" w:lineRule="auto"/>
                    <w:jc w:val="center"/>
                    <w:textAlignment w:val="center"/>
                    <w:rPr>
                      <w:rFonts w:hint="default" w:ascii="Times New Roman" w:hAnsi="Times New Roman" w:eastAsia="宋体" w:cs="Times New Roman"/>
                      <w:b/>
                      <w:snapToGrid w:val="0"/>
                      <w:color w:val="000000" w:themeColor="text1"/>
                      <w:kern w:val="0"/>
                      <w:sz w:val="21"/>
                      <w:szCs w:val="21"/>
                      <w:vertAlign w:val="baseline"/>
                      <w:lang w:val="en-US" w:eastAsia="zh-CN"/>
                      <w14:textFill>
                        <w14:solidFill>
                          <w14:schemeClr w14:val="tx1"/>
                        </w14:solidFill>
                      </w14:textFill>
                    </w:rPr>
                  </w:pPr>
                  <w:r>
                    <w:rPr>
                      <w:rFonts w:hint="eastAsia" w:cs="Times New Roman"/>
                      <w:b w:val="0"/>
                      <w:bCs/>
                      <w:snapToGrid w:val="0"/>
                      <w:color w:val="000000" w:themeColor="text1"/>
                      <w:kern w:val="0"/>
                      <w:sz w:val="21"/>
                      <w:szCs w:val="21"/>
                      <w:vertAlign w:val="baseline"/>
                      <w:lang w:val="en-US" w:eastAsia="zh-CN"/>
                      <w14:textFill>
                        <w14:solidFill>
                          <w14:schemeClr w14:val="tx1"/>
                        </w14:solidFill>
                      </w14:textFill>
                    </w:rPr>
                    <w:t>+</w:t>
                  </w:r>
                  <w:r>
                    <w:rPr>
                      <w:rFonts w:hint="default" w:ascii="Times New Roman" w:hAnsi="Times New Roman" w:eastAsia="宋体" w:cs="Times New Roman"/>
                      <w:b w:val="0"/>
                      <w:bCs/>
                      <w:snapToGrid w:val="0"/>
                      <w:color w:val="000000" w:themeColor="text1"/>
                      <w:kern w:val="0"/>
                      <w:sz w:val="21"/>
                      <w:szCs w:val="21"/>
                      <w:vertAlign w:val="baseline"/>
                      <w:lang w:val="en-US" w:eastAsia="zh-CN"/>
                      <w14:textFill>
                        <w14:solidFill>
                          <w14:schemeClr w14:val="tx1"/>
                        </w14:solidFill>
                      </w14:textFill>
                    </w:rPr>
                    <w:t>0.</w:t>
                  </w:r>
                  <w:r>
                    <w:rPr>
                      <w:rFonts w:hint="eastAsia" w:cs="Times New Roman"/>
                      <w:b w:val="0"/>
                      <w:bCs/>
                      <w:snapToGrid w:val="0"/>
                      <w:color w:val="000000" w:themeColor="text1"/>
                      <w:kern w:val="0"/>
                      <w:sz w:val="21"/>
                      <w:szCs w:val="21"/>
                      <w:vertAlign w:val="baseline"/>
                      <w:lang w:val="en-US" w:eastAsia="zh-CN"/>
                      <w14:textFill>
                        <w14:solidFill>
                          <w14:schemeClr w14:val="tx1"/>
                        </w14:solidFill>
                      </w14:textFill>
                    </w:rPr>
                    <w:t>0</w:t>
                  </w:r>
                  <w:r>
                    <w:rPr>
                      <w:rFonts w:hint="default" w:ascii="Times New Roman" w:hAnsi="Times New Roman" w:eastAsia="宋体" w:cs="Times New Roman"/>
                      <w:b w:val="0"/>
                      <w:bCs/>
                      <w:snapToGrid w:val="0"/>
                      <w:color w:val="000000" w:themeColor="text1"/>
                      <w:kern w:val="0"/>
                      <w:sz w:val="21"/>
                      <w:szCs w:val="21"/>
                      <w:vertAlign w:val="baseline"/>
                      <w:lang w:val="en-US" w:eastAsia="zh-CN"/>
                      <w14:textFill>
                        <w14:solidFill>
                          <w14:schemeClr w14:val="tx1"/>
                        </w14:solidFill>
                      </w14:textFill>
                    </w:rPr>
                    <w:t>3</w:t>
                  </w:r>
                  <w:r>
                    <w:rPr>
                      <w:rFonts w:hint="eastAsia" w:cs="Times New Roman"/>
                      <w:b w:val="0"/>
                      <w:bCs/>
                      <w:snapToGrid w:val="0"/>
                      <w:color w:val="000000" w:themeColor="text1"/>
                      <w:kern w:val="0"/>
                      <w:sz w:val="21"/>
                      <w:szCs w:val="21"/>
                      <w:vertAlign w:val="baseline"/>
                      <w:lang w:val="en-US" w:eastAsia="zh-CN"/>
                      <w14:textFill>
                        <w14:solidFill>
                          <w14:schemeClr w14:val="tx1"/>
                        </w14:solidFill>
                      </w14:textFill>
                    </w:rPr>
                    <w:t>41</w:t>
                  </w:r>
                </w:p>
              </w:tc>
            </w:tr>
          </w:tbl>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（1）废气</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本项目废气污染污染物排放量为：颗粒物0.1647t/a、二氧化硫 0.2304t/a、氮氧化物</w:t>
            </w:r>
            <w:r>
              <w:rPr>
                <w:rFonts w:hint="eastAsia" w:cs="Times New Roman"/>
                <w:color w:val="000000" w:themeColor="text1"/>
                <w:sz w:val="24"/>
                <w:lang w:val="en-US" w:eastAsia="zh-CN"/>
                <w14:textFill>
                  <w14:solidFill>
                    <w14:schemeClr w14:val="tx1"/>
                  </w14:solidFill>
                </w14:textFill>
              </w:rPr>
              <w:t>0.5391</w:t>
            </w:r>
            <w:r>
              <w:rPr>
                <w:rFonts w:hint="eastAsia" w:ascii="Times New Roman" w:hAnsi="Times New Roman" w:eastAsia="宋体" w:cs="Times New Roman"/>
                <w:color w:val="000000" w:themeColor="text1"/>
                <w:sz w:val="24"/>
                <w:lang w:val="en-US" w:eastAsia="zh-CN"/>
                <w14:textFill>
                  <w14:solidFill>
                    <w14:schemeClr w14:val="tx1"/>
                  </w14:solidFill>
                </w14:textFill>
              </w:rPr>
              <w:t>t/a；原环评已申请：颗粒物0.154t/a、二氧化硫 0.054t/a、氮氧化物0.505t/a。本次重新报批新增颗粒物0.0107t/a、二氧化硫 0.1764t/a、氮氧化物</w:t>
            </w:r>
            <w:r>
              <w:rPr>
                <w:rFonts w:hint="eastAsia" w:cs="Times New Roman"/>
                <w:color w:val="000000" w:themeColor="text1"/>
                <w:sz w:val="24"/>
                <w:lang w:val="en-US" w:eastAsia="zh-CN"/>
                <w14:textFill>
                  <w14:solidFill>
                    <w14:schemeClr w14:val="tx1"/>
                  </w14:solidFill>
                </w14:textFill>
              </w:rPr>
              <w:t>0.0341</w:t>
            </w:r>
            <w:r>
              <w:rPr>
                <w:rFonts w:hint="eastAsia" w:ascii="Times New Roman" w:hAnsi="Times New Roman" w:eastAsia="宋体" w:cs="Times New Roman"/>
                <w:color w:val="000000" w:themeColor="text1"/>
                <w:sz w:val="24"/>
                <w:lang w:val="en-US" w:eastAsia="zh-CN"/>
                <w14:textFill>
                  <w14:solidFill>
                    <w14:schemeClr w14:val="tx1"/>
                  </w14:solidFill>
                </w14:textFill>
              </w:rPr>
              <w:t>t/a</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（2）废水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本项目运营期废水主要为浸泡、蒸煮、浓缩过程冷凝定排水、设备清洗废水、</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、职工生活污水。</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浸泡、蒸煮、浓缩过程冷凝定排水定期排入厂区污水处理站处理后，用于厂区洒水抑尘或绿化；设备清洗废水经收集后排入污水处理站，用于厂区洒水抑尘或绿化；</w:t>
            </w:r>
            <w:r>
              <w:rPr>
                <w:rFonts w:hint="eastAsia" w:cs="Times New Roman"/>
                <w:color w:val="000000" w:themeColor="text1"/>
                <w:kern w:val="0"/>
                <w:sz w:val="24"/>
                <w:szCs w:val="24"/>
                <w:vertAlign w:val="baseline"/>
                <w:lang w:val="en-US" w:eastAsia="zh-CN"/>
                <w14:textFill>
                  <w14:solidFill>
                    <w14:schemeClr w14:val="tx1"/>
                  </w14:solidFill>
                </w14:textFill>
              </w:rPr>
              <w:t>锅炉软水制备排污水</w:t>
            </w: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经收集后用于厂区洒水抑尘或绿化；职工生活污水依托河南吉尔木食品有限公司现有化粪池收集后，定期清掏肥田，综合利用。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4"/>
                <w:szCs w:val="24"/>
                <w:vertAlign w:val="baseline"/>
                <w:lang w:val="en-US" w:eastAsia="zh-CN"/>
                <w14:textFill>
                  <w14:solidFill>
                    <w14:schemeClr w14:val="tx1"/>
                  </w14:solidFill>
                </w14:textFill>
              </w:rPr>
              <w:t>因此，本项目运营期废水均不外排，不设置废水总量控制指标。</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（3）固废</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ascii="Times New Roman" w:hAnsi="Times New Roman" w:eastAsia="宋体" w:cs="Times New Roman"/>
                <w:color w:val="000000" w:themeColor="text1"/>
                <w:sz w:val="24"/>
                <w:lang w:val="en-US" w:eastAsia="zh-CN"/>
                <w14:textFill>
                  <w14:solidFill>
                    <w14:schemeClr w14:val="tx1"/>
                  </w14:solidFill>
                </w14:textFill>
              </w:rPr>
            </w:pPr>
            <w:r>
              <w:rPr>
                <w:rFonts w:hint="eastAsia" w:ascii="Times New Roman" w:hAnsi="Times New Roman" w:eastAsia="宋体" w:cs="Times New Roman"/>
                <w:color w:val="000000" w:themeColor="text1"/>
                <w:sz w:val="24"/>
                <w:lang w:val="en-US" w:eastAsia="zh-CN"/>
                <w14:textFill>
                  <w14:solidFill>
                    <w14:schemeClr w14:val="tx1"/>
                  </w14:solidFill>
                </w14:textFill>
              </w:rPr>
              <w:t>固体废物均能得到有效的利用和处置，固废零排放。</w:t>
            </w:r>
          </w:p>
          <w:p>
            <w:pPr>
              <w:keepNext w:val="0"/>
              <w:keepLines w:val="0"/>
              <w:pageBreakBefore w:val="0"/>
              <w:widowControl w:val="0"/>
              <w:kinsoku/>
              <w:wordWrap/>
              <w:overflowPunct/>
              <w:topLinePunct w:val="0"/>
              <w:autoSpaceDE/>
              <w:autoSpaceDN/>
              <w:bidi w:val="0"/>
              <w:adjustRightInd w:val="0"/>
              <w:snapToGrid w:val="0"/>
              <w:spacing w:line="360" w:lineRule="auto"/>
              <w:ind w:right="0" w:rightChars="0"/>
              <w:jc w:val="left"/>
              <w:textAlignment w:val="auto"/>
              <w:outlineLvl w:val="9"/>
              <w:rPr>
                <w:rFonts w:hint="eastAsia" w:ascii="Times New Roman" w:hAnsi="Times New Roman"/>
                <w:b/>
                <w:snapToGrid w:val="0"/>
                <w:color w:val="000000" w:themeColor="text1"/>
                <w:kern w:val="0"/>
                <w:sz w:val="24"/>
                <w14:textFill>
                  <w14:solidFill>
                    <w14:schemeClr w14:val="tx1"/>
                  </w14:solidFill>
                </w14:textFill>
              </w:rPr>
            </w:pPr>
            <w:r>
              <w:rPr>
                <w:rFonts w:hint="eastAsia"/>
                <w:b/>
                <w:snapToGrid w:val="0"/>
                <w:color w:val="000000" w:themeColor="text1"/>
                <w:kern w:val="0"/>
                <w:sz w:val="24"/>
                <w:lang w:val="en-US" w:eastAsia="zh-CN"/>
                <w14:textFill>
                  <w14:solidFill>
                    <w14:schemeClr w14:val="tx1"/>
                  </w14:solidFill>
                </w14:textFill>
              </w:rPr>
              <w:t>8、</w:t>
            </w:r>
            <w:r>
              <w:rPr>
                <w:rFonts w:hint="eastAsia" w:ascii="Times New Roman" w:hAnsi="Times New Roman"/>
                <w:b/>
                <w:snapToGrid w:val="0"/>
                <w:color w:val="000000" w:themeColor="text1"/>
                <w:kern w:val="0"/>
                <w:sz w:val="24"/>
                <w14:textFill>
                  <w14:solidFill>
                    <w14:schemeClr w14:val="tx1"/>
                  </w14:solidFill>
                </w14:textFill>
              </w:rPr>
              <w:t>环保投资估算</w:t>
            </w: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left"/>
              <w:textAlignment w:val="auto"/>
              <w:outlineLvl w:val="9"/>
              <w:rPr>
                <w:rFonts w:hint="eastAsia"/>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本项目</w:t>
            </w:r>
            <w:r>
              <w:rPr>
                <w:rFonts w:hint="eastAsia"/>
                <w:color w:val="000000" w:themeColor="text1"/>
                <w:sz w:val="24"/>
                <w:lang w:eastAsia="zh-CN"/>
                <w14:textFill>
                  <w14:solidFill>
                    <w14:schemeClr w14:val="tx1"/>
                  </w14:solidFill>
                </w14:textFill>
              </w:rPr>
              <w:t>环保投资总额为</w:t>
            </w:r>
            <w:r>
              <w:rPr>
                <w:rFonts w:hint="eastAsia"/>
                <w:color w:val="000000" w:themeColor="text1"/>
                <w:sz w:val="24"/>
                <w:lang w:val="en-US" w:eastAsia="zh-CN"/>
                <w14:textFill>
                  <w14:solidFill>
                    <w14:schemeClr w14:val="tx1"/>
                  </w14:solidFill>
                </w14:textFill>
              </w:rPr>
              <w:t>66</w:t>
            </w:r>
            <w:r>
              <w:rPr>
                <w:rFonts w:hint="eastAsia"/>
                <w:color w:val="000000" w:themeColor="text1"/>
                <w:sz w:val="24"/>
                <w:lang w:eastAsia="zh-CN"/>
                <w14:textFill>
                  <w14:solidFill>
                    <w14:schemeClr w14:val="tx1"/>
                  </w14:solidFill>
                </w14:textFill>
              </w:rPr>
              <w:t>万元，占本项目总投资的</w:t>
            </w:r>
            <w:r>
              <w:rPr>
                <w:rFonts w:hint="eastAsia"/>
                <w:color w:val="000000" w:themeColor="text1"/>
                <w:sz w:val="24"/>
                <w:lang w:val="en-US" w:eastAsia="zh-CN"/>
                <w14:textFill>
                  <w14:solidFill>
                    <w14:schemeClr w14:val="tx1"/>
                  </w14:solidFill>
                </w14:textFill>
              </w:rPr>
              <w:t>2.2</w:t>
            </w:r>
            <w:r>
              <w:rPr>
                <w:rFonts w:hint="eastAsia"/>
                <w:color w:val="000000" w:themeColor="text1"/>
                <w:sz w:val="24"/>
                <w:lang w:eastAsia="zh-CN"/>
                <w14:textFill>
                  <w14:solidFill>
                    <w14:schemeClr w14:val="tx1"/>
                  </w14:solidFill>
                </w14:textFill>
              </w:rPr>
              <w:t>%。本项目环保投资情况分别见表</w:t>
            </w:r>
            <w:r>
              <w:rPr>
                <w:rFonts w:hint="eastAsia"/>
                <w:color w:val="000000" w:themeColor="text1"/>
                <w:sz w:val="24"/>
                <w:lang w:val="en-US" w:eastAsia="zh-CN"/>
                <w14:textFill>
                  <w14:solidFill>
                    <w14:schemeClr w14:val="tx1"/>
                  </w14:solidFill>
                </w14:textFill>
              </w:rPr>
              <w:t>4-21</w:t>
            </w:r>
            <w:r>
              <w:rPr>
                <w:rFonts w:hint="eastAsia"/>
                <w:color w:val="000000" w:themeColor="text1"/>
                <w:sz w:val="24"/>
                <w:lang w:eastAsia="zh-CN"/>
                <w14:textFill>
                  <w14:solidFill>
                    <w14:schemeClr w14:val="tx1"/>
                  </w14:solidFill>
                </w14:textFill>
              </w:rPr>
              <w:t>。</w:t>
            </w:r>
          </w:p>
          <w:p>
            <w:pPr>
              <w:pStyle w:val="5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center"/>
              <w:textAlignment w:val="auto"/>
              <w:outlineLvl w:val="1"/>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eastAsia" w:ascii="Times New Roman" w:hAnsi="Times New Roman" w:eastAsia="宋体"/>
                <w:color w:val="000000" w:themeColor="text1"/>
                <w:sz w:val="24"/>
                <w:szCs w:val="24"/>
                <w:lang w:val="en-US" w:eastAsia="zh-CN"/>
                <w14:textFill>
                  <w14:solidFill>
                    <w14:schemeClr w14:val="tx1"/>
                  </w14:solidFill>
                </w14:textFill>
              </w:rPr>
              <w:t>表</w:t>
            </w:r>
            <w:r>
              <w:rPr>
                <w:rFonts w:hint="eastAsia" w:eastAsia="宋体"/>
                <w:color w:val="000000" w:themeColor="text1"/>
                <w:sz w:val="24"/>
                <w:szCs w:val="24"/>
                <w:lang w:val="en-US" w:eastAsia="zh-CN"/>
                <w14:textFill>
                  <w14:solidFill>
                    <w14:schemeClr w14:val="tx1"/>
                  </w14:solidFill>
                </w14:textFill>
              </w:rPr>
              <w:t>4-21</w:t>
            </w:r>
            <w:r>
              <w:rPr>
                <w:rFonts w:hint="eastAsia" w:ascii="Times New Roman" w:hAnsi="Times New Roman" w:eastAsia="宋体"/>
                <w:color w:val="000000" w:themeColor="text1"/>
                <w:sz w:val="24"/>
                <w:szCs w:val="24"/>
                <w:lang w:val="en-US" w:eastAsia="zh-CN"/>
                <w14:textFill>
                  <w14:solidFill>
                    <w14:schemeClr w14:val="tx1"/>
                  </w14:solidFill>
                </w14:textFill>
              </w:rPr>
              <w:t xml:space="preserve">  本项目环保投资一览表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84"/>
              <w:gridCol w:w="2083"/>
              <w:gridCol w:w="665"/>
              <w:gridCol w:w="1037"/>
              <w:gridCol w:w="1710"/>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pPr>
                  <w:r>
                    <w:rPr>
                      <w:rFonts w:hint="eastAsia"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t>项目</w:t>
                  </w:r>
                </w:p>
              </w:tc>
              <w:tc>
                <w:tcPr>
                  <w:tcW w:w="3316"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t>环保设施名称</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t>投资额（万元）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废气治理</w:t>
                  </w: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提取及浓缩过程产生的植物气味</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车间通排风+密闭设备</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锅炉加热过程产生的废气</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低氮燃烧器+</w:t>
                  </w: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8</w:t>
                  </w: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m高排气筒（1套）</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喷雾及干燥工序</w:t>
                  </w: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产生的颗粒物</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旋风+布袋除尘器+</w:t>
                  </w: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20</w:t>
                  </w: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m高排气筒</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污水处理站恶臭</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周边设置绿化带，定期投加除臭剂</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废水治理</w:t>
                  </w: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浸泡、蒸煮、浓缩过程冷凝定排水</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定期排入厂区地埋式一体化污水处理站（1座，处理规模为10m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w:t>
                  </w: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02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设备清洗废水</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收集后排入污水处理站（1座，处理规模为10m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02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锅炉软水制备排污水</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职工生活污水</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依托河南吉尔木食品有限公司现有化粪池收集后，定期清掏肥田，综合利用。</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噪声治理</w:t>
                  </w: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设备运行噪声</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基础减振、厂房隔声</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固体废物</w:t>
                  </w: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香菇、木耳及猴头菇等其他菌类残渣</w:t>
                  </w:r>
                </w:p>
              </w:tc>
              <w:tc>
                <w:tcPr>
                  <w:tcW w:w="1027"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密闭桶装</w:t>
                  </w:r>
                </w:p>
              </w:tc>
              <w:tc>
                <w:tcPr>
                  <w:tcW w:w="1032"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一般固废暂存间（1座，5m</w:t>
                  </w:r>
                  <w:r>
                    <w:rPr>
                      <w:rFonts w:hint="eastAsia"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2</w:t>
                  </w: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c>
                <w:tcPr>
                  <w:tcW w:w="1029"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废包装材料</w:t>
                  </w:r>
                </w:p>
              </w:tc>
              <w:tc>
                <w:tcPr>
                  <w:tcW w:w="1027"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c>
                <w:tcPr>
                  <w:tcW w:w="1032"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029"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废离子交换树脂</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由厂家更换后直接带走</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污泥</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经密闭桶收集后由周围村民拉走，作为肥料处置。</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0.</w:t>
                  </w: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职工生活垃圾</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若干垃圾桶</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25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废导热油</w:t>
                  </w:r>
                </w:p>
              </w:tc>
              <w:tc>
                <w:tcPr>
                  <w:tcW w:w="2059"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危险废物经集中收集后，委托有资质的单位进行处置，确保生产过程产生的危险废物得到妥善处置</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风险防范</w:t>
                  </w:r>
                </w:p>
              </w:tc>
              <w:tc>
                <w:tcPr>
                  <w:tcW w:w="3316"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设置1座</w:t>
                  </w:r>
                  <w:r>
                    <w:rPr>
                      <w:rFonts w:hint="eastAsia"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230</w:t>
                  </w: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m</w:t>
                  </w:r>
                  <w:r>
                    <w:rPr>
                      <w:rFonts w:hint="eastAsia"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事故池并设置导流沟，天然气储罐及燃气锅炉位于通风房间内，天然气储罐四周设置围堰，围堰地面及墙体做好防渗，并安装气体泄漏报警装置等设施，安排专人定期检查天然气管道及储罐；厂区配备应急物资，车间内严禁明火。</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54" w:type="pct"/>
                  <w:tcBorders>
                    <w:tl2br w:val="nil"/>
                    <w:tr2bl w:val="nil"/>
                  </w:tcBorders>
                  <w:noWrap w:val="0"/>
                  <w:vAlign w:val="center"/>
                </w:tcPr>
                <w:p>
                  <w:pPr>
                    <w:keepNext/>
                    <w:widowControl/>
                    <w:snapToGrid w:val="0"/>
                    <w:jc w:val="center"/>
                    <w:rPr>
                      <w:rFonts w:hint="eastAsia"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eastAsia"/>
                      <w:b/>
                      <w:bCs/>
                      <w:color w:val="000000" w:themeColor="text1"/>
                      <w:szCs w:val="21"/>
                      <w:highlight w:val="none"/>
                      <w:u w:val="single"/>
                      <w:lang w:val="en-US" w:eastAsia="zh-CN"/>
                      <w14:textFill>
                        <w14:solidFill>
                          <w14:schemeClr w14:val="tx1"/>
                        </w14:solidFill>
                      </w14:textFill>
                    </w:rPr>
                    <w:t>其他</w:t>
                  </w:r>
                </w:p>
              </w:tc>
              <w:tc>
                <w:tcPr>
                  <w:tcW w:w="1658" w:type="pct"/>
                  <w:gridSpan w:val="2"/>
                  <w:tcBorders>
                    <w:tl2br w:val="nil"/>
                    <w:tr2bl w:val="nil"/>
                  </w:tcBorders>
                  <w:noWrap w:val="0"/>
                  <w:vAlign w:val="center"/>
                </w:tcPr>
                <w:p>
                  <w:pPr>
                    <w:jc w:val="center"/>
                    <w:rPr>
                      <w:rFonts w:hint="eastAsia"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监测监控水平</w:t>
                  </w:r>
                </w:p>
              </w:tc>
              <w:tc>
                <w:tcPr>
                  <w:tcW w:w="1658" w:type="pct"/>
                  <w:gridSpan w:val="2"/>
                  <w:tcBorders>
                    <w:tl2br w:val="nil"/>
                    <w:tr2bl w:val="nil"/>
                  </w:tcBorders>
                  <w:noWrap w:val="0"/>
                  <w:vAlign w:val="center"/>
                </w:tcPr>
                <w:p>
                  <w:pPr>
                    <w:jc w:val="center"/>
                    <w:rPr>
                      <w:rFonts w:hint="default" w:ascii="Times New Roman" w:hAnsi="Times New Roman" w:eastAsia="宋体" w:cs="Times New Roman"/>
                      <w:b/>
                      <w:bCs/>
                      <w:color w:val="000000" w:themeColor="text1"/>
                      <w:kern w:val="0"/>
                      <w:sz w:val="21"/>
                      <w:szCs w:val="21"/>
                      <w:u w:val="single"/>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按照要求安装视频监控、智能用电监控，并按要求联网运行</w:t>
                  </w:r>
                </w:p>
              </w:tc>
              <w:tc>
                <w:tcPr>
                  <w:tcW w:w="1029" w:type="pct"/>
                  <w:tcBorders>
                    <w:tl2br w:val="nil"/>
                    <w:tr2bl w:val="nil"/>
                  </w:tcBorders>
                  <w:noWrap w:val="0"/>
                  <w:vAlign w:val="center"/>
                </w:tcPr>
                <w:p>
                  <w:pPr>
                    <w:jc w:val="center"/>
                    <w:rPr>
                      <w:rFonts w:hint="default"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6"/>
                      <w:kern w:val="0"/>
                      <w:sz w:val="21"/>
                      <w:szCs w:val="21"/>
                      <w:u w:val="single"/>
                      <w:vertAlign w:val="baseline"/>
                      <w:lang w:val="en-US" w:eastAsia="zh-CN" w:bidi="ar-SA"/>
                      <w14:textFill>
                        <w14:solidFill>
                          <w14:schemeClr w14:val="tx1"/>
                        </w14:solidFill>
                      </w14:textFill>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970" w:type="pct"/>
                  <w:gridSpan w:val="5"/>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合计</w:t>
                  </w:r>
                </w:p>
              </w:tc>
              <w:tc>
                <w:tcPr>
                  <w:tcW w:w="1029"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66</w:t>
                  </w:r>
                </w:p>
              </w:tc>
            </w:tr>
          </w:tbl>
          <w:p>
            <w:pPr>
              <w:spacing w:line="500" w:lineRule="exact"/>
              <w:rPr>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9、</w:t>
            </w:r>
            <w:r>
              <w:rPr>
                <w:b/>
                <w:color w:val="000000" w:themeColor="text1"/>
                <w:sz w:val="24"/>
                <w14:textFill>
                  <w14:solidFill>
                    <w14:schemeClr w14:val="tx1"/>
                  </w14:solidFill>
                </w14:textFill>
              </w:rPr>
              <w:t>环保验收内容</w:t>
            </w:r>
          </w:p>
          <w:p>
            <w:pPr>
              <w:spacing w:line="500" w:lineRule="exact"/>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本项目环保设施竣工验收一览表见表</w:t>
            </w:r>
            <w:r>
              <w:rPr>
                <w:rFonts w:hint="eastAsia"/>
                <w:color w:val="000000" w:themeColor="text1"/>
                <w:sz w:val="24"/>
                <w:lang w:val="en-US" w:eastAsia="zh-CN"/>
                <w14:textFill>
                  <w14:solidFill>
                    <w14:schemeClr w14:val="tx1"/>
                  </w14:solidFill>
                </w14:textFill>
              </w:rPr>
              <w:t>4-22</w:t>
            </w:r>
            <w:r>
              <w:rPr>
                <w:color w:val="000000" w:themeColor="text1"/>
                <w:sz w:val="24"/>
                <w14:textFill>
                  <w14:solidFill>
                    <w14:schemeClr w14:val="tx1"/>
                  </w14:solidFill>
                </w14:textFill>
              </w:rPr>
              <w:t>。</w:t>
            </w:r>
          </w:p>
          <w:p>
            <w:pPr>
              <w:adjustRightInd w:val="0"/>
              <w:snapToGrid w:val="0"/>
              <w:spacing w:line="500" w:lineRule="exact"/>
              <w:jc w:val="center"/>
              <w:rPr>
                <w:rFonts w:hint="eastAsia"/>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表</w:t>
            </w:r>
            <w:r>
              <w:rPr>
                <w:rFonts w:hint="eastAsia"/>
                <w:b/>
                <w:color w:val="000000" w:themeColor="text1"/>
                <w:szCs w:val="21"/>
                <w:lang w:val="en-US" w:eastAsia="zh-CN"/>
                <w14:textFill>
                  <w14:solidFill>
                    <w14:schemeClr w14:val="tx1"/>
                  </w14:solidFill>
                </w14:textFill>
              </w:rPr>
              <w:t>4-22</w:t>
            </w:r>
            <w:r>
              <w:rPr>
                <w:rFonts w:hint="eastAsia"/>
                <w:b/>
                <w:color w:val="000000" w:themeColor="text1"/>
                <w:szCs w:val="21"/>
                <w14:textFill>
                  <w14:solidFill>
                    <w14:schemeClr w14:val="tx1"/>
                  </w14:solidFill>
                </w14:textFill>
              </w:rPr>
              <w:t xml:space="preserve">  </w:t>
            </w:r>
            <w:r>
              <w:rPr>
                <w:rFonts w:hint="eastAsia"/>
                <w:b/>
                <w:color w:val="000000" w:themeColor="text1"/>
                <w:szCs w:val="21"/>
                <w:lang w:eastAsia="zh-CN"/>
                <w14:textFill>
                  <w14:solidFill>
                    <w14:schemeClr w14:val="tx1"/>
                  </w14:solidFill>
                </w14:textFill>
              </w:rPr>
              <w:t>本项目</w:t>
            </w:r>
            <w:r>
              <w:rPr>
                <w:rFonts w:hint="eastAsia"/>
                <w:b/>
                <w:color w:val="000000" w:themeColor="text1"/>
                <w:szCs w:val="21"/>
                <w14:textFill>
                  <w14:solidFill>
                    <w14:schemeClr w14:val="tx1"/>
                  </w14:solidFill>
                </w14:textFill>
              </w:rPr>
              <w:t>环保设施验收一览表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1"/>
              <w:gridCol w:w="2448"/>
              <w:gridCol w:w="43"/>
              <w:gridCol w:w="413"/>
              <w:gridCol w:w="1622"/>
              <w:gridCol w:w="1079"/>
              <w:gridCol w:w="18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pPr>
                  <w:r>
                    <w:rPr>
                      <w:rFonts w:hint="default"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t>项目</w:t>
                  </w:r>
                </w:p>
              </w:tc>
              <w:tc>
                <w:tcPr>
                  <w:tcW w:w="2731" w:type="pct"/>
                  <w:gridSpan w:val="4"/>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6"/>
                      <w:kern w:val="0"/>
                      <w:sz w:val="21"/>
                      <w:szCs w:val="21"/>
                      <w:vertAlign w:val="baseline"/>
                      <w:lang w:val="en-US" w:eastAsia="zh-CN"/>
                      <w14:textFill>
                        <w14:solidFill>
                          <w14:schemeClr w14:val="tx1"/>
                        </w14:solidFill>
                      </w14:textFill>
                    </w:rPr>
                    <w:t>验收内容</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pacing w:val="-6"/>
                      <w:kern w:val="0"/>
                      <w:sz w:val="21"/>
                      <w:szCs w:val="21"/>
                      <w:vertAlign w:val="baseline"/>
                      <w:lang w:val="en-US" w:eastAsia="zh-CN" w:bidi="ar-SA"/>
                      <w14:textFill>
                        <w14:solidFill>
                          <w14:schemeClr w14:val="tx1"/>
                        </w14:solidFill>
                      </w14:textFill>
                    </w:rPr>
                    <w:t>环保要求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废气治理</w:t>
                  </w: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提取及浓缩过程产生的植物气味</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车间通排风+密闭设备</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《恶臭污染物排放标准》（GB14554-93）二级标准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锅炉加热过程产生的废气</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低氮燃烧器+</w:t>
                  </w: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8</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m高排气筒（1套）</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河南省地方标准《锅炉大气污染物排放标准》（DB41/2089—2021）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喷雾及干燥工序产生的颗粒物</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旋风+布袋除尘器+20m高排气筒</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《大气污染物综合排放标准》（GB16297-1996）表2二级标准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污水处理站恶臭</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周边设置绿化带，定期投加除臭剂</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《恶臭污染物排放标准》（GB14554-93）二级标准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废水治理</w:t>
                  </w: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浸泡、蒸煮、浓缩过程冷凝定排水</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定期排入厂区地埋式一体化污水处理站（1座，处理规模为10m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w:t>
                  </w:r>
                  <w:r>
                    <w:rPr>
                      <w:rFonts w:hint="eastAsia"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771" w:type="pct"/>
                  <w:gridSpan w:val="2"/>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《农田灌溉水质标准》</w:t>
                  </w:r>
                </w:p>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（GB 5084-2021）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设备清洗废水</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收集后排入污水处理站（1座，处理规模为10m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eastAsia" w:cs="Times New Roman"/>
                      <w:b w:val="0"/>
                      <w:bCs w:val="0"/>
                      <w:color w:val="000000" w:themeColor="text1"/>
                      <w:spacing w:val="-6"/>
                      <w:kern w:val="0"/>
                      <w:sz w:val="21"/>
                      <w:szCs w:val="21"/>
                      <w:vertAlign w:val="baseline"/>
                      <w:lang w:val="en-US" w:eastAsia="zh-CN" w:bidi="ar-SA"/>
                      <w14:textFill>
                        <w14:solidFill>
                          <w14:schemeClr w14:val="tx1"/>
                        </w14:solidFill>
                      </w14:textFill>
                    </w:rPr>
                    <w:t>锅炉软水制备排污水</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职工生活污水</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依托河南吉尔木食品有限公司现有化粪池收集后，定期清掏肥田，综合利用。</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噪声治理</w:t>
                  </w: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设备运行噪声</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基础减振、厂房隔声</w:t>
                  </w:r>
                </w:p>
              </w:tc>
              <w:tc>
                <w:tcPr>
                  <w:tcW w:w="1771"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《工业企业厂界环境噪声排放标准》（GB12348-2008）</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2</w:t>
                  </w:r>
                  <w:r>
                    <w:rPr>
                      <w:rFonts w:hint="default" w:ascii="Times New Roman" w:hAnsi="Times New Roman" w:eastAsia="宋体" w:cs="Times New Roman"/>
                      <w:color w:val="000000" w:themeColor="text1"/>
                      <w:sz w:val="21"/>
                      <w:szCs w:val="21"/>
                      <w14:textFill>
                        <w14:solidFill>
                          <w14:schemeClr w14:val="tx1"/>
                        </w14:solidFill>
                      </w14:textFill>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固体废物</w:t>
                  </w: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香菇、木耳及猴头菇等其他菌类残渣</w:t>
                  </w:r>
                </w:p>
              </w:tc>
              <w:tc>
                <w:tcPr>
                  <w:tcW w:w="275"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密闭桶装</w:t>
                  </w:r>
                </w:p>
              </w:tc>
              <w:tc>
                <w:tcPr>
                  <w:tcW w:w="978" w:type="pct"/>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一般固废暂存间（1座，5m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2</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c>
                <w:tcPr>
                  <w:tcW w:w="1771" w:type="pct"/>
                  <w:gridSpan w:val="2"/>
                  <w:vMerge w:val="restar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固废处置率100%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废包装材料</w:t>
                  </w:r>
                </w:p>
              </w:tc>
              <w:tc>
                <w:tcPr>
                  <w:tcW w:w="275" w:type="pct"/>
                  <w:gridSpan w:val="2"/>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w:t>
                  </w:r>
                </w:p>
              </w:tc>
              <w:tc>
                <w:tcPr>
                  <w:tcW w:w="978"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废离子交换树脂</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由厂家更换后直接带走</w:t>
                  </w: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污泥</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经密闭桶收集后由周围村民拉走，作为肥料处置。</w:t>
                  </w: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职工生活垃圾</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若干垃圾桶</w:t>
                  </w: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c>
                <w:tcPr>
                  <w:tcW w:w="1477"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废导热油</w:t>
                  </w:r>
                </w:p>
              </w:tc>
              <w:tc>
                <w:tcPr>
                  <w:tcW w:w="1254" w:type="pct"/>
                  <w:gridSpan w:val="3"/>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i w:val="0"/>
                      <w:iCs w:val="0"/>
                      <w:color w:val="000000" w:themeColor="text1"/>
                      <w:sz w:val="21"/>
                      <w:szCs w:val="21"/>
                      <w:u w:val="none"/>
                      <w14:textFill>
                        <w14:solidFill>
                          <w14:schemeClr w14:val="tx1"/>
                        </w14:solidFill>
                      </w14:textFill>
                    </w:rPr>
                    <w:t>危险废物经集中收集后，委托有资质的单位进行处置，确保生产过程产生的危险废物得到妥善处置</w:t>
                  </w:r>
                </w:p>
              </w:tc>
              <w:tc>
                <w:tcPr>
                  <w:tcW w:w="1771" w:type="pct"/>
                  <w:gridSpan w:val="2"/>
                  <w:vMerge w:val="continue"/>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96" w:type="pct"/>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风险防范</w:t>
                  </w:r>
                </w:p>
              </w:tc>
              <w:tc>
                <w:tcPr>
                  <w:tcW w:w="4503" w:type="pct"/>
                  <w:gridSpan w:val="6"/>
                  <w:tcBorders>
                    <w:tl2br w:val="nil"/>
                    <w:tr2bl w:val="nil"/>
                  </w:tcBorders>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设置1座</w:t>
                  </w:r>
                  <w:r>
                    <w:rPr>
                      <w:rFonts w:hint="eastAsia"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230</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事故池并设置导流沟，天然气储罐及燃气锅炉位于通风房间内，天然气储罐四周设置围堰，围堰地面及墙体做好防渗，并安装气体泄漏报警装置等设施，安排专人定期检查天然气管道及储罐。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 w:hRule="atLeast"/>
                <w:jc w:val="center"/>
              </w:trPr>
              <w:tc>
                <w:tcPr>
                  <w:tcW w:w="496" w:type="pct"/>
                  <w:tcBorders>
                    <w:tl2br w:val="nil"/>
                    <w:tr2bl w:val="nil"/>
                  </w:tcBorders>
                  <w:noWrap w:val="0"/>
                  <w:vAlign w:val="center"/>
                </w:tcPr>
                <w:p>
                  <w:pPr>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其他</w:t>
                  </w:r>
                </w:p>
              </w:tc>
              <w:tc>
                <w:tcPr>
                  <w:tcW w:w="1503" w:type="pct"/>
                  <w:gridSpan w:val="2"/>
                  <w:tcBorders>
                    <w:tl2br w:val="nil"/>
                    <w:tr2bl w:val="nil"/>
                  </w:tcBorders>
                  <w:noWrap w:val="0"/>
                  <w:vAlign w:val="center"/>
                </w:tcPr>
                <w:p>
                  <w:pPr>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监测监控水平</w:t>
                  </w:r>
                </w:p>
              </w:tc>
              <w:tc>
                <w:tcPr>
                  <w:tcW w:w="1879" w:type="pct"/>
                  <w:gridSpan w:val="3"/>
                  <w:tcBorders>
                    <w:tl2br w:val="nil"/>
                    <w:tr2bl w:val="nil"/>
                  </w:tcBorders>
                  <w:noWrap w:val="0"/>
                  <w:vAlign w:val="center"/>
                </w:tcPr>
                <w:p>
                  <w:pPr>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default" w:ascii="Times New Roman" w:hAnsi="Times New Roman" w:eastAsia="宋体" w:cs="Times New Roman"/>
                      <w:b/>
                      <w:bCs/>
                      <w:color w:val="000000" w:themeColor="text1"/>
                      <w:kern w:val="0"/>
                      <w:sz w:val="21"/>
                      <w:szCs w:val="21"/>
                      <w:u w:val="single"/>
                      <w14:textFill>
                        <w14:solidFill>
                          <w14:schemeClr w14:val="tx1"/>
                        </w14:solidFill>
                      </w14:textFill>
                    </w:rPr>
                    <w:t>按照要求安装视频监控、智能用电监控，并按要求联网运行</w:t>
                  </w:r>
                </w:p>
              </w:tc>
              <w:tc>
                <w:tcPr>
                  <w:tcW w:w="1120" w:type="pct"/>
                  <w:tcBorders>
                    <w:tl2br w:val="nil"/>
                    <w:tr2bl w:val="nil"/>
                  </w:tcBorders>
                  <w:noWrap w:val="0"/>
                  <w:vAlign w:val="center"/>
                </w:tcPr>
                <w:p>
                  <w:pPr>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color w:val="000000" w:themeColor="text1"/>
                      <w:spacing w:val="-6"/>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z w:val="21"/>
                      <w:szCs w:val="21"/>
                      <w:u w:val="single"/>
                      <w:lang w:val="en-US" w:eastAsia="zh-CN"/>
                      <w14:textFill>
                        <w14:solidFill>
                          <w14:schemeClr w14:val="tx1"/>
                        </w14:solidFill>
                      </w14:textFill>
                    </w:rPr>
                    <w:t>建设按照绩效分级</w:t>
                  </w:r>
                  <w:r>
                    <w:rPr>
                      <w:rFonts w:hint="default" w:ascii="Times New Roman" w:hAnsi="Times New Roman" w:eastAsia="宋体" w:cs="Times New Roman"/>
                      <w:b/>
                      <w:bCs/>
                      <w:color w:val="000000" w:themeColor="text1"/>
                      <w:sz w:val="21"/>
                      <w:szCs w:val="21"/>
                      <w:u w:val="single"/>
                      <w:lang w:val="en-US" w:eastAsia="zh-CN"/>
                      <w14:textFill>
                        <w14:solidFill>
                          <w14:schemeClr w14:val="tx1"/>
                        </w14:solidFill>
                      </w14:textFill>
                    </w:rPr>
                    <w:t>A级企业</w:t>
                  </w:r>
                  <w:r>
                    <w:rPr>
                      <w:rFonts w:hint="eastAsia" w:cs="Times New Roman"/>
                      <w:b/>
                      <w:bCs/>
                      <w:color w:val="000000" w:themeColor="text1"/>
                      <w:sz w:val="21"/>
                      <w:szCs w:val="21"/>
                      <w:u w:val="single"/>
                      <w:lang w:val="en-US" w:eastAsia="zh-CN"/>
                      <w14:textFill>
                        <w14:solidFill>
                          <w14:schemeClr w14:val="tx1"/>
                        </w14:solidFill>
                      </w14:textFill>
                    </w:rPr>
                    <w:t>建设</w:t>
                  </w:r>
                </w:p>
              </w:tc>
            </w:tr>
          </w:tbl>
          <w:p>
            <w:pPr>
              <w:pStyle w:val="2"/>
              <w:rPr>
                <w:rFonts w:hint="eastAsia"/>
                <w:b/>
                <w:color w:val="000000" w:themeColor="text1"/>
                <w:szCs w:val="2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pStyle w:val="2"/>
              <w:ind w:left="0" w:leftChars="0" w:firstLine="0" w:firstLineChars="0"/>
              <w:rPr>
                <w:rFonts w:hint="eastAsia"/>
                <w:color w:val="000000" w:themeColor="text1"/>
                <w14:textFill>
                  <w14:solidFill>
                    <w14:schemeClr w14:val="tx1"/>
                  </w14:solidFill>
                </w14:textFill>
              </w:rPr>
            </w:pPr>
          </w:p>
          <w:p>
            <w:pPr>
              <w:rPr>
                <w:rFonts w:hint="eastAsia"/>
                <w:b/>
                <w:color w:val="000000" w:themeColor="text1"/>
                <w:szCs w:val="21"/>
                <w14:textFill>
                  <w14:solidFill>
                    <w14:schemeClr w14:val="tx1"/>
                  </w14:solidFill>
                </w14:textFill>
              </w:rPr>
            </w:pPr>
          </w:p>
          <w:p>
            <w:pPr>
              <w:pStyle w:val="2"/>
              <w:rPr>
                <w:rFonts w:hint="eastAsia"/>
                <w:b/>
                <w:color w:val="000000" w:themeColor="text1"/>
                <w:szCs w:val="21"/>
                <w14:textFill>
                  <w14:solidFill>
                    <w14:schemeClr w14:val="tx1"/>
                  </w14:solidFill>
                </w14:textFill>
              </w:rPr>
            </w:pPr>
          </w:p>
          <w:p>
            <w:pPr>
              <w:rPr>
                <w:rFonts w:hint="eastAsia"/>
                <w:color w:val="000000" w:themeColor="text1"/>
                <w14:textFill>
                  <w14:solidFill>
                    <w14:schemeClr w14:val="tx1"/>
                  </w14:solidFill>
                </w14:textFill>
              </w:rPr>
            </w:pPr>
          </w:p>
          <w:p>
            <w:pPr>
              <w:pStyle w:val="25"/>
              <w:ind w:left="0" w:leftChars="0" w:firstLine="0" w:firstLineChars="0"/>
              <w:rPr>
                <w:rFonts w:cs="宋体"/>
                <w:b/>
                <w:color w:val="000000" w:themeColor="text1"/>
                <w:kern w:val="0"/>
                <w:sz w:val="28"/>
                <w:szCs w:val="28"/>
                <w:vertAlign w:val="baseline"/>
                <w14:textFill>
                  <w14:solidFill>
                    <w14:schemeClr w14:val="tx1"/>
                  </w14:solidFill>
                </w14:textFill>
              </w:rPr>
            </w:pPr>
          </w:p>
        </w:tc>
      </w:tr>
    </w:tbl>
    <w:p>
      <w:pPr>
        <w:pStyle w:val="25"/>
        <w:ind w:left="0" w:leftChars="0" w:firstLine="0" w:firstLineChars="0"/>
        <w:rPr>
          <w:rFonts w:cs="宋体"/>
          <w:b/>
          <w:color w:val="000000" w:themeColor="text1"/>
          <w:kern w:val="0"/>
          <w:sz w:val="28"/>
          <w:szCs w:val="28"/>
          <w14:textFill>
            <w14:solidFill>
              <w14:schemeClr w14:val="tx1"/>
            </w14:solidFill>
          </w14:textFill>
        </w:rPr>
      </w:pPr>
    </w:p>
    <w:p>
      <w:pPr>
        <w:pStyle w:val="25"/>
        <w:rPr>
          <w:rFonts w:cs="宋体"/>
          <w:b/>
          <w:color w:val="000000" w:themeColor="text1"/>
          <w:kern w:val="0"/>
          <w:sz w:val="28"/>
          <w:szCs w:val="28"/>
          <w14:textFill>
            <w14:solidFill>
              <w14:schemeClr w14:val="tx1"/>
            </w14:solidFill>
          </w14:textFill>
        </w:rPr>
        <w:sectPr>
          <w:pgSz w:w="11907" w:h="16840"/>
          <w:pgMar w:top="1701" w:right="1531" w:bottom="2127" w:left="1531" w:header="851" w:footer="851" w:gutter="0"/>
          <w:pgBorders>
            <w:top w:val="none" w:sz="0" w:space="0"/>
            <w:left w:val="none" w:sz="0" w:space="0"/>
            <w:bottom w:val="none" w:sz="0" w:space="0"/>
            <w:right w:val="none" w:sz="0" w:space="0"/>
          </w:pgBorders>
          <w:cols w:space="720" w:num="1"/>
          <w:docGrid w:linePitch="312" w:charSpace="0"/>
        </w:sectPr>
      </w:pPr>
    </w:p>
    <w:p>
      <w:pPr>
        <w:pStyle w:val="23"/>
        <w:numPr>
          <w:ilvl w:val="0"/>
          <w:numId w:val="3"/>
        </w:numPr>
        <w:jc w:val="center"/>
        <w:outlineLvl w:val="0"/>
        <w:rPr>
          <w:rFonts w:hint="eastAsia" w:ascii="Times New Roman" w:hAnsi="Times New Roman"/>
          <w:b/>
          <w:bCs/>
          <w:snapToGrid w:val="0"/>
          <w:color w:val="000000" w:themeColor="text1"/>
          <w:sz w:val="30"/>
          <w:szCs w:val="30"/>
          <w14:textFill>
            <w14:solidFill>
              <w14:schemeClr w14:val="tx1"/>
            </w14:solidFill>
          </w14:textFill>
        </w:rPr>
      </w:pPr>
      <w:bookmarkStart w:id="6" w:name="_Hlk54167917"/>
      <w:r>
        <w:rPr>
          <w:rFonts w:hint="eastAsia" w:ascii="Times New Roman" w:hAnsi="Times New Roman"/>
          <w:b/>
          <w:bCs/>
          <w:snapToGrid w:val="0"/>
          <w:color w:val="000000" w:themeColor="text1"/>
          <w:sz w:val="30"/>
          <w:szCs w:val="30"/>
          <w14:textFill>
            <w14:solidFill>
              <w14:schemeClr w14:val="tx1"/>
            </w14:solidFill>
          </w14:textFill>
        </w:rPr>
        <w:t>环境保护措施监督检查清单</w:t>
      </w:r>
      <w:bookmarkEnd w:id="6"/>
    </w:p>
    <w:tbl>
      <w:tblPr>
        <w:tblStyle w:val="26"/>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18"/>
        <w:gridCol w:w="1691"/>
        <w:gridCol w:w="1217"/>
        <w:gridCol w:w="2151"/>
        <w:gridCol w:w="222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29" w:hRule="atLeast"/>
          <w:jc w:val="center"/>
        </w:trPr>
        <w:tc>
          <w:tcPr>
            <w:tcW w:w="1518" w:type="dxa"/>
            <w:tcBorders>
              <w:tl2br w:val="single" w:color="auto" w:sz="4" w:space="0"/>
            </w:tcBorders>
            <w:noWrap w:val="0"/>
            <w:vAlign w:val="top"/>
          </w:tcPr>
          <w:p>
            <w:pPr>
              <w:keepNext w:val="0"/>
              <w:keepLines w:val="0"/>
              <w:pageBreakBefore w:val="0"/>
              <w:widowControl w:val="0"/>
              <w:kinsoku/>
              <w:wordWrap/>
              <w:overflowPunct/>
              <w:topLinePunct w:val="0"/>
              <w:autoSpaceDE/>
              <w:autoSpaceDN/>
              <w:bidi w:val="0"/>
              <w:adjustRightInd w:val="0"/>
              <w:snapToGrid w:val="0"/>
              <w:spacing w:line="240" w:lineRule="auto"/>
              <w:ind w:firstLine="840"/>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内容</w:t>
            </w:r>
          </w:p>
          <w:p>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cs="Times New Roman"/>
                <w:b/>
                <w:bCs/>
                <w:color w:val="000000" w:themeColor="text1"/>
                <w:sz w:val="21"/>
                <w:szCs w:val="2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cs="Times New Roman"/>
                <w:b/>
                <w:bCs/>
                <w:color w:val="000000" w:themeColor="text1"/>
                <w:sz w:val="21"/>
                <w:szCs w:val="2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要素</w:t>
            </w: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排放口(编号、名称)/污染源</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污染物项目</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环境保护措施</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color w:val="000000" w:themeColor="text1"/>
                <w:sz w:val="21"/>
                <w:szCs w:val="21"/>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3" w:hRule="atLeast"/>
          <w:jc w:val="center"/>
        </w:trPr>
        <w:tc>
          <w:tcPr>
            <w:tcW w:w="151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大气环境</w:t>
            </w: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提取及浓缩过程</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植物气味</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车间通排风+密闭设备</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《恶臭污染物排放标准》（GB14554-93）二级标准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锅炉加热过程产生的废气（DA001）</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vertAlign w:val="baseline"/>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颗粒物、SO</w:t>
            </w:r>
            <w:r>
              <w:rPr>
                <w:rFonts w:hint="eastAsia" w:ascii="Times New Roman" w:hAnsi="Times New Roman" w:eastAsia="宋体" w:cs="Times New Roman"/>
                <w:color w:val="000000" w:themeColor="text1"/>
                <w:sz w:val="21"/>
                <w:szCs w:val="21"/>
                <w:vertAlign w:val="subscript"/>
                <w:lang w:val="en-US" w:eastAsia="zh-CN"/>
                <w14:textFill>
                  <w14:solidFill>
                    <w14:schemeClr w14:val="tx1"/>
                  </w14:solidFill>
                </w14:textFill>
              </w:rPr>
              <w:t>2</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、NOx</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低氮燃烧器+</w:t>
            </w:r>
            <w:r>
              <w:rPr>
                <w:rFonts w:hint="eastAsia" w:cs="Times New Roman"/>
                <w:color w:val="000000" w:themeColor="text1"/>
                <w:sz w:val="21"/>
                <w:szCs w:val="21"/>
                <w:lang w:val="en-US" w:eastAsia="zh-CN"/>
                <w14:textFill>
                  <w14:solidFill>
                    <w14:schemeClr w14:val="tx1"/>
                  </w14:solidFill>
                </w14:textFill>
              </w:rPr>
              <w:t>8</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m高排气筒（1套）</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河南省地方标准《锅炉大气污染物排放标准》（DB41/2089</w:t>
            </w:r>
            <w:r>
              <w:rPr>
                <w:rFonts w:hint="eastAsia" w:cs="Times New Roman"/>
                <w:color w:val="000000" w:themeColor="text1"/>
                <w:sz w:val="21"/>
                <w:szCs w:val="21"/>
                <w:lang w:val="en-US" w:eastAsia="zh-CN"/>
                <w14:textFill>
                  <w14:solidFill>
                    <w14:schemeClr w14:val="tx1"/>
                  </w14:solidFill>
                </w14:textFill>
              </w:rPr>
              <w:t>-</w:t>
            </w:r>
            <w:r>
              <w:rPr>
                <w:rFonts w:hint="default" w:ascii="Times New Roman" w:hAnsi="Times New Roman" w:cs="Times New Roman"/>
                <w:color w:val="000000" w:themeColor="text1"/>
                <w:sz w:val="21"/>
                <w:szCs w:val="21"/>
                <w14:textFill>
                  <w14:solidFill>
                    <w14:schemeClr w14:val="tx1"/>
                  </w14:solidFill>
                </w14:textFill>
              </w:rPr>
              <w:t>2021）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53"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喷雾及干燥工序</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（DA002）</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颗粒物</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水雾喷淋他</w:t>
            </w:r>
            <w:r>
              <w:rPr>
                <w:rFonts w:hint="eastAsia" w:ascii="Times New Roman" w:hAnsi="Times New Roman" w:cs="Times New Roman"/>
                <w:color w:val="000000" w:themeColor="text1"/>
                <w:sz w:val="21"/>
                <w:szCs w:val="21"/>
                <w:lang w:val="en-US" w:eastAsia="zh-CN"/>
                <w14:textFill>
                  <w14:solidFill>
                    <w14:schemeClr w14:val="tx1"/>
                  </w14:solidFill>
                </w14:textFill>
              </w:rPr>
              <w:t>+</w:t>
            </w:r>
            <w:r>
              <w:rPr>
                <w:rFonts w:hint="eastAsia" w:cs="Times New Roman"/>
                <w:color w:val="000000" w:themeColor="text1"/>
                <w:sz w:val="21"/>
                <w:szCs w:val="21"/>
                <w:lang w:val="en-US" w:eastAsia="zh-CN"/>
                <w14:textFill>
                  <w14:solidFill>
                    <w14:schemeClr w14:val="tx1"/>
                  </w14:solidFill>
                </w14:textFill>
              </w:rPr>
              <w:t>20</w:t>
            </w:r>
            <w:r>
              <w:rPr>
                <w:rFonts w:hint="eastAsia" w:ascii="Times New Roman" w:hAnsi="Times New Roman" w:cs="Times New Roman"/>
                <w:color w:val="000000" w:themeColor="text1"/>
                <w:sz w:val="21"/>
                <w:szCs w:val="21"/>
                <w:lang w:val="en-US" w:eastAsia="zh-CN"/>
                <w14:textFill>
                  <w14:solidFill>
                    <w14:schemeClr w14:val="tx1"/>
                  </w14:solidFill>
                </w14:textFill>
              </w:rPr>
              <w:t>m高排气筒</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《大气污染物综合排放标准》（GB16297-1996）表2二级标准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污水处理站</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臭气浓度、氨、硫化氢</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周边设置绿化带，定期投加除臭剂。</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《恶臭污染物排放标准》（GB14554-93）二级标准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地表水环境</w:t>
            </w: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浸泡、蒸煮、浓缩过程冷凝定排水</w:t>
            </w:r>
          </w:p>
        </w:tc>
        <w:tc>
          <w:tcPr>
            <w:tcW w:w="1217"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vertAlign w:val="subscript"/>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COD、氨氮、SS、BOD</w:t>
            </w:r>
            <w:r>
              <w:rPr>
                <w:rFonts w:hint="eastAsia" w:ascii="Times New Roman" w:hAnsi="Times New Roman" w:eastAsia="宋体" w:cs="Times New Roman"/>
                <w:color w:val="000000" w:themeColor="text1"/>
                <w:kern w:val="2"/>
                <w:sz w:val="21"/>
                <w:szCs w:val="21"/>
                <w:vertAlign w:val="subscript"/>
                <w:lang w:val="en-US" w:eastAsia="zh-CN" w:bidi="ar-SA"/>
                <w14:textFill>
                  <w14:solidFill>
                    <w14:schemeClr w14:val="tx1"/>
                  </w14:solidFill>
                </w14:textFill>
              </w:rPr>
              <w:t>5</w:t>
            </w:r>
          </w:p>
        </w:tc>
        <w:tc>
          <w:tcPr>
            <w:tcW w:w="2151"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定期排入厂区地埋式一体化污水处理站（1座，处理规模为10m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w:t>
            </w:r>
            <w:r>
              <w:rPr>
                <w:rFonts w:hint="eastAsia"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2223" w:type="dxa"/>
            <w:vMerge w:val="restart"/>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《农田灌溉水质标准》</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r>
              <w:rPr>
                <w:rFonts w:hint="eastAsia" w:cs="Times New Roman"/>
                <w:b/>
                <w:bCs/>
                <w:color w:val="000000" w:themeColor="text1"/>
                <w:spacing w:val="0"/>
                <w:kern w:val="0"/>
                <w:sz w:val="21"/>
                <w:szCs w:val="21"/>
                <w:u w:val="single"/>
                <w:vertAlign w:val="baseline"/>
                <w:lang w:val="en-US" w:eastAsia="zh-CN" w:bidi="ar-SA"/>
                <w14:textFill>
                  <w14:solidFill>
                    <w14:schemeClr w14:val="tx1"/>
                  </w14:solidFill>
                </w14:textFill>
              </w:rPr>
              <w:t>（GB 5084-2021）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6"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设备清洗废水</w:t>
            </w:r>
          </w:p>
        </w:tc>
        <w:tc>
          <w:tcPr>
            <w:tcW w:w="1217"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p>
        </w:tc>
        <w:tc>
          <w:tcPr>
            <w:tcW w:w="2151"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收集后排入污水处理站（1座，处理规模为10m</w:t>
            </w:r>
            <w:r>
              <w:rPr>
                <w:rFonts w:hint="default" w:ascii="Times New Roman" w:hAnsi="Times New Roman" w:eastAsia="宋体" w:cs="Times New Roman"/>
                <w:b w:val="0"/>
                <w:bCs w:val="0"/>
                <w:color w:val="000000" w:themeColor="text1"/>
                <w:spacing w:val="-6"/>
                <w:kern w:val="0"/>
                <w:sz w:val="21"/>
                <w:szCs w:val="21"/>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/d，配套</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1座20m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清水池、1座10m</w:t>
            </w:r>
            <w:r>
              <w:rPr>
                <w:rFonts w:hint="default" w:ascii="Times New Roman" w:hAnsi="Times New Roman" w:eastAsia="宋体" w:cs="Times New Roman"/>
                <w:b w:val="0"/>
                <w:bCs w:val="0"/>
                <w:color w:val="000000" w:themeColor="text1"/>
                <w:spacing w:val="-6"/>
                <w:kern w:val="0"/>
                <w:sz w:val="21"/>
                <w:szCs w:val="21"/>
                <w:u w:val="none"/>
                <w:vertAlign w:val="superscript"/>
                <w:lang w:val="en-US" w:eastAsia="zh-CN" w:bidi="ar-SA"/>
                <w14:textFill>
                  <w14:solidFill>
                    <w14:schemeClr w14:val="tx1"/>
                  </w14:solidFill>
                </w14:textFill>
              </w:rPr>
              <w:t>3</w:t>
            </w:r>
            <w:r>
              <w:rPr>
                <w:rFonts w:hint="default" w:ascii="Times New Roman" w:hAnsi="Times New Roman" w:eastAsia="宋体" w:cs="Times New Roman"/>
                <w:b w:val="0"/>
                <w:bCs w:val="0"/>
                <w:color w:val="000000" w:themeColor="text1"/>
                <w:spacing w:val="-6"/>
                <w:kern w:val="0"/>
                <w:sz w:val="21"/>
                <w:szCs w:val="21"/>
                <w:u w:val="none"/>
                <w:vertAlign w:val="baseline"/>
                <w:lang w:val="en-US" w:eastAsia="zh-CN" w:bidi="ar-SA"/>
                <w14:textFill>
                  <w14:solidFill>
                    <w14:schemeClr w14:val="tx1"/>
                  </w14:solidFill>
                </w14:textFill>
              </w:rPr>
              <w:t>调节池</w:t>
            </w: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）处理后，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2223"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val="en-US" w:eastAsia="zh-CN"/>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锅炉软水制备排污水</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COD、</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SS</w:t>
            </w:r>
          </w:p>
        </w:tc>
        <w:tc>
          <w:tcPr>
            <w:tcW w:w="2151" w:type="dxa"/>
            <w:noWrap w:val="0"/>
            <w:vAlign w:val="center"/>
          </w:tcPr>
          <w:p>
            <w:pPr>
              <w:keepNext w:val="0"/>
              <w:keepLines w:val="0"/>
              <w:pageBreakBefore w:val="0"/>
              <w:widowControl w:val="0"/>
              <w:kinsoku/>
              <w:wordWrap/>
              <w:overflowPunct/>
              <w:topLinePunct w:val="0"/>
              <w:autoSpaceDE w:val="0"/>
              <w:autoSpaceDN w:val="0"/>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b w:val="0"/>
                <w:bCs w:val="0"/>
                <w:color w:val="000000" w:themeColor="text1"/>
                <w:spacing w:val="-6"/>
                <w:kern w:val="0"/>
                <w:sz w:val="21"/>
                <w:szCs w:val="21"/>
                <w:vertAlign w:val="baseline"/>
                <w:lang w:val="en-US" w:eastAsia="zh-CN" w:bidi="ar-SA"/>
                <w14:textFill>
                  <w14:solidFill>
                    <w14:schemeClr w14:val="tx1"/>
                  </w14:solidFill>
                </w14:textFill>
              </w:rPr>
              <w:t>收集后</w:t>
            </w:r>
            <w:r>
              <w:rPr>
                <w:rFonts w:hint="eastAsia" w:cs="Times New Roman"/>
                <w:b/>
                <w:bCs w:val="0"/>
                <w:color w:val="000000" w:themeColor="text1"/>
                <w:spacing w:val="0"/>
                <w:kern w:val="0"/>
                <w:sz w:val="21"/>
                <w:szCs w:val="21"/>
                <w:u w:val="single"/>
                <w:vertAlign w:val="baseline"/>
                <w:lang w:val="en-US" w:eastAsia="zh-CN" w:bidi="ar-SA"/>
                <w14:textFill>
                  <w14:solidFill>
                    <w14:schemeClr w14:val="tx1"/>
                  </w14:solidFill>
                </w14:textFill>
              </w:rPr>
              <w:t>用于周边梨园灌溉及</w:t>
            </w:r>
            <w:r>
              <w:rPr>
                <w:rFonts w:hint="eastAsia" w:ascii="Times New Roman" w:hAnsi="Times New Roman" w:eastAsia="宋体" w:cs="Times New Roman"/>
                <w:b/>
                <w:bCs w:val="0"/>
                <w:color w:val="000000" w:themeColor="text1"/>
                <w:spacing w:val="0"/>
                <w:kern w:val="0"/>
                <w:sz w:val="21"/>
                <w:szCs w:val="21"/>
                <w:highlight w:val="none"/>
                <w:u w:val="single"/>
                <w:vertAlign w:val="baseline"/>
                <w:lang w:val="en-US" w:eastAsia="zh-CN" w:bidi="ar-SA"/>
                <w14:textFill>
                  <w14:solidFill>
                    <w14:schemeClr w14:val="tx1"/>
                  </w14:solidFill>
                </w14:textFill>
              </w:rPr>
              <w:t>厂区洒水抑尘或绿化</w:t>
            </w:r>
          </w:p>
        </w:tc>
        <w:tc>
          <w:tcPr>
            <w:tcW w:w="2223"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职工生活污水</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COD、氨氮、SS、粪大肠杆菌、BOD</w:t>
            </w:r>
            <w:r>
              <w:rPr>
                <w:rFonts w:hint="eastAsia" w:ascii="Times New Roman" w:hAnsi="Times New Roman" w:eastAsia="宋体" w:cs="Times New Roman"/>
                <w:color w:val="000000" w:themeColor="text1"/>
                <w:kern w:val="2"/>
                <w:sz w:val="21"/>
                <w:szCs w:val="21"/>
                <w:vertAlign w:val="subscript"/>
                <w:lang w:val="en-US" w:eastAsia="zh-CN" w:bidi="ar-SA"/>
                <w14:textFill>
                  <w14:solidFill>
                    <w14:schemeClr w14:val="tx1"/>
                  </w14:solidFill>
                </w14:textFill>
              </w:rPr>
              <w:t>5</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依托河南吉尔木食品有限公司现有化粪池处理后，定期清掏肥田，不外排。</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声环境</w:t>
            </w:r>
          </w:p>
        </w:tc>
        <w:tc>
          <w:tcPr>
            <w:tcW w:w="2908" w:type="dxa"/>
            <w:gridSpan w:val="2"/>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设备运行噪声</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基础减振、厂房隔声</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《工业企业厂界环境噪声排放标准》（GB12348-2008）</w:t>
            </w:r>
            <w:r>
              <w:rPr>
                <w:rFonts w:hint="eastAsia" w:ascii="Times New Roman" w:hAnsi="Times New Roman"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电磁辐射</w:t>
            </w: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cs="Times New Roman"/>
                <w:color w:val="000000" w:themeColor="text1"/>
                <w:sz w:val="21"/>
                <w:szCs w:val="21"/>
                <w:lang w:eastAsia="zh-CN"/>
                <w14:textFill>
                  <w14:solidFill>
                    <w14:schemeClr w14:val="tx1"/>
                  </w14:solidFill>
                </w14:textFill>
              </w:rPr>
              <w:t>固体废物</w:t>
            </w: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提取、过滤工段</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香菇</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木耳及猴头菇等其他菌类残渣</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密闭桶装收集后暂存于固废暂存间（1座，5m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），日产日清，直接外售。</w:t>
            </w:r>
          </w:p>
        </w:tc>
        <w:tc>
          <w:tcPr>
            <w:tcW w:w="2223"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《一般工业固体废物贮存和填埋污染控制标准》(GB18599-2020)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eastAsia="zh-CN"/>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包装工段</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废包装材料</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收集后暂存于一般固废暂存间（1座5m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2</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），定期外售。</w:t>
            </w:r>
          </w:p>
        </w:tc>
        <w:tc>
          <w:tcPr>
            <w:tcW w:w="2223"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eastAsia="zh-CN"/>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软化过程</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废离子交换树脂</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由厂家更换直接带走。</w:t>
            </w:r>
          </w:p>
        </w:tc>
        <w:tc>
          <w:tcPr>
            <w:tcW w:w="2223"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eastAsia="zh-CN"/>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污水处理站</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污泥</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经密闭桶收集后由周围村民拉走，作为肥料处置。</w:t>
            </w:r>
          </w:p>
        </w:tc>
        <w:tc>
          <w:tcPr>
            <w:tcW w:w="2223"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cs="Times New Roman"/>
                <w:color w:val="000000" w:themeColor="text1"/>
                <w:sz w:val="21"/>
                <w:szCs w:val="21"/>
                <w:lang w:eastAsia="zh-CN"/>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废导热油</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废导热油</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b w:val="0"/>
                <w:bCs/>
                <w:i w:val="0"/>
                <w:iCs w:val="0"/>
                <w:color w:val="000000" w:themeColor="text1"/>
                <w:sz w:val="24"/>
                <w:u w:val="none"/>
                <w14:textFill>
                  <w14:solidFill>
                    <w14:schemeClr w14:val="tx1"/>
                  </w14:solidFill>
                </w14:textFill>
              </w:rPr>
              <w:t>危险废物经集中收集后，委托有资质的单位进行处置，确保生产过程产生的危险废物得到妥善处置</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执行《危险废物贮存污染控制标准》（GB18597-2023）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518"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p>
        </w:tc>
        <w:tc>
          <w:tcPr>
            <w:tcW w:w="169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职工生活</w:t>
            </w:r>
          </w:p>
        </w:tc>
        <w:tc>
          <w:tcPr>
            <w:tcW w:w="1217"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生活垃圾</w:t>
            </w:r>
          </w:p>
        </w:tc>
        <w:tc>
          <w:tcPr>
            <w:tcW w:w="215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经垃圾桶收集后，交由环卫部门处置</w:t>
            </w:r>
          </w:p>
        </w:tc>
        <w:tc>
          <w:tcPr>
            <w:tcW w:w="22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土壤及地下水</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污染防治措施</w:t>
            </w:r>
          </w:p>
        </w:tc>
        <w:tc>
          <w:tcPr>
            <w:tcW w:w="7282" w:type="dxa"/>
            <w:gridSpan w:val="4"/>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lang w:val="en-US" w:eastAsia="zh-CN"/>
                <w14:textFill>
                  <w14:solidFill>
                    <w14:schemeClr w14:val="tx1"/>
                  </w14:solidFill>
                </w14:textFill>
              </w:rPr>
            </w:pPr>
            <w:r>
              <w:rPr>
                <w:rFonts w:hint="eastAsia"/>
                <w:b w:val="0"/>
                <w:bCs w:val="0"/>
                <w:color w:val="000000" w:themeColor="text1"/>
                <w:sz w:val="21"/>
                <w:szCs w:val="21"/>
                <w:u w:val="none"/>
                <w14:textFill>
                  <w14:solidFill>
                    <w14:schemeClr w14:val="tx1"/>
                  </w14:solidFill>
                </w14:textFill>
              </w:rPr>
              <w:t>本项目厂区及生产车间地面均按要求硬化，不存在土壤、地下水环境污染途径。</w:t>
            </w:r>
            <w:r>
              <w:rPr>
                <w:rFonts w:hint="eastAsia" w:ascii="Times New Roman" w:hAnsi="Times New Roman" w:cs="Times New Roman"/>
                <w:b w:val="0"/>
                <w:bCs w:val="0"/>
                <w:color w:val="000000" w:themeColor="text1"/>
                <w:sz w:val="21"/>
                <w:szCs w:val="21"/>
                <w:u w:val="none"/>
                <w:lang w:val="en-US"/>
                <w14:textFill>
                  <w14:solidFill>
                    <w14:schemeClr w14:val="tx1"/>
                  </w14:solidFill>
                </w14:textFill>
              </w:rPr>
              <w:t>为防止地下水污染，本项目采取防治措施：</w:t>
            </w:r>
            <w:r>
              <w:rPr>
                <w:rFonts w:hint="eastAsia" w:cs="Times New Roman"/>
                <w:b w:val="0"/>
                <w:bCs w:val="0"/>
                <w:color w:val="000000" w:themeColor="text1"/>
                <w:sz w:val="21"/>
                <w:szCs w:val="21"/>
                <w:u w:val="none"/>
                <w:lang w:val="en-US" w:eastAsia="zh-CN"/>
                <w14:textFill>
                  <w14:solidFill>
                    <w14:schemeClr w14:val="tx1"/>
                  </w14:solidFill>
                </w14:textFill>
              </w:rPr>
              <w:t>一般固体废物</w:t>
            </w:r>
            <w:r>
              <w:rPr>
                <w:rFonts w:ascii="Times New Roman" w:hAnsi="Times New Roman" w:cs="Times New Roman"/>
                <w:b w:val="0"/>
                <w:bCs w:val="0"/>
                <w:color w:val="000000" w:themeColor="text1"/>
                <w:sz w:val="21"/>
                <w:szCs w:val="21"/>
                <w:u w:val="none"/>
                <w:lang w:val="en-US"/>
                <w14:textFill>
                  <w14:solidFill>
                    <w14:schemeClr w14:val="tx1"/>
                  </w14:solidFill>
                </w14:textFill>
              </w:rPr>
              <w:t>暂存间应</w:t>
            </w:r>
            <w:r>
              <w:rPr>
                <w:rFonts w:hint="eastAsia" w:ascii="Times New Roman" w:hAnsi="Times New Roman" w:cs="Times New Roman"/>
                <w:b w:val="0"/>
                <w:bCs w:val="0"/>
                <w:color w:val="000000" w:themeColor="text1"/>
                <w:sz w:val="21"/>
                <w:szCs w:val="21"/>
                <w:u w:val="none"/>
                <w:lang w:val="en-US" w:eastAsia="zh-CN"/>
                <w14:textFill>
                  <w14:solidFill>
                    <w14:schemeClr w14:val="tx1"/>
                  </w14:solidFill>
                </w14:textFill>
              </w:rPr>
              <w:t>参照</w:t>
            </w:r>
            <w:r>
              <w:rPr>
                <w:rFonts w:hint="eastAsia" w:ascii="Times New Roman" w:hAnsi="Times New Roman" w:cs="Times New Roman"/>
                <w:b w:val="0"/>
                <w:bCs w:val="0"/>
                <w:color w:val="000000" w:themeColor="text1"/>
                <w:sz w:val="21"/>
                <w:szCs w:val="21"/>
                <w:u w:val="none"/>
                <w:lang w:val="en-US"/>
                <w14:textFill>
                  <w14:solidFill>
                    <w14:schemeClr w14:val="tx1"/>
                  </w14:solidFill>
                </w14:textFill>
              </w:rPr>
              <w:t>《一般工业固体废物贮存和填埋污染控制标准》（GB18599-2020）</w:t>
            </w:r>
            <w:r>
              <w:rPr>
                <w:rFonts w:ascii="Times New Roman" w:hAnsi="Times New Roman" w:cs="Times New Roman"/>
                <w:b w:val="0"/>
                <w:bCs w:val="0"/>
                <w:color w:val="000000" w:themeColor="text1"/>
                <w:sz w:val="21"/>
                <w:szCs w:val="21"/>
                <w:u w:val="none"/>
                <w:lang w:val="en-US"/>
                <w14:textFill>
                  <w14:solidFill>
                    <w14:schemeClr w14:val="tx1"/>
                  </w14:solidFill>
                </w14:textFill>
              </w:rPr>
              <w:t>要求设置</w:t>
            </w:r>
            <w:r>
              <w:rPr>
                <w:rFonts w:hint="eastAsia" w:ascii="Times New Roman" w:hAnsi="Times New Roman" w:cs="Times New Roman"/>
                <w:b w:val="0"/>
                <w:bCs w:val="0"/>
                <w:color w:val="000000" w:themeColor="text1"/>
                <w:sz w:val="21"/>
                <w:szCs w:val="21"/>
                <w:u w:val="none"/>
                <w:lang w:val="en-US"/>
                <w14:textFill>
                  <w14:solidFill>
                    <w14:schemeClr w14:val="tx1"/>
                  </w14:solidFill>
                </w14:textFill>
              </w:rPr>
              <w:t>，具有防雨、防溢流、防渗透等措施</w:t>
            </w:r>
            <w:r>
              <w:rPr>
                <w:rFonts w:hint="eastAsia" w:cs="Times New Roman"/>
                <w:b w:val="0"/>
                <w:bCs w:val="0"/>
                <w:color w:val="000000" w:themeColor="text1"/>
                <w:sz w:val="21"/>
                <w:szCs w:val="21"/>
                <w:u w:val="none"/>
                <w:lang w:eastAsia="zh-CN"/>
                <w14:textFill>
                  <w14:solidFill>
                    <w14:schemeClr w14:val="tx1"/>
                  </w14:solidFill>
                </w14:textFill>
              </w:rPr>
              <w:t>。</w:t>
            </w:r>
            <w:r>
              <w:rPr>
                <w:rFonts w:hint="eastAsia" w:cs="Times New Roman"/>
                <w:b w:val="0"/>
                <w:bCs w:val="0"/>
                <w:color w:val="000000" w:themeColor="text1"/>
                <w:sz w:val="21"/>
                <w:szCs w:val="21"/>
                <w:u w:val="none"/>
                <w:lang w:val="en-US" w:eastAsia="zh-CN"/>
                <w14:textFill>
                  <w14:solidFill>
                    <w14:schemeClr w14:val="tx1"/>
                  </w14:solidFill>
                </w14:textFill>
              </w:rPr>
              <w:t>危险废物暂存间符合《危险废物贮存污染控制标准》（GB18597-2023）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7"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生态保护措施</w:t>
            </w:r>
          </w:p>
        </w:tc>
        <w:tc>
          <w:tcPr>
            <w:tcW w:w="7282" w:type="dxa"/>
            <w:gridSpan w:val="4"/>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6"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color w:val="000000" w:themeColor="text1"/>
                <w:spacing w:val="-8"/>
                <w:sz w:val="21"/>
                <w:szCs w:val="21"/>
                <w:u w:val="none"/>
                <w14:textFill>
                  <w14:solidFill>
                    <w14:schemeClr w14:val="tx1"/>
                  </w14:solidFill>
                </w14:textFill>
              </w:rPr>
            </w:pPr>
            <w:r>
              <w:rPr>
                <w:rFonts w:hint="default" w:ascii="Times New Roman" w:hAnsi="Times New Roman" w:cs="Times New Roman"/>
                <w:color w:val="000000" w:themeColor="text1"/>
                <w:spacing w:val="-8"/>
                <w:sz w:val="21"/>
                <w:szCs w:val="21"/>
                <w:u w:val="none"/>
                <w14:textFill>
                  <w14:solidFill>
                    <w14:schemeClr w14:val="tx1"/>
                  </w14:solidFill>
                </w14:textFill>
              </w:rPr>
              <w:t>环境风险</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color w:val="000000" w:themeColor="text1"/>
                <w:spacing w:val="-8"/>
                <w:sz w:val="21"/>
                <w:szCs w:val="21"/>
                <w:u w:val="none"/>
                <w14:textFill>
                  <w14:solidFill>
                    <w14:schemeClr w14:val="tx1"/>
                  </w14:solidFill>
                </w14:textFill>
              </w:rPr>
            </w:pPr>
            <w:r>
              <w:rPr>
                <w:rFonts w:hint="default" w:ascii="Times New Roman" w:hAnsi="Times New Roman" w:cs="Times New Roman"/>
                <w:color w:val="000000" w:themeColor="text1"/>
                <w:spacing w:val="-8"/>
                <w:sz w:val="21"/>
                <w:szCs w:val="21"/>
                <w:u w:val="none"/>
                <w14:textFill>
                  <w14:solidFill>
                    <w14:schemeClr w14:val="tx1"/>
                  </w14:solidFill>
                </w14:textFill>
              </w:rPr>
              <w:t>防范措施</w:t>
            </w:r>
          </w:p>
        </w:tc>
        <w:tc>
          <w:tcPr>
            <w:tcW w:w="7282" w:type="dxa"/>
            <w:gridSpan w:val="4"/>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①设计上各套生产装置尽量采用先进合理、安全可靠的工艺流程，从根本上提高装置的安全性，防止和减少事故的发生。</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eastAsia="宋体" w:cs="Times New Roman"/>
                <w:color w:val="000000" w:themeColor="text1"/>
                <w:sz w:val="21"/>
                <w:szCs w:val="21"/>
                <w:u w:val="none"/>
                <w:lang w:val="en-US" w:eastAsia="zh-CN"/>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②</w:t>
            </w:r>
            <w:r>
              <w:rPr>
                <w:rFonts w:hint="eastAsia" w:ascii="Times New Roman" w:hAnsi="Times New Roman" w:cs="Times New Roman"/>
                <w:color w:val="000000" w:themeColor="text1"/>
                <w:sz w:val="21"/>
                <w:szCs w:val="21"/>
                <w:u w:val="none"/>
                <w:lang w:val="en-US" w:eastAsia="zh-CN"/>
                <w14:textFill>
                  <w14:solidFill>
                    <w14:schemeClr w14:val="tx1"/>
                  </w14:solidFill>
                </w14:textFill>
              </w:rPr>
              <w:t>天然气储罐及燃气锅炉位于通风房间内。</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③天然气储罐四周设置围堰，围堰内地面及墙体做好防渗</w:t>
            </w:r>
            <w:r>
              <w:rPr>
                <w:rFonts w:hint="eastAsia" w:ascii="Times New Roman" w:hAnsi="Times New Roman" w:cs="Times New Roman"/>
                <w:color w:val="000000" w:themeColor="text1"/>
                <w:sz w:val="21"/>
                <w:szCs w:val="21"/>
                <w:u w:val="none"/>
                <w:lang w:eastAsia="zh-CN"/>
                <w14:textFill>
                  <w14:solidFill>
                    <w14:schemeClr w14:val="tx1"/>
                  </w14:solidFill>
                </w14:textFill>
              </w:rPr>
              <w:t>，并安装气体泄漏报警装置</w:t>
            </w:r>
            <w:r>
              <w:rPr>
                <w:rFonts w:hint="eastAsia" w:ascii="Times New Roman" w:hAnsi="Times New Roman" w:cs="Times New Roman"/>
                <w:color w:val="000000" w:themeColor="text1"/>
                <w:sz w:val="21"/>
                <w:szCs w:val="21"/>
                <w:u w:val="none"/>
                <w:lang w:val="en-US" w:eastAsia="zh-CN"/>
                <w14:textFill>
                  <w14:solidFill>
                    <w14:schemeClr w14:val="tx1"/>
                  </w14:solidFill>
                </w14:textFill>
              </w:rPr>
              <w:t>等装置</w:t>
            </w:r>
            <w:r>
              <w:rPr>
                <w:rFonts w:hint="default" w:ascii="Times New Roman" w:hAnsi="Times New Roman" w:cs="Times New Roman"/>
                <w:color w:val="000000" w:themeColor="text1"/>
                <w:sz w:val="21"/>
                <w:szCs w:val="21"/>
                <w:u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u w:val="none"/>
                <w14:textFill>
                  <w14:solidFill>
                    <w14:schemeClr w14:val="tx1"/>
                  </w14:solidFill>
                </w14:textFill>
              </w:rPr>
            </w:pPr>
            <w:r>
              <w:rPr>
                <w:rFonts w:hint="default" w:ascii="Times New Roman" w:hAnsi="Times New Roman" w:cs="Times New Roman"/>
                <w:color w:val="000000" w:themeColor="text1"/>
                <w:sz w:val="21"/>
                <w:szCs w:val="21"/>
                <w:u w:val="none"/>
                <w14:textFill>
                  <w14:solidFill>
                    <w14:schemeClr w14:val="tx1"/>
                  </w14:solidFill>
                </w14:textFill>
              </w:rPr>
              <w:t>④实施现场巡回检查制度，定期检修设备，发现问题及时更换零部件，排除事故隐患，防止跑、冒、滴、漏。检修时需切断原料源，并由专人监护，检修时按规定的要求进行。</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u w:val="none"/>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⑤</w:t>
            </w:r>
            <w:r>
              <w:rPr>
                <w:rFonts w:hint="default" w:ascii="Times New Roman" w:hAnsi="Times New Roman" w:cs="Times New Roman"/>
                <w:color w:val="000000" w:themeColor="text1"/>
                <w:sz w:val="21"/>
                <w:szCs w:val="21"/>
                <w:u w:val="none"/>
                <w14:textFill>
                  <w14:solidFill>
                    <w14:schemeClr w14:val="tx1"/>
                  </w14:solidFill>
                </w14:textFill>
              </w:rPr>
              <w:t>天然气储存罐区内严禁烟火，入内人员不得携带易燃、易爆物品。</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eastAsia" w:ascii="Times New Roman" w:hAnsi="Times New Roman" w:cs="Times New Roman"/>
                <w:color w:val="000000" w:themeColor="text1"/>
                <w:sz w:val="21"/>
                <w:szCs w:val="21"/>
                <w:u w:val="none"/>
                <w:lang w:val="en-US" w:eastAsia="zh-CN"/>
                <w14:textFill>
                  <w14:solidFill>
                    <w14:schemeClr w14:val="tx1"/>
                  </w14:solidFill>
                </w14:textFill>
              </w:rPr>
            </w:pPr>
            <w:r>
              <w:rPr>
                <w:rFonts w:hint="eastAsia" w:ascii="Times New Roman" w:hAnsi="Times New Roman" w:cs="Times New Roman"/>
                <w:color w:val="000000" w:themeColor="text1"/>
                <w:sz w:val="21"/>
                <w:szCs w:val="21"/>
                <w:u w:val="none"/>
                <w:lang w:eastAsia="zh-CN"/>
                <w14:textFill>
                  <w14:solidFill>
                    <w14:schemeClr w14:val="tx1"/>
                  </w14:solidFill>
                </w14:textFill>
              </w:rPr>
              <w:t>⑥厂区设置</w:t>
            </w:r>
            <w:r>
              <w:rPr>
                <w:rFonts w:hint="eastAsia" w:ascii="Times New Roman" w:hAnsi="Times New Roman" w:cs="Times New Roman"/>
                <w:color w:val="000000" w:themeColor="text1"/>
                <w:sz w:val="21"/>
                <w:szCs w:val="21"/>
                <w:u w:val="none"/>
                <w:lang w:val="en-US" w:eastAsia="zh-CN"/>
                <w14:textFill>
                  <w14:solidFill>
                    <w14:schemeClr w14:val="tx1"/>
                  </w14:solidFill>
                </w14:textFill>
              </w:rPr>
              <w:t>1座</w:t>
            </w:r>
            <w:r>
              <w:rPr>
                <w:rFonts w:hint="eastAsia" w:cs="Times New Roman"/>
                <w:color w:val="000000" w:themeColor="text1"/>
                <w:sz w:val="21"/>
                <w:szCs w:val="21"/>
                <w:u w:val="none"/>
                <w:lang w:val="en-US" w:eastAsia="zh-CN"/>
                <w14:textFill>
                  <w14:solidFill>
                    <w14:schemeClr w14:val="tx1"/>
                  </w14:solidFill>
                </w14:textFill>
              </w:rPr>
              <w:t>230</w:t>
            </w:r>
            <w:r>
              <w:rPr>
                <w:rFonts w:hint="eastAsia" w:ascii="Times New Roman" w:hAnsi="Times New Roman" w:cs="Times New Roman"/>
                <w:color w:val="000000" w:themeColor="text1"/>
                <w:sz w:val="21"/>
                <w:szCs w:val="21"/>
                <w:u w:val="none"/>
                <w:lang w:val="en-US" w:eastAsia="zh-CN"/>
                <w14:textFill>
                  <w14:solidFill>
                    <w14:schemeClr w14:val="tx1"/>
                  </w14:solidFill>
                </w14:textFill>
              </w:rPr>
              <w:t>m</w:t>
            </w:r>
            <w:r>
              <w:rPr>
                <w:rFonts w:hint="eastAsia" w:ascii="Times New Roman" w:hAnsi="Times New Roman" w:cs="Times New Roman"/>
                <w:color w:val="000000" w:themeColor="text1"/>
                <w:sz w:val="21"/>
                <w:szCs w:val="21"/>
                <w:u w:val="none"/>
                <w:vertAlign w:val="superscript"/>
                <w:lang w:val="en-US" w:eastAsia="zh-CN"/>
                <w14:textFill>
                  <w14:solidFill>
                    <w14:schemeClr w14:val="tx1"/>
                  </w14:solidFill>
                </w14:textFill>
              </w:rPr>
              <w:t>3</w:t>
            </w:r>
            <w:r>
              <w:rPr>
                <w:rFonts w:hint="eastAsia" w:ascii="Times New Roman" w:hAnsi="Times New Roman" w:cs="Times New Roman"/>
                <w:color w:val="000000" w:themeColor="text1"/>
                <w:sz w:val="21"/>
                <w:szCs w:val="21"/>
                <w:u w:val="none"/>
                <w:lang w:val="en-US" w:eastAsia="zh-CN"/>
                <w14:textFill>
                  <w14:solidFill>
                    <w14:schemeClr w14:val="tx1"/>
                  </w14:solidFill>
                </w14:textFill>
              </w:rPr>
              <w:t>事故池并设置导流沟。</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default" w:ascii="Times New Roman" w:hAnsi="Times New Roman" w:cs="Times New Roman"/>
                <w:color w:val="000000" w:themeColor="text1"/>
                <w:sz w:val="21"/>
                <w:szCs w:val="21"/>
                <w:u w:val="none"/>
                <w:lang w:val="en-US" w:eastAsia="zh-CN"/>
                <w14:textFill>
                  <w14:solidFill>
                    <w14:schemeClr w14:val="tx1"/>
                  </w14:solidFill>
                </w14:textFill>
              </w:rPr>
            </w:pPr>
            <w:r>
              <w:rPr>
                <w:rFonts w:hint="eastAsia" w:ascii="Times New Roman" w:hAnsi="Times New Roman" w:cs="Times New Roman"/>
                <w:color w:val="000000" w:themeColor="text1"/>
                <w:sz w:val="21"/>
                <w:szCs w:val="21"/>
                <w:u w:val="none"/>
                <w:lang w:val="en-US" w:eastAsia="zh-CN"/>
                <w14:textFill>
                  <w14:solidFill>
                    <w14:schemeClr w14:val="tx1"/>
                  </w14:solidFill>
                </w14:textFill>
              </w:rPr>
              <w:t>⑦项目建成后，按相关环保要求及时办理突发环境事件应急预案手续。</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02" w:hRule="atLeast"/>
          <w:jc w:val="center"/>
        </w:trPr>
        <w:tc>
          <w:tcPr>
            <w:tcW w:w="151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color w:val="000000" w:themeColor="text1"/>
                <w:spacing w:val="-8"/>
                <w:sz w:val="21"/>
                <w:szCs w:val="21"/>
                <w14:textFill>
                  <w14:solidFill>
                    <w14:schemeClr w14:val="tx1"/>
                  </w14:solidFill>
                </w14:textFill>
              </w:rPr>
            </w:pPr>
            <w:r>
              <w:rPr>
                <w:rFonts w:hint="default" w:ascii="Times New Roman" w:hAnsi="Times New Roman" w:cs="Times New Roman"/>
                <w:color w:val="000000" w:themeColor="text1"/>
                <w:spacing w:val="-8"/>
                <w:sz w:val="21"/>
                <w:szCs w:val="21"/>
                <w14:textFill>
                  <w14:solidFill>
                    <w14:schemeClr w14:val="tx1"/>
                  </w14:solidFill>
                </w14:textFill>
              </w:rPr>
              <w:t>其他环境</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cs="Times New Roman"/>
                <w:color w:val="000000" w:themeColor="text1"/>
                <w:spacing w:val="-8"/>
                <w:sz w:val="21"/>
                <w:szCs w:val="21"/>
                <w14:textFill>
                  <w14:solidFill>
                    <w14:schemeClr w14:val="tx1"/>
                  </w14:solidFill>
                </w14:textFill>
              </w:rPr>
            </w:pPr>
            <w:r>
              <w:rPr>
                <w:rFonts w:hint="default" w:ascii="Times New Roman" w:hAnsi="Times New Roman" w:cs="Times New Roman"/>
                <w:color w:val="000000" w:themeColor="text1"/>
                <w:spacing w:val="-8"/>
                <w:sz w:val="21"/>
                <w:szCs w:val="21"/>
                <w14:textFill>
                  <w14:solidFill>
                    <w14:schemeClr w14:val="tx1"/>
                  </w14:solidFill>
                </w14:textFill>
              </w:rPr>
              <w:t>管理要求</w:t>
            </w:r>
          </w:p>
        </w:tc>
        <w:tc>
          <w:tcPr>
            <w:tcW w:w="7282" w:type="dxa"/>
            <w:gridSpan w:val="4"/>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jc w:val="left"/>
              <w:textAlignment w:val="auto"/>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fldChar w:fldCharType="begin"/>
            </w:r>
            <w:r>
              <w:rPr>
                <w:rFonts w:hint="eastAsia"/>
                <w:color w:val="000000" w:themeColor="text1"/>
                <w:lang w:val="en-US" w:eastAsia="zh-CN"/>
                <w14:textFill>
                  <w14:solidFill>
                    <w14:schemeClr w14:val="tx1"/>
                  </w14:solidFill>
                </w14:textFill>
              </w:rPr>
              <w:instrText xml:space="preserve"> = 1 \* GB3 \* MERGEFORMAT </w:instrText>
            </w:r>
            <w:r>
              <w:rPr>
                <w:rFonts w:hint="eastAsia"/>
                <w:color w:val="000000" w:themeColor="text1"/>
                <w:lang w:val="en-US" w:eastAsia="zh-CN"/>
                <w14:textFill>
                  <w14:solidFill>
                    <w14:schemeClr w14:val="tx1"/>
                  </w14:solidFill>
                </w14:textFill>
              </w:rPr>
              <w:fldChar w:fldCharType="separate"/>
            </w:r>
            <w:r>
              <w:rPr>
                <w:rFonts w:hint="eastAsia"/>
                <w:color w:val="000000" w:themeColor="text1"/>
                <w:lang w:val="en-US" w:eastAsia="zh-CN"/>
                <w14:textFill>
                  <w14:solidFill>
                    <w14:schemeClr w14:val="tx1"/>
                  </w14:solidFill>
                </w14:textFill>
              </w:rPr>
              <w:t>①</w:t>
            </w:r>
            <w:r>
              <w:rPr>
                <w:rFonts w:hint="eastAsia"/>
                <w:color w:val="000000" w:themeColor="text1"/>
                <w:lang w:val="en-US" w:eastAsia="zh-CN"/>
                <w14:textFill>
                  <w14:solidFill>
                    <w14:schemeClr w14:val="tx1"/>
                  </w14:solidFill>
                </w14:textFill>
              </w:rPr>
              <w:fldChar w:fldCharType="end"/>
            </w:r>
            <w:r>
              <w:rPr>
                <w:rFonts w:hint="eastAsia"/>
                <w:color w:val="000000" w:themeColor="text1"/>
                <w:lang w:val="en-US" w:eastAsia="zh-CN"/>
                <w14:textFill>
                  <w14:solidFill>
                    <w14:schemeClr w14:val="tx1"/>
                  </w14:solidFill>
                </w14:textFill>
              </w:rPr>
              <w:t>建立环境管理机构及明确职责；</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jc w:val="left"/>
              <w:textAlignment w:val="auto"/>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建设单位应制订合理的环保管理制度，健全环保设备的安全操作规程和岗位管理责任制，设置各种设备运行台帐记录，规范操作程序。同时要按照环保部门的要求，按时上报环保设施运行情况及排污申报表，接受每年环保部门的日常监督。</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jc w:val="left"/>
              <w:textAlignment w:val="auto"/>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fldChar w:fldCharType="begin"/>
            </w:r>
            <w:r>
              <w:rPr>
                <w:rFonts w:hint="eastAsia"/>
                <w:color w:val="000000" w:themeColor="text1"/>
                <w:lang w:val="en-US" w:eastAsia="zh-CN"/>
                <w14:textFill>
                  <w14:solidFill>
                    <w14:schemeClr w14:val="tx1"/>
                  </w14:solidFill>
                </w14:textFill>
              </w:rPr>
              <w:instrText xml:space="preserve"> = 2 \* GB3 \* MERGEFORMAT </w:instrText>
            </w:r>
            <w:r>
              <w:rPr>
                <w:rFonts w:hint="eastAsia"/>
                <w:color w:val="000000" w:themeColor="text1"/>
                <w:lang w:val="en-US" w:eastAsia="zh-CN"/>
                <w14:textFill>
                  <w14:solidFill>
                    <w14:schemeClr w14:val="tx1"/>
                  </w14:solidFill>
                </w14:textFill>
              </w:rPr>
              <w:fldChar w:fldCharType="separate"/>
            </w:r>
            <w:r>
              <w:rPr>
                <w:rFonts w:hint="eastAsia"/>
                <w:color w:val="000000" w:themeColor="text1"/>
                <w:lang w:val="en-US" w:eastAsia="zh-CN"/>
                <w14:textFill>
                  <w14:solidFill>
                    <w14:schemeClr w14:val="tx1"/>
                  </w14:solidFill>
                </w14:textFill>
              </w:rPr>
              <w:t>②</w:t>
            </w:r>
            <w:r>
              <w:rPr>
                <w:rFonts w:hint="eastAsia"/>
                <w:color w:val="000000" w:themeColor="text1"/>
                <w:lang w:val="en-US" w:eastAsia="zh-CN"/>
                <w14:textFill>
                  <w14:solidFill>
                    <w14:schemeClr w14:val="tx1"/>
                  </w14:solidFill>
                </w14:textFill>
              </w:rPr>
              <w:fldChar w:fldCharType="end"/>
            </w:r>
            <w:r>
              <w:rPr>
                <w:rFonts w:hint="eastAsia"/>
                <w:color w:val="000000" w:themeColor="text1"/>
                <w:lang w:val="en-US" w:eastAsia="zh-CN"/>
                <w14:textFill>
                  <w14:solidFill>
                    <w14:schemeClr w14:val="tx1"/>
                  </w14:solidFill>
                </w14:textFill>
              </w:rPr>
              <w:t>厂区应建立完备的检测、记录、存档和报告制度，并对各类固废的去向、用途、用量等进行跟踪、记录和报告，相关资料至少保存5年。</w:t>
            </w:r>
          </w:p>
          <w:p>
            <w:pPr>
              <w:keepNext w:val="0"/>
              <w:keepLines w:val="0"/>
              <w:pageBreakBefore w:val="0"/>
              <w:widowControl w:val="0"/>
              <w:kinsoku/>
              <w:wordWrap/>
              <w:overflowPunct/>
              <w:topLinePunct w:val="0"/>
              <w:autoSpaceDE/>
              <w:autoSpaceDN/>
              <w:bidi w:val="0"/>
              <w:adjustRightInd w:val="0"/>
              <w:snapToGrid w:val="0"/>
              <w:spacing w:line="240" w:lineRule="auto"/>
              <w:ind w:firstLine="420" w:firstLineChars="200"/>
              <w:textAlignment w:val="auto"/>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fldChar w:fldCharType="begin"/>
            </w:r>
            <w:r>
              <w:rPr>
                <w:rFonts w:hint="eastAsia"/>
                <w:color w:val="000000" w:themeColor="text1"/>
                <w:lang w:val="en-US" w:eastAsia="zh-CN"/>
                <w14:textFill>
                  <w14:solidFill>
                    <w14:schemeClr w14:val="tx1"/>
                  </w14:solidFill>
                </w14:textFill>
              </w:rPr>
              <w:instrText xml:space="preserve"> = 3 \* GB3 \* MERGEFORMAT </w:instrText>
            </w:r>
            <w:r>
              <w:rPr>
                <w:rFonts w:hint="eastAsia"/>
                <w:color w:val="000000" w:themeColor="text1"/>
                <w:lang w:val="en-US" w:eastAsia="zh-CN"/>
                <w14:textFill>
                  <w14:solidFill>
                    <w14:schemeClr w14:val="tx1"/>
                  </w14:solidFill>
                </w14:textFill>
              </w:rPr>
              <w:fldChar w:fldCharType="separate"/>
            </w:r>
            <w:r>
              <w:rPr>
                <w:rFonts w:hint="eastAsia"/>
                <w:color w:val="000000" w:themeColor="text1"/>
                <w:lang w:val="en-US" w:eastAsia="zh-CN"/>
                <w14:textFill>
                  <w14:solidFill>
                    <w14:schemeClr w14:val="tx1"/>
                  </w14:solidFill>
                </w14:textFill>
              </w:rPr>
              <w:t>③</w:t>
            </w:r>
            <w:r>
              <w:rPr>
                <w:rFonts w:hint="eastAsia"/>
                <w:color w:val="000000" w:themeColor="text1"/>
                <w:lang w:val="en-US" w:eastAsia="zh-CN"/>
                <w14:textFill>
                  <w14:solidFill>
                    <w14:schemeClr w14:val="tx1"/>
                  </w14:solidFill>
                </w14:textFill>
              </w:rPr>
              <w:fldChar w:fldCharType="end"/>
            </w:r>
            <w:r>
              <w:rPr>
                <w:rFonts w:hint="eastAsia"/>
                <w:color w:val="000000" w:themeColor="text1"/>
                <w:lang w:val="en-US" w:eastAsia="zh-CN"/>
                <w14:textFill>
                  <w14:solidFill>
                    <w14:schemeClr w14:val="tx1"/>
                  </w14:solidFill>
                </w14:textFill>
              </w:rPr>
              <w:t>制定环境监测计划。</w:t>
            </w:r>
          </w:p>
          <w:p>
            <w:pPr>
              <w:rPr>
                <w:rFonts w:hint="default"/>
                <w:color w:val="000000" w:themeColor="text1"/>
                <w:lang w:val="en-US"/>
                <w14:textFill>
                  <w14:solidFill>
                    <w14:schemeClr w14:val="tx1"/>
                  </w14:solidFill>
                </w14:textFill>
              </w:rPr>
            </w:pPr>
          </w:p>
        </w:tc>
      </w:tr>
    </w:tbl>
    <w:p>
      <w:pPr>
        <w:pStyle w:val="23"/>
        <w:jc w:val="center"/>
        <w:outlineLvl w:val="0"/>
        <w:rPr>
          <w:rFonts w:ascii="Times New Roman" w:hAnsi="Times New Roman"/>
          <w:snapToGrid w:val="0"/>
          <w:color w:val="000000" w:themeColor="text1"/>
          <w:sz w:val="30"/>
          <w:szCs w:val="30"/>
          <w14:textFill>
            <w14:solidFill>
              <w14:schemeClr w14:val="tx1"/>
            </w14:solidFill>
          </w14:textFill>
        </w:rPr>
      </w:pPr>
      <w:r>
        <w:rPr>
          <w:rFonts w:ascii="Times New Roman" w:hAnsi="Times New Roman"/>
          <w:snapToGrid w:val="0"/>
          <w:color w:val="000000" w:themeColor="text1"/>
          <w14:textFill>
            <w14:solidFill>
              <w14:schemeClr w14:val="tx1"/>
            </w14:solidFill>
          </w14:textFill>
        </w:rPr>
        <w:br w:type="page"/>
      </w:r>
      <w:r>
        <w:rPr>
          <w:rFonts w:hint="eastAsia" w:ascii="Times New Roman" w:hAnsi="Times New Roman"/>
          <w:b/>
          <w:bCs/>
          <w:snapToGrid w:val="0"/>
          <w:color w:val="000000" w:themeColor="text1"/>
          <w:sz w:val="30"/>
          <w:szCs w:val="30"/>
          <w14:textFill>
            <w14:solidFill>
              <w14:schemeClr w14:val="tx1"/>
            </w14:solidFill>
          </w14:textFill>
        </w:rPr>
        <w:t>六、结论</w:t>
      </w:r>
    </w:p>
    <w:tbl>
      <w:tblPr>
        <w:tblStyle w:val="26"/>
        <w:tblW w:w="886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vAlign w:val="center"/>
          </w:tcPr>
          <w:p>
            <w:pPr>
              <w:spacing w:line="500" w:lineRule="exact"/>
              <w:ind w:firstLine="482" w:firstLineChars="200"/>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河南素佳生物科技有限公司植物、食用菌类深加工项目符合国家产业政策，在采取相应的治理措施后，本项目在运行过程中产生的各种污染因素可达到相关</w:t>
            </w:r>
            <w:r>
              <w:rPr>
                <w:rFonts w:hint="eastAsia"/>
                <w:b/>
                <w:color w:val="000000" w:themeColor="text1"/>
                <w:sz w:val="24"/>
                <w:lang w:val="en-US" w:eastAsia="zh-CN"/>
                <w14:textFill>
                  <w14:solidFill>
                    <w14:schemeClr w14:val="tx1"/>
                  </w14:solidFill>
                </w14:textFill>
              </w:rPr>
              <w:t>排放标准</w:t>
            </w:r>
            <w:r>
              <w:rPr>
                <w:rFonts w:hint="eastAsia"/>
                <w:b/>
                <w:color w:val="000000" w:themeColor="text1"/>
                <w:sz w:val="24"/>
                <w14:textFill>
                  <w14:solidFill>
                    <w14:schemeClr w14:val="tx1"/>
                  </w14:solidFill>
                </w14:textFill>
              </w:rPr>
              <w:t>和环保法规的要求，对周围水环境、大气环境、声环境的影响较小。在本项目实施过程中，必须严格落实本评价提出的各项污染防治措施和相关管理规定，确保环保设施正常运转。在此前提下，从环境保护角度考虑，项目建设是可行的。</w:t>
            </w:r>
          </w:p>
        </w:tc>
      </w:tr>
    </w:tbl>
    <w:p>
      <w:pPr>
        <w:rPr>
          <w:color w:val="000000" w:themeColor="text1"/>
          <w14:textFill>
            <w14:solidFill>
              <w14:schemeClr w14:val="tx1"/>
            </w14:solidFill>
          </w14:textFill>
        </w:rPr>
        <w:sectPr>
          <w:pgSz w:w="11906" w:h="16838"/>
          <w:pgMar w:top="1701" w:right="1531" w:bottom="1701" w:left="1531" w:header="851" w:footer="851" w:gutter="0"/>
          <w:pgBorders>
            <w:top w:val="none" w:sz="0" w:space="0"/>
            <w:left w:val="none" w:sz="0" w:space="0"/>
            <w:bottom w:val="none" w:sz="0" w:space="0"/>
            <w:right w:val="none" w:sz="0" w:space="0"/>
          </w:pgBorders>
          <w:cols w:space="720" w:num="1"/>
          <w:docGrid w:linePitch="312" w:charSpace="0"/>
        </w:sectPr>
      </w:pPr>
    </w:p>
    <w:p>
      <w:pPr>
        <w:pStyle w:val="23"/>
        <w:adjustRightInd w:val="0"/>
        <w:snapToGrid w:val="0"/>
        <w:spacing w:before="0" w:beforeAutospacing="0" w:after="0" w:afterAutospacing="0" w:line="648" w:lineRule="auto"/>
        <w:outlineLvl w:val="0"/>
        <w:rPr>
          <w:rFonts w:ascii="Times New Roman" w:hAnsi="Times New Roman"/>
          <w:snapToGrid w:val="0"/>
          <w:color w:val="000000" w:themeColor="text1"/>
          <w:sz w:val="32"/>
          <w:szCs w:val="32"/>
          <w14:textFill>
            <w14:solidFill>
              <w14:schemeClr w14:val="tx1"/>
            </w14:solidFill>
          </w14:textFill>
        </w:rPr>
      </w:pPr>
      <w:r>
        <w:rPr>
          <w:rFonts w:hint="eastAsia" w:ascii="Times New Roman" w:hAnsi="Times New Roman"/>
          <w:snapToGrid w:val="0"/>
          <w:color w:val="000000" w:themeColor="text1"/>
          <w:sz w:val="32"/>
          <w:szCs w:val="32"/>
          <w14:textFill>
            <w14:solidFill>
              <w14:schemeClr w14:val="tx1"/>
            </w14:solidFill>
          </w14:textFill>
        </w:rPr>
        <w:t>附表</w:t>
      </w:r>
    </w:p>
    <w:p>
      <w:pPr>
        <w:pStyle w:val="23"/>
        <w:adjustRightInd w:val="0"/>
        <w:snapToGrid w:val="0"/>
        <w:spacing w:before="0" w:beforeAutospacing="0" w:after="0" w:afterAutospacing="0" w:line="360" w:lineRule="auto"/>
        <w:jc w:val="center"/>
        <w:outlineLvl w:val="0"/>
        <w:rPr>
          <w:rFonts w:ascii="Times New Roman" w:hAnsi="Times New Roman"/>
          <w:snapToGrid w:val="0"/>
          <w:color w:val="000000" w:themeColor="text1"/>
          <w:sz w:val="38"/>
          <w:szCs w:val="38"/>
          <w14:textFill>
            <w14:solidFill>
              <w14:schemeClr w14:val="tx1"/>
            </w14:solidFill>
          </w14:textFill>
        </w:rPr>
      </w:pPr>
      <w:r>
        <w:rPr>
          <w:rFonts w:hint="eastAsia" w:ascii="Times New Roman" w:hAnsi="Times New Roman"/>
          <w:snapToGrid w:val="0"/>
          <w:color w:val="000000" w:themeColor="text1"/>
          <w:sz w:val="38"/>
          <w:szCs w:val="38"/>
          <w14:textFill>
            <w14:solidFill>
              <w14:schemeClr w14:val="tx1"/>
            </w14:solidFill>
          </w14:textFill>
        </w:rPr>
        <w:t>建设项目污染物排放量汇总表</w:t>
      </w:r>
    </w:p>
    <w:tbl>
      <w:tblPr>
        <w:tblStyle w:val="26"/>
        <w:tblW w:w="13788"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588"/>
        <w:gridCol w:w="1417"/>
        <w:gridCol w:w="1701"/>
        <w:gridCol w:w="1276"/>
        <w:gridCol w:w="1701"/>
        <w:gridCol w:w="1559"/>
        <w:gridCol w:w="1761"/>
        <w:gridCol w:w="1579"/>
        <w:gridCol w:w="120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4" w:hRule="atLeast"/>
        </w:trPr>
        <w:tc>
          <w:tcPr>
            <w:tcW w:w="1588" w:type="dxa"/>
            <w:tcBorders>
              <w:tl2br w:val="single" w:color="auto" w:sz="4" w:space="0"/>
            </w:tcBorders>
            <w:noWrap w:val="0"/>
            <w:tcMar>
              <w:left w:w="28" w:type="dxa"/>
              <w:right w:w="28" w:type="dxa"/>
            </w:tcMar>
            <w:vAlign w:val="center"/>
          </w:tcPr>
          <w:p>
            <w:pPr>
              <w:pStyle w:val="45"/>
              <w:spacing w:beforeLines="0" w:afterLines="0" w:line="240" w:lineRule="auto"/>
              <w:jc w:val="right"/>
              <w:rPr>
                <w:rFonts w:hint="eastAsia" w:ascii="Times New Roman" w:hAnsi="Times New Roman" w:eastAsia="黑体" w:cs="宋体"/>
                <w:snapToGrid w:val="0"/>
                <w:color w:val="000000" w:themeColor="text1"/>
                <w:spacing w:val="-6"/>
                <w:kern w:val="21"/>
                <w:szCs w:val="21"/>
                <w14:textFill>
                  <w14:solidFill>
                    <w14:schemeClr w14:val="tx1"/>
                  </w14:solidFill>
                </w14:textFill>
              </w:rPr>
            </w:pPr>
            <w:r>
              <w:rPr>
                <w:rFonts w:hint="eastAsia" w:ascii="Times New Roman" w:hAnsi="Times New Roman" w:eastAsia="黑体" w:cs="宋体"/>
                <w:snapToGrid w:val="0"/>
                <w:color w:val="000000" w:themeColor="text1"/>
                <w:spacing w:val="-6"/>
                <w:kern w:val="21"/>
                <w:szCs w:val="21"/>
                <w14:textFill>
                  <w14:solidFill>
                    <w14:schemeClr w14:val="tx1"/>
                  </w14:solidFill>
                </w14:textFill>
              </w:rPr>
              <w:t>项目</w:t>
            </w:r>
          </w:p>
          <w:p>
            <w:pPr>
              <w:pStyle w:val="45"/>
              <w:spacing w:beforeLines="0" w:afterLines="0" w:line="240" w:lineRule="auto"/>
              <w:jc w:val="left"/>
              <w:rPr>
                <w:rFonts w:hint="eastAsia" w:ascii="Times New Roman" w:hAnsi="Times New Roman" w:eastAsia="黑体" w:cs="宋体"/>
                <w:snapToGrid w:val="0"/>
                <w:color w:val="000000" w:themeColor="text1"/>
                <w:spacing w:val="-6"/>
                <w:kern w:val="21"/>
                <w:szCs w:val="21"/>
                <w14:textFill>
                  <w14:solidFill>
                    <w14:schemeClr w14:val="tx1"/>
                  </w14:solidFill>
                </w14:textFill>
              </w:rPr>
            </w:pPr>
            <w:r>
              <w:rPr>
                <w:rFonts w:hint="eastAsia" w:ascii="Times New Roman" w:hAnsi="Times New Roman" w:eastAsia="黑体" w:cs="宋体"/>
                <w:snapToGrid w:val="0"/>
                <w:color w:val="000000" w:themeColor="text1"/>
                <w:spacing w:val="-6"/>
                <w:kern w:val="21"/>
                <w:szCs w:val="21"/>
                <w14:textFill>
                  <w14:solidFill>
                    <w14:schemeClr w14:val="tx1"/>
                  </w14:solidFill>
                </w14:textFill>
              </w:rPr>
              <w:t>分类</w:t>
            </w:r>
          </w:p>
        </w:tc>
        <w:tc>
          <w:tcPr>
            <w:tcW w:w="1417" w:type="dxa"/>
            <w:noWrap w:val="0"/>
            <w:tcMar>
              <w:left w:w="28" w:type="dxa"/>
              <w:right w:w="28" w:type="dxa"/>
            </w:tcMar>
            <w:vAlign w:val="center"/>
          </w:tcPr>
          <w:p>
            <w:pPr>
              <w:pStyle w:val="45"/>
              <w:spacing w:beforeLines="0" w:afterLines="0" w:line="240" w:lineRule="auto"/>
              <w:rPr>
                <w:rFonts w:hint="eastAsia" w:ascii="Times New Roman" w:hAnsi="Times New Roman" w:eastAsia="黑体" w:cs="宋体"/>
                <w:snapToGrid w:val="0"/>
                <w:color w:val="000000" w:themeColor="text1"/>
                <w:spacing w:val="-6"/>
                <w:kern w:val="21"/>
                <w:szCs w:val="21"/>
                <w14:textFill>
                  <w14:solidFill>
                    <w14:schemeClr w14:val="tx1"/>
                  </w14:solidFill>
                </w14:textFill>
              </w:rPr>
            </w:pPr>
            <w:r>
              <w:rPr>
                <w:rFonts w:hint="eastAsia" w:ascii="Times New Roman" w:hAnsi="Times New Roman" w:eastAsia="黑体" w:cs="宋体"/>
                <w:snapToGrid w:val="0"/>
                <w:color w:val="000000" w:themeColor="text1"/>
                <w:spacing w:val="-6"/>
                <w:kern w:val="21"/>
                <w:szCs w:val="21"/>
                <w14:textFill>
                  <w14:solidFill>
                    <w14:schemeClr w14:val="tx1"/>
                  </w14:solidFill>
                </w14:textFill>
              </w:rPr>
              <w:t>污染物名称</w:t>
            </w:r>
          </w:p>
        </w:tc>
        <w:tc>
          <w:tcPr>
            <w:tcW w:w="1701" w:type="dxa"/>
            <w:noWrap w:val="0"/>
            <w:tcMar>
              <w:left w:w="28" w:type="dxa"/>
              <w:right w:w="28" w:type="dxa"/>
            </w:tcMar>
            <w:vAlign w:val="center"/>
          </w:tcPr>
          <w:p>
            <w:pPr>
              <w:pStyle w:val="45"/>
              <w:spacing w:beforeLines="0" w:afterLines="0" w:line="240" w:lineRule="auto"/>
              <w:rPr>
                <w:rFonts w:hint="eastAsia"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现有工程</w:t>
            </w:r>
          </w:p>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排放量（固</w:t>
            </w:r>
            <w:r>
              <w:rPr>
                <w:rFonts w:hint="eastAsia" w:ascii="Times New Roman" w:hAnsi="Times New Roman" w:eastAsia="黑体"/>
                <w:snapToGrid w:val="0"/>
                <w:color w:val="000000" w:themeColor="text1"/>
                <w:spacing w:val="-6"/>
                <w:kern w:val="21"/>
                <w:szCs w:val="21"/>
                <w14:textFill>
                  <w14:solidFill>
                    <w14:schemeClr w14:val="tx1"/>
                  </w14:solidFill>
                </w14:textFill>
              </w:rPr>
              <w:t>体</w:t>
            </w:r>
            <w:r>
              <w:rPr>
                <w:rFonts w:ascii="Times New Roman" w:hAnsi="Times New Roman" w:eastAsia="黑体"/>
                <w:snapToGrid w:val="0"/>
                <w:color w:val="000000" w:themeColor="text1"/>
                <w:spacing w:val="-6"/>
                <w:kern w:val="21"/>
                <w:szCs w:val="21"/>
                <w14:textFill>
                  <w14:solidFill>
                    <w14:schemeClr w14:val="tx1"/>
                  </w14:solidFill>
                </w14:textFill>
              </w:rPr>
              <w:t>废</w:t>
            </w:r>
            <w:r>
              <w:rPr>
                <w:rFonts w:hint="eastAsia" w:ascii="Times New Roman" w:hAnsi="Times New Roman" w:eastAsia="黑体"/>
                <w:snapToGrid w:val="0"/>
                <w:color w:val="000000" w:themeColor="text1"/>
                <w:spacing w:val="-6"/>
                <w:kern w:val="21"/>
                <w:szCs w:val="21"/>
                <w14:textFill>
                  <w14:solidFill>
                    <w14:schemeClr w14:val="tx1"/>
                  </w14:solidFill>
                </w14:textFill>
              </w:rPr>
              <w:t>物</w:t>
            </w:r>
            <w:r>
              <w:rPr>
                <w:rFonts w:ascii="Times New Roman" w:hAnsi="Times New Roman" w:eastAsia="黑体"/>
                <w:snapToGrid w:val="0"/>
                <w:color w:val="000000" w:themeColor="text1"/>
                <w:spacing w:val="-6"/>
                <w:kern w:val="21"/>
                <w:szCs w:val="21"/>
                <w14:textFill>
                  <w14:solidFill>
                    <w14:schemeClr w14:val="tx1"/>
                  </w14:solidFill>
                </w14:textFill>
              </w:rPr>
              <w:t>产生量）</w:t>
            </w:r>
            <w:r>
              <w:rPr>
                <w:rFonts w:ascii="Times New Roman" w:hAnsi="Times New Roman" w:eastAsia="黑体"/>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snapToGrid w:val="0"/>
                <w:color w:val="000000" w:themeColor="text1"/>
                <w:spacing w:val="-6"/>
                <w:kern w:val="21"/>
                <w:szCs w:val="21"/>
                <w14:textFill>
                  <w14:solidFill>
                    <w14:schemeClr w14:val="tx1"/>
                  </w14:solidFill>
                </w14:textFill>
              </w:rPr>
              <w:instrText xml:space="preserve"> = 1 \* GB3 \* MERGEFORMAT </w:instrText>
            </w:r>
            <w:r>
              <w:rPr>
                <w:rFonts w:ascii="Times New Roman" w:hAnsi="Times New Roman" w:eastAsia="黑体"/>
                <w:snapToGrid w:val="0"/>
                <w:color w:val="000000" w:themeColor="text1"/>
                <w:spacing w:val="-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①</w:t>
            </w:r>
            <w:r>
              <w:rPr>
                <w:rFonts w:ascii="Times New Roman" w:hAnsi="Times New Roman" w:eastAsia="黑体"/>
                <w:snapToGrid w:val="0"/>
                <w:color w:val="000000" w:themeColor="text1"/>
                <w:spacing w:val="-6"/>
                <w:kern w:val="21"/>
                <w:szCs w:val="21"/>
                <w14:textFill>
                  <w14:solidFill>
                    <w14:schemeClr w14:val="tx1"/>
                  </w14:solidFill>
                </w14:textFill>
              </w:rPr>
              <w:fldChar w:fldCharType="end"/>
            </w:r>
          </w:p>
        </w:tc>
        <w:tc>
          <w:tcPr>
            <w:tcW w:w="1276" w:type="dxa"/>
            <w:noWrap w:val="0"/>
            <w:tcMar>
              <w:left w:w="28" w:type="dxa"/>
              <w:right w:w="28" w:type="dxa"/>
            </w:tcMar>
            <w:vAlign w:val="center"/>
          </w:tcPr>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现有工程</w:t>
            </w:r>
          </w:p>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许可排放量</w:t>
            </w:r>
          </w:p>
          <w:p>
            <w:pPr>
              <w:pStyle w:val="45"/>
              <w:spacing w:beforeLines="0" w:afterLines="0"/>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snapToGrid w:val="0"/>
                <w:color w:val="000000" w:themeColor="text1"/>
                <w:spacing w:val="-6"/>
                <w:kern w:val="21"/>
                <w:szCs w:val="21"/>
                <w14:textFill>
                  <w14:solidFill>
                    <w14:schemeClr w14:val="tx1"/>
                  </w14:solidFill>
                </w14:textFill>
              </w:rPr>
              <w:instrText xml:space="preserve"> = 2 \* GB3 \* MERGEFORMAT </w:instrText>
            </w:r>
            <w:r>
              <w:rPr>
                <w:rFonts w:ascii="Times New Roman" w:hAnsi="Times New Roman" w:eastAsia="黑体"/>
                <w:snapToGrid w:val="0"/>
                <w:color w:val="000000" w:themeColor="text1"/>
                <w:spacing w:val="-6"/>
                <w:kern w:val="21"/>
                <w:szCs w:val="21"/>
                <w14:textFill>
                  <w14:solidFill>
                    <w14:schemeClr w14:val="tx1"/>
                  </w14:solidFill>
                </w14:textFill>
              </w:rPr>
              <w:fldChar w:fldCharType="separate"/>
            </w:r>
            <w:r>
              <w:rPr>
                <w:rFonts w:hint="eastAsia" w:ascii="Times New Roman" w:hAnsi="Times New Roman" w:eastAsia="黑体" w:cs="宋体"/>
                <w:snapToGrid w:val="0"/>
                <w:color w:val="000000" w:themeColor="text1"/>
                <w:spacing w:val="-6"/>
                <w:kern w:val="21"/>
                <w:szCs w:val="21"/>
                <w14:textFill>
                  <w14:solidFill>
                    <w14:schemeClr w14:val="tx1"/>
                  </w14:solidFill>
                </w14:textFill>
              </w:rPr>
              <w:t>②</w:t>
            </w:r>
            <w:r>
              <w:rPr>
                <w:rFonts w:ascii="Times New Roman" w:hAnsi="Times New Roman" w:eastAsia="黑体"/>
                <w:snapToGrid w:val="0"/>
                <w:color w:val="000000" w:themeColor="text1"/>
                <w:spacing w:val="-6"/>
                <w:kern w:val="21"/>
                <w:szCs w:val="21"/>
                <w14:textFill>
                  <w14:solidFill>
                    <w14:schemeClr w14:val="tx1"/>
                  </w14:solidFill>
                </w14:textFill>
              </w:rPr>
              <w:fldChar w:fldCharType="end"/>
            </w:r>
          </w:p>
        </w:tc>
        <w:tc>
          <w:tcPr>
            <w:tcW w:w="1701" w:type="dxa"/>
            <w:noWrap w:val="0"/>
            <w:tcMar>
              <w:left w:w="28" w:type="dxa"/>
              <w:right w:w="28" w:type="dxa"/>
            </w:tcMar>
            <w:vAlign w:val="center"/>
          </w:tcPr>
          <w:p>
            <w:pPr>
              <w:pStyle w:val="45"/>
              <w:spacing w:beforeLines="0" w:afterLines="0" w:line="240" w:lineRule="auto"/>
              <w:rPr>
                <w:rFonts w:hint="eastAsia"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在建工程</w:t>
            </w:r>
          </w:p>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排放量（固</w:t>
            </w:r>
            <w:r>
              <w:rPr>
                <w:rFonts w:hint="eastAsia" w:ascii="Times New Roman" w:hAnsi="Times New Roman" w:eastAsia="黑体"/>
                <w:snapToGrid w:val="0"/>
                <w:color w:val="000000" w:themeColor="text1"/>
                <w:spacing w:val="-6"/>
                <w:kern w:val="21"/>
                <w:szCs w:val="21"/>
                <w14:textFill>
                  <w14:solidFill>
                    <w14:schemeClr w14:val="tx1"/>
                  </w14:solidFill>
                </w14:textFill>
              </w:rPr>
              <w:t>体</w:t>
            </w:r>
            <w:r>
              <w:rPr>
                <w:rFonts w:ascii="Times New Roman" w:hAnsi="Times New Roman" w:eastAsia="黑体"/>
                <w:snapToGrid w:val="0"/>
                <w:color w:val="000000" w:themeColor="text1"/>
                <w:spacing w:val="-6"/>
                <w:kern w:val="21"/>
                <w:szCs w:val="21"/>
                <w14:textFill>
                  <w14:solidFill>
                    <w14:schemeClr w14:val="tx1"/>
                  </w14:solidFill>
                </w14:textFill>
              </w:rPr>
              <w:t>废</w:t>
            </w:r>
            <w:r>
              <w:rPr>
                <w:rFonts w:hint="eastAsia" w:ascii="Times New Roman" w:hAnsi="Times New Roman" w:eastAsia="黑体"/>
                <w:snapToGrid w:val="0"/>
                <w:color w:val="000000" w:themeColor="text1"/>
                <w:spacing w:val="-6"/>
                <w:kern w:val="21"/>
                <w:szCs w:val="21"/>
                <w14:textFill>
                  <w14:solidFill>
                    <w14:schemeClr w14:val="tx1"/>
                  </w14:solidFill>
                </w14:textFill>
              </w:rPr>
              <w:t>物</w:t>
            </w:r>
            <w:r>
              <w:rPr>
                <w:rFonts w:ascii="Times New Roman" w:hAnsi="Times New Roman" w:eastAsia="黑体"/>
                <w:snapToGrid w:val="0"/>
                <w:color w:val="000000" w:themeColor="text1"/>
                <w:spacing w:val="-6"/>
                <w:kern w:val="21"/>
                <w:szCs w:val="21"/>
                <w14:textFill>
                  <w14:solidFill>
                    <w14:schemeClr w14:val="tx1"/>
                  </w14:solidFill>
                </w14:textFill>
              </w:rPr>
              <w:t>产生量）</w:t>
            </w:r>
            <w:r>
              <w:rPr>
                <w:rFonts w:ascii="Times New Roman" w:hAnsi="Times New Roman" w:eastAsia="黑体"/>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snapToGrid w:val="0"/>
                <w:color w:val="000000" w:themeColor="text1"/>
                <w:spacing w:val="-6"/>
                <w:kern w:val="21"/>
                <w:szCs w:val="21"/>
                <w14:textFill>
                  <w14:solidFill>
                    <w14:schemeClr w14:val="tx1"/>
                  </w14:solidFill>
                </w14:textFill>
              </w:rPr>
              <w:instrText xml:space="preserve"> = 3 \* GB3 \* MERGEFORMAT </w:instrText>
            </w:r>
            <w:r>
              <w:rPr>
                <w:rFonts w:ascii="Times New Roman" w:hAnsi="Times New Roman" w:eastAsia="黑体"/>
                <w:snapToGrid w:val="0"/>
                <w:color w:val="000000" w:themeColor="text1"/>
                <w:spacing w:val="-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③</w:t>
            </w:r>
            <w:r>
              <w:rPr>
                <w:rFonts w:ascii="Times New Roman" w:hAnsi="Times New Roman" w:eastAsia="黑体"/>
                <w:snapToGrid w:val="0"/>
                <w:color w:val="000000" w:themeColor="text1"/>
                <w:spacing w:val="-6"/>
                <w:kern w:val="21"/>
                <w:szCs w:val="21"/>
                <w14:textFill>
                  <w14:solidFill>
                    <w14:schemeClr w14:val="tx1"/>
                  </w14:solidFill>
                </w14:textFill>
              </w:rPr>
              <w:fldChar w:fldCharType="end"/>
            </w:r>
          </w:p>
        </w:tc>
        <w:tc>
          <w:tcPr>
            <w:tcW w:w="1559" w:type="dxa"/>
            <w:noWrap w:val="0"/>
            <w:tcMar>
              <w:left w:w="28" w:type="dxa"/>
              <w:right w:w="28" w:type="dxa"/>
            </w:tcMar>
            <w:vAlign w:val="center"/>
          </w:tcPr>
          <w:p>
            <w:pPr>
              <w:pStyle w:val="45"/>
              <w:spacing w:beforeLines="0" w:afterLines="0" w:line="240" w:lineRule="auto"/>
              <w:rPr>
                <w:rFonts w:hint="eastAsia"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本项目</w:t>
            </w:r>
          </w:p>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排放量（固</w:t>
            </w:r>
            <w:r>
              <w:rPr>
                <w:rFonts w:hint="eastAsia" w:ascii="Times New Roman" w:hAnsi="Times New Roman" w:eastAsia="黑体"/>
                <w:snapToGrid w:val="0"/>
                <w:color w:val="000000" w:themeColor="text1"/>
                <w:spacing w:val="-6"/>
                <w:kern w:val="21"/>
                <w:szCs w:val="21"/>
                <w14:textFill>
                  <w14:solidFill>
                    <w14:schemeClr w14:val="tx1"/>
                  </w14:solidFill>
                </w14:textFill>
              </w:rPr>
              <w:t>体</w:t>
            </w:r>
            <w:r>
              <w:rPr>
                <w:rFonts w:ascii="Times New Roman" w:hAnsi="Times New Roman" w:eastAsia="黑体"/>
                <w:snapToGrid w:val="0"/>
                <w:color w:val="000000" w:themeColor="text1"/>
                <w:spacing w:val="-6"/>
                <w:kern w:val="21"/>
                <w:szCs w:val="21"/>
                <w14:textFill>
                  <w14:solidFill>
                    <w14:schemeClr w14:val="tx1"/>
                  </w14:solidFill>
                </w14:textFill>
              </w:rPr>
              <w:t>废</w:t>
            </w:r>
            <w:r>
              <w:rPr>
                <w:rFonts w:hint="eastAsia" w:ascii="Times New Roman" w:hAnsi="Times New Roman" w:eastAsia="黑体"/>
                <w:snapToGrid w:val="0"/>
                <w:color w:val="000000" w:themeColor="text1"/>
                <w:spacing w:val="-6"/>
                <w:kern w:val="21"/>
                <w:szCs w:val="21"/>
                <w14:textFill>
                  <w14:solidFill>
                    <w14:schemeClr w14:val="tx1"/>
                  </w14:solidFill>
                </w14:textFill>
              </w:rPr>
              <w:t>物</w:t>
            </w:r>
            <w:r>
              <w:rPr>
                <w:rFonts w:ascii="Times New Roman" w:hAnsi="Times New Roman" w:eastAsia="黑体"/>
                <w:snapToGrid w:val="0"/>
                <w:color w:val="000000" w:themeColor="text1"/>
                <w:spacing w:val="-6"/>
                <w:kern w:val="21"/>
                <w:szCs w:val="21"/>
                <w14:textFill>
                  <w14:solidFill>
                    <w14:schemeClr w14:val="tx1"/>
                  </w14:solidFill>
                </w14:textFill>
              </w:rPr>
              <w:t>产生量）</w:t>
            </w:r>
            <w:r>
              <w:rPr>
                <w:rFonts w:ascii="Times New Roman" w:hAnsi="Times New Roman" w:eastAsia="黑体"/>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snapToGrid w:val="0"/>
                <w:color w:val="000000" w:themeColor="text1"/>
                <w:spacing w:val="-6"/>
                <w:kern w:val="21"/>
                <w:szCs w:val="21"/>
                <w14:textFill>
                  <w14:solidFill>
                    <w14:schemeClr w14:val="tx1"/>
                  </w14:solidFill>
                </w14:textFill>
              </w:rPr>
              <w:instrText xml:space="preserve"> = 4 \* GB3 \* MERGEFORMAT </w:instrText>
            </w:r>
            <w:r>
              <w:rPr>
                <w:rFonts w:ascii="Times New Roman" w:hAnsi="Times New Roman" w:eastAsia="黑体"/>
                <w:snapToGrid w:val="0"/>
                <w:color w:val="000000" w:themeColor="text1"/>
                <w:spacing w:val="-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④</w:t>
            </w:r>
            <w:r>
              <w:rPr>
                <w:rFonts w:ascii="Times New Roman" w:hAnsi="Times New Roman" w:eastAsia="黑体"/>
                <w:snapToGrid w:val="0"/>
                <w:color w:val="000000" w:themeColor="text1"/>
                <w:spacing w:val="-6"/>
                <w:kern w:val="21"/>
                <w:szCs w:val="21"/>
                <w14:textFill>
                  <w14:solidFill>
                    <w14:schemeClr w14:val="tx1"/>
                  </w14:solidFill>
                </w14:textFill>
              </w:rPr>
              <w:fldChar w:fldCharType="end"/>
            </w:r>
          </w:p>
        </w:tc>
        <w:tc>
          <w:tcPr>
            <w:tcW w:w="1761" w:type="dxa"/>
            <w:noWrap w:val="0"/>
            <w:tcMar>
              <w:left w:w="28" w:type="dxa"/>
              <w:right w:w="28" w:type="dxa"/>
            </w:tcMar>
            <w:vAlign w:val="center"/>
          </w:tcPr>
          <w:p>
            <w:pPr>
              <w:pStyle w:val="45"/>
              <w:spacing w:beforeLines="0" w:afterLines="0" w:line="240" w:lineRule="auto"/>
              <w:rPr>
                <w:rFonts w:hint="eastAsia" w:ascii="Times New Roman" w:hAnsi="Times New Roman" w:eastAsia="黑体"/>
                <w:snapToGrid w:val="0"/>
                <w:color w:val="000000" w:themeColor="text1"/>
                <w:spacing w:val="-16"/>
                <w:kern w:val="21"/>
                <w:szCs w:val="21"/>
                <w14:textFill>
                  <w14:solidFill>
                    <w14:schemeClr w14:val="tx1"/>
                  </w14:solidFill>
                </w14:textFill>
              </w:rPr>
            </w:pPr>
            <w:r>
              <w:rPr>
                <w:rFonts w:ascii="Times New Roman" w:hAnsi="Times New Roman" w:eastAsia="黑体"/>
                <w:snapToGrid w:val="0"/>
                <w:color w:val="000000" w:themeColor="text1"/>
                <w:spacing w:val="-16"/>
                <w:kern w:val="21"/>
                <w:szCs w:val="21"/>
                <w14:textFill>
                  <w14:solidFill>
                    <w14:schemeClr w14:val="tx1"/>
                  </w14:solidFill>
                </w14:textFill>
              </w:rPr>
              <w:t>以新带老削减量</w:t>
            </w:r>
          </w:p>
          <w:p>
            <w:pPr>
              <w:pStyle w:val="45"/>
              <w:spacing w:beforeLines="0" w:afterLines="0" w:line="240" w:lineRule="auto"/>
              <w:rPr>
                <w:rFonts w:ascii="Times New Roman" w:hAnsi="Times New Roman" w:eastAsia="黑体"/>
                <w:snapToGrid w:val="0"/>
                <w:color w:val="000000" w:themeColor="text1"/>
                <w:spacing w:val="-16"/>
                <w:kern w:val="21"/>
                <w:szCs w:val="21"/>
                <w14:textFill>
                  <w14:solidFill>
                    <w14:schemeClr w14:val="tx1"/>
                  </w14:solidFill>
                </w14:textFill>
              </w:rPr>
            </w:pPr>
            <w:r>
              <w:rPr>
                <w:rFonts w:ascii="Times New Roman" w:hAnsi="Times New Roman" w:eastAsia="黑体"/>
                <w:snapToGrid w:val="0"/>
                <w:color w:val="000000" w:themeColor="text1"/>
                <w:spacing w:val="-16"/>
                <w:kern w:val="21"/>
                <w:szCs w:val="21"/>
                <w14:textFill>
                  <w14:solidFill>
                    <w14:schemeClr w14:val="tx1"/>
                  </w14:solidFill>
                </w14:textFill>
              </w:rPr>
              <w:t>（新建项目不填）</w:t>
            </w:r>
            <w:r>
              <w:rPr>
                <w:rFonts w:ascii="Times New Roman" w:hAnsi="Times New Roman" w:eastAsia="黑体"/>
                <w:snapToGrid w:val="0"/>
                <w:color w:val="000000" w:themeColor="text1"/>
                <w:spacing w:val="-16"/>
                <w:kern w:val="21"/>
                <w:szCs w:val="21"/>
                <w14:textFill>
                  <w14:solidFill>
                    <w14:schemeClr w14:val="tx1"/>
                  </w14:solidFill>
                </w14:textFill>
              </w:rPr>
              <w:fldChar w:fldCharType="begin"/>
            </w:r>
            <w:r>
              <w:rPr>
                <w:rFonts w:ascii="Times New Roman" w:hAnsi="Times New Roman" w:eastAsia="黑体"/>
                <w:snapToGrid w:val="0"/>
                <w:color w:val="000000" w:themeColor="text1"/>
                <w:spacing w:val="-16"/>
                <w:kern w:val="21"/>
                <w:szCs w:val="21"/>
                <w14:textFill>
                  <w14:solidFill>
                    <w14:schemeClr w14:val="tx1"/>
                  </w14:solidFill>
                </w14:textFill>
              </w:rPr>
              <w:instrText xml:space="preserve"> = 5 \* GB3 \* MERGEFORMAT </w:instrText>
            </w:r>
            <w:r>
              <w:rPr>
                <w:rFonts w:ascii="Times New Roman" w:hAnsi="Times New Roman" w:eastAsia="黑体"/>
                <w:snapToGrid w:val="0"/>
                <w:color w:val="000000" w:themeColor="text1"/>
                <w:spacing w:val="-1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⑤</w:t>
            </w:r>
            <w:r>
              <w:rPr>
                <w:rFonts w:ascii="Times New Roman" w:hAnsi="Times New Roman" w:eastAsia="黑体"/>
                <w:snapToGrid w:val="0"/>
                <w:color w:val="000000" w:themeColor="text1"/>
                <w:spacing w:val="-16"/>
                <w:kern w:val="21"/>
                <w:szCs w:val="21"/>
                <w14:textFill>
                  <w14:solidFill>
                    <w14:schemeClr w14:val="tx1"/>
                  </w14:solidFill>
                </w14:textFill>
              </w:rPr>
              <w:fldChar w:fldCharType="end"/>
            </w:r>
          </w:p>
        </w:tc>
        <w:tc>
          <w:tcPr>
            <w:tcW w:w="1579" w:type="dxa"/>
            <w:noWrap w:val="0"/>
            <w:tcMar>
              <w:left w:w="28" w:type="dxa"/>
              <w:right w:w="28" w:type="dxa"/>
            </w:tcMar>
            <w:vAlign w:val="center"/>
          </w:tcPr>
          <w:p>
            <w:pPr>
              <w:pStyle w:val="45"/>
              <w:spacing w:beforeLines="0" w:afterLines="0" w:line="240" w:lineRule="auto"/>
              <w:rPr>
                <w:rFonts w:hint="eastAsia" w:ascii="Times New Roman" w:hAnsi="Times New Roman" w:eastAsia="黑体"/>
                <w:snapToGrid w:val="0"/>
                <w:color w:val="000000" w:themeColor="text1"/>
                <w:spacing w:val="-16"/>
                <w:kern w:val="21"/>
                <w:szCs w:val="21"/>
                <w14:textFill>
                  <w14:solidFill>
                    <w14:schemeClr w14:val="tx1"/>
                  </w14:solidFill>
                </w14:textFill>
              </w:rPr>
            </w:pPr>
            <w:r>
              <w:rPr>
                <w:rFonts w:ascii="Times New Roman" w:hAnsi="Times New Roman" w:eastAsia="黑体"/>
                <w:snapToGrid w:val="0"/>
                <w:color w:val="000000" w:themeColor="text1"/>
                <w:spacing w:val="-16"/>
                <w:kern w:val="21"/>
                <w:szCs w:val="21"/>
                <w14:textFill>
                  <w14:solidFill>
                    <w14:schemeClr w14:val="tx1"/>
                  </w14:solidFill>
                </w14:textFill>
              </w:rPr>
              <w:t>本项目建成后</w:t>
            </w:r>
          </w:p>
          <w:p>
            <w:pPr>
              <w:pStyle w:val="45"/>
              <w:spacing w:beforeLines="0" w:afterLines="0" w:line="240" w:lineRule="auto"/>
              <w:rPr>
                <w:rFonts w:ascii="Times New Roman" w:hAnsi="Times New Roman" w:eastAsia="黑体"/>
                <w:snapToGrid w:val="0"/>
                <w:color w:val="000000" w:themeColor="text1"/>
                <w:spacing w:val="-16"/>
                <w:kern w:val="21"/>
                <w:szCs w:val="21"/>
                <w14:textFill>
                  <w14:solidFill>
                    <w14:schemeClr w14:val="tx1"/>
                  </w14:solidFill>
                </w14:textFill>
              </w:rPr>
            </w:pPr>
            <w:r>
              <w:rPr>
                <w:rFonts w:hint="eastAsia" w:ascii="Times New Roman" w:hAnsi="Times New Roman" w:eastAsia="黑体"/>
                <w:snapToGrid w:val="0"/>
                <w:color w:val="000000" w:themeColor="text1"/>
                <w:spacing w:val="-16"/>
                <w:kern w:val="21"/>
                <w:szCs w:val="21"/>
                <w14:textFill>
                  <w14:solidFill>
                    <w14:schemeClr w14:val="tx1"/>
                  </w14:solidFill>
                </w14:textFill>
              </w:rPr>
              <w:t>全厂</w:t>
            </w:r>
            <w:r>
              <w:rPr>
                <w:rFonts w:ascii="Times New Roman" w:hAnsi="Times New Roman" w:eastAsia="黑体"/>
                <w:snapToGrid w:val="0"/>
                <w:color w:val="000000" w:themeColor="text1"/>
                <w:spacing w:val="-16"/>
                <w:kern w:val="21"/>
                <w:szCs w:val="21"/>
                <w14:textFill>
                  <w14:solidFill>
                    <w14:schemeClr w14:val="tx1"/>
                  </w14:solidFill>
                </w14:textFill>
              </w:rPr>
              <w:t>排放量（固</w:t>
            </w:r>
            <w:r>
              <w:rPr>
                <w:rFonts w:hint="eastAsia" w:ascii="Times New Roman" w:hAnsi="Times New Roman" w:eastAsia="黑体"/>
                <w:snapToGrid w:val="0"/>
                <w:color w:val="000000" w:themeColor="text1"/>
                <w:spacing w:val="-16"/>
                <w:kern w:val="21"/>
                <w:szCs w:val="21"/>
                <w14:textFill>
                  <w14:solidFill>
                    <w14:schemeClr w14:val="tx1"/>
                  </w14:solidFill>
                </w14:textFill>
              </w:rPr>
              <w:t>体</w:t>
            </w:r>
            <w:r>
              <w:rPr>
                <w:rFonts w:ascii="Times New Roman" w:hAnsi="Times New Roman" w:eastAsia="黑体"/>
                <w:snapToGrid w:val="0"/>
                <w:color w:val="000000" w:themeColor="text1"/>
                <w:spacing w:val="-16"/>
                <w:kern w:val="21"/>
                <w:szCs w:val="21"/>
                <w14:textFill>
                  <w14:solidFill>
                    <w14:schemeClr w14:val="tx1"/>
                  </w14:solidFill>
                </w14:textFill>
              </w:rPr>
              <w:t>废</w:t>
            </w:r>
            <w:r>
              <w:rPr>
                <w:rFonts w:hint="eastAsia" w:ascii="Times New Roman" w:hAnsi="Times New Roman" w:eastAsia="黑体"/>
                <w:snapToGrid w:val="0"/>
                <w:color w:val="000000" w:themeColor="text1"/>
                <w:spacing w:val="-16"/>
                <w:kern w:val="21"/>
                <w:szCs w:val="21"/>
                <w14:textFill>
                  <w14:solidFill>
                    <w14:schemeClr w14:val="tx1"/>
                  </w14:solidFill>
                </w14:textFill>
              </w:rPr>
              <w:t>物</w:t>
            </w:r>
            <w:r>
              <w:rPr>
                <w:rFonts w:ascii="Times New Roman" w:hAnsi="Times New Roman" w:eastAsia="黑体"/>
                <w:snapToGrid w:val="0"/>
                <w:color w:val="000000" w:themeColor="text1"/>
                <w:spacing w:val="-16"/>
                <w:kern w:val="21"/>
                <w:szCs w:val="21"/>
                <w14:textFill>
                  <w14:solidFill>
                    <w14:schemeClr w14:val="tx1"/>
                  </w14:solidFill>
                </w14:textFill>
              </w:rPr>
              <w:t>产生量）</w:t>
            </w:r>
            <w:r>
              <w:rPr>
                <w:rFonts w:ascii="Times New Roman" w:hAnsi="Times New Roman" w:eastAsia="黑体"/>
                <w:snapToGrid w:val="0"/>
                <w:color w:val="000000" w:themeColor="text1"/>
                <w:spacing w:val="-16"/>
                <w:kern w:val="21"/>
                <w:szCs w:val="21"/>
                <w14:textFill>
                  <w14:solidFill>
                    <w14:schemeClr w14:val="tx1"/>
                  </w14:solidFill>
                </w14:textFill>
              </w:rPr>
              <w:fldChar w:fldCharType="begin"/>
            </w:r>
            <w:r>
              <w:rPr>
                <w:rFonts w:ascii="Times New Roman" w:hAnsi="Times New Roman" w:eastAsia="黑体"/>
                <w:snapToGrid w:val="0"/>
                <w:color w:val="000000" w:themeColor="text1"/>
                <w:spacing w:val="-16"/>
                <w:kern w:val="21"/>
                <w:szCs w:val="21"/>
                <w14:textFill>
                  <w14:solidFill>
                    <w14:schemeClr w14:val="tx1"/>
                  </w14:solidFill>
                </w14:textFill>
              </w:rPr>
              <w:instrText xml:space="preserve"> = 6 \* GB3 \* MERGEFORMAT </w:instrText>
            </w:r>
            <w:r>
              <w:rPr>
                <w:rFonts w:ascii="Times New Roman" w:hAnsi="Times New Roman" w:eastAsia="黑体"/>
                <w:snapToGrid w:val="0"/>
                <w:color w:val="000000" w:themeColor="text1"/>
                <w:spacing w:val="-1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⑥</w:t>
            </w:r>
            <w:r>
              <w:rPr>
                <w:rFonts w:ascii="Times New Roman" w:hAnsi="Times New Roman" w:eastAsia="黑体"/>
                <w:snapToGrid w:val="0"/>
                <w:color w:val="000000" w:themeColor="text1"/>
                <w:spacing w:val="-16"/>
                <w:kern w:val="21"/>
                <w:szCs w:val="21"/>
                <w14:textFill>
                  <w14:solidFill>
                    <w14:schemeClr w14:val="tx1"/>
                  </w14:solidFill>
                </w14:textFill>
              </w:rPr>
              <w:fldChar w:fldCharType="end"/>
            </w:r>
          </w:p>
        </w:tc>
        <w:tc>
          <w:tcPr>
            <w:tcW w:w="1206" w:type="dxa"/>
            <w:noWrap w:val="0"/>
            <w:tcMar>
              <w:left w:w="28" w:type="dxa"/>
              <w:right w:w="28" w:type="dxa"/>
            </w:tcMar>
            <w:vAlign w:val="center"/>
          </w:tcPr>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t>变化量</w:t>
            </w:r>
          </w:p>
          <w:p>
            <w:pPr>
              <w:pStyle w:val="45"/>
              <w:spacing w:beforeLines="0" w:afterLines="0" w:line="240" w:lineRule="auto"/>
              <w:rPr>
                <w:rFonts w:ascii="Times New Roman" w:hAnsi="Times New Roman" w:eastAsia="黑体"/>
                <w:snapToGrid w:val="0"/>
                <w:color w:val="000000" w:themeColor="text1"/>
                <w:spacing w:val="-6"/>
                <w:kern w:val="21"/>
                <w:szCs w:val="21"/>
                <w14:textFill>
                  <w14:solidFill>
                    <w14:schemeClr w14:val="tx1"/>
                  </w14:solidFill>
                </w14:textFill>
              </w:rPr>
            </w:pPr>
            <w:r>
              <w:rPr>
                <w:rFonts w:ascii="Times New Roman" w:hAnsi="Times New Roman" w:eastAsia="黑体"/>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snapToGrid w:val="0"/>
                <w:color w:val="000000" w:themeColor="text1"/>
                <w:spacing w:val="-6"/>
                <w:kern w:val="21"/>
                <w:szCs w:val="21"/>
                <w14:textFill>
                  <w14:solidFill>
                    <w14:schemeClr w14:val="tx1"/>
                  </w14:solidFill>
                </w14:textFill>
              </w:rPr>
              <w:instrText xml:space="preserve"> = 7 \* GB3 \* MERGEFORMAT </w:instrText>
            </w:r>
            <w:r>
              <w:rPr>
                <w:rFonts w:ascii="Times New Roman" w:hAnsi="Times New Roman" w:eastAsia="黑体"/>
                <w:snapToGrid w:val="0"/>
                <w:color w:val="000000" w:themeColor="text1"/>
                <w:spacing w:val="-6"/>
                <w:kern w:val="21"/>
                <w:szCs w:val="21"/>
                <w14:textFill>
                  <w14:solidFill>
                    <w14:schemeClr w14:val="tx1"/>
                  </w14:solidFill>
                </w14:textFill>
              </w:rPr>
              <w:fldChar w:fldCharType="separate"/>
            </w:r>
            <w:r>
              <w:rPr>
                <w:rFonts w:hint="eastAsia" w:ascii="Times New Roman" w:hAnsi="Times New Roman" w:eastAsia="黑体" w:cs="宋体"/>
                <w:color w:val="000000" w:themeColor="text1"/>
                <w:kern w:val="2"/>
                <w:szCs w:val="21"/>
                <w14:textFill>
                  <w14:solidFill>
                    <w14:schemeClr w14:val="tx1"/>
                  </w14:solidFill>
                </w14:textFill>
              </w:rPr>
              <w:t>⑦</w:t>
            </w:r>
            <w:r>
              <w:rPr>
                <w:rFonts w:ascii="Times New Roman" w:hAnsi="Times New Roman" w:eastAsia="黑体"/>
                <w:snapToGrid w:val="0"/>
                <w:color w:val="000000" w:themeColor="text1"/>
                <w:spacing w:val="-6"/>
                <w:kern w:val="21"/>
                <w:szCs w:val="21"/>
                <w14:textFill>
                  <w14:solidFill>
                    <w14:schemeClr w14:val="tx1"/>
                  </w14:solidFill>
                </w14:textFill>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restart"/>
            <w:noWrap w:val="0"/>
            <w:vAlign w:val="center"/>
          </w:tcPr>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r>
              <w:rPr>
                <w:rFonts w:hint="eastAsia" w:ascii="Times New Roman" w:hAnsi="Times New Roman" w:cs="宋体"/>
                <w:snapToGrid w:val="0"/>
                <w:color w:val="000000" w:themeColor="text1"/>
                <w:kern w:val="21"/>
                <w:szCs w:val="21"/>
                <w14:textFill>
                  <w14:solidFill>
                    <w14:schemeClr w14:val="tx1"/>
                  </w14:solidFill>
                </w14:textFill>
              </w:rPr>
              <w:t>废气</w:t>
            </w:r>
          </w:p>
        </w:tc>
        <w:tc>
          <w:tcPr>
            <w:tcW w:w="1417"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eastAsia="zh-CN"/>
                <w14:textFill>
                  <w14:solidFill>
                    <w14:schemeClr w14:val="tx1"/>
                  </w14:solidFill>
                </w14:textFill>
              </w:rPr>
            </w:pPr>
            <w:r>
              <w:rPr>
                <w:rFonts w:hint="eastAsia" w:ascii="Times New Roman" w:hAnsi="Times New Roman" w:cs="宋体"/>
                <w:snapToGrid w:val="0"/>
                <w:color w:val="000000" w:themeColor="text1"/>
                <w:kern w:val="21"/>
                <w:szCs w:val="21"/>
                <w:lang w:eastAsia="zh-CN"/>
                <w14:textFill>
                  <w14:solidFill>
                    <w14:schemeClr w14:val="tx1"/>
                  </w14:solidFill>
                </w14:textFill>
              </w:rPr>
              <w:t>颗粒物</w:t>
            </w: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1825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76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1825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20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w:t>
            </w: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1825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p>
        </w:tc>
        <w:tc>
          <w:tcPr>
            <w:tcW w:w="1417" w:type="dxa"/>
            <w:noWrap w:val="0"/>
            <w:vAlign w:val="center"/>
          </w:tcPr>
          <w:p>
            <w:pPr>
              <w:pStyle w:val="45"/>
              <w:spacing w:beforeLines="0" w:afterLines="0" w:line="240" w:lineRule="auto"/>
              <w:rPr>
                <w:rFonts w:hint="default" w:ascii="Times New Roman" w:hAnsi="Times New Roman" w:cs="宋体"/>
                <w:snapToGrid w:val="0"/>
                <w:color w:val="000000" w:themeColor="text1"/>
                <w:kern w:val="21"/>
                <w:szCs w:val="21"/>
                <w:lang w:val="en-US" w:eastAsia="zh-CN"/>
                <w14:textFill>
                  <w14:solidFill>
                    <w14:schemeClr w14:val="tx1"/>
                  </w14:solidFill>
                </w14:textFill>
              </w:rPr>
            </w:pPr>
            <w:r>
              <w:rPr>
                <w:rFonts w:hint="eastAsia" w:ascii="Times New Roman" w:cs="宋体"/>
                <w:snapToGrid w:val="0"/>
                <w:color w:val="000000" w:themeColor="text1"/>
                <w:kern w:val="21"/>
                <w:szCs w:val="21"/>
                <w:lang w:val="en-US" w:eastAsia="zh-CN"/>
                <w14:textFill>
                  <w14:solidFill>
                    <w14:schemeClr w14:val="tx1"/>
                  </w14:solidFill>
                </w14:textFill>
              </w:rPr>
              <w:t>二氧化硫</w:t>
            </w: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054</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76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054</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20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w:t>
            </w: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054</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p>
        </w:tc>
        <w:tc>
          <w:tcPr>
            <w:tcW w:w="1417" w:type="dxa"/>
            <w:noWrap w:val="0"/>
            <w:vAlign w:val="center"/>
          </w:tcPr>
          <w:p>
            <w:pPr>
              <w:pStyle w:val="45"/>
              <w:spacing w:beforeLines="0" w:afterLines="0" w:line="240" w:lineRule="auto"/>
              <w:rPr>
                <w:rFonts w:hint="default" w:ascii="Times New Roman" w:hAnsi="Times New Roman" w:cs="宋体"/>
                <w:snapToGrid w:val="0"/>
                <w:color w:val="000000" w:themeColor="text1"/>
                <w:kern w:val="21"/>
                <w:szCs w:val="21"/>
                <w:lang w:val="en-US" w:eastAsia="zh-CN"/>
                <w14:textFill>
                  <w14:solidFill>
                    <w14:schemeClr w14:val="tx1"/>
                  </w14:solidFill>
                </w14:textFill>
              </w:rPr>
            </w:pPr>
            <w:r>
              <w:rPr>
                <w:rFonts w:hint="eastAsia" w:ascii="Times New Roman" w:cs="宋体"/>
                <w:snapToGrid w:val="0"/>
                <w:color w:val="000000" w:themeColor="text1"/>
                <w:kern w:val="21"/>
                <w:szCs w:val="21"/>
                <w:lang w:val="en-US" w:eastAsia="zh-CN"/>
                <w14:textFill>
                  <w14:solidFill>
                    <w14:schemeClr w14:val="tx1"/>
                  </w14:solidFill>
                </w14:textFill>
              </w:rPr>
              <w:t>氮氧化物</w:t>
            </w: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505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76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505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c>
          <w:tcPr>
            <w:tcW w:w="120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w:t>
            </w: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0.</w:t>
            </w:r>
            <w:r>
              <w:rPr>
                <w:rFonts w:hint="eastAsia" w:ascii="Times New Roman" w:cs="宋体"/>
                <w:snapToGrid w:val="0"/>
                <w:color w:val="000000" w:themeColor="text1"/>
                <w:kern w:val="21"/>
                <w:szCs w:val="21"/>
                <w:lang w:val="en-US" w:eastAsia="zh-CN"/>
                <w14:textFill>
                  <w14:solidFill>
                    <w14:schemeClr w14:val="tx1"/>
                  </w14:solidFill>
                </w14:textFill>
              </w:rPr>
              <w:t>505</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noWrap w:val="0"/>
            <w:vAlign w:val="center"/>
          </w:tcPr>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r>
              <w:rPr>
                <w:rFonts w:hint="eastAsia" w:ascii="Times New Roman" w:hAnsi="Times New Roman" w:cs="宋体"/>
                <w:snapToGrid w:val="0"/>
                <w:color w:val="000000" w:themeColor="text1"/>
                <w:kern w:val="21"/>
                <w:szCs w:val="21"/>
                <w14:textFill>
                  <w14:solidFill>
                    <w14:schemeClr w14:val="tx1"/>
                  </w14:solidFill>
                </w14:textFill>
              </w:rPr>
              <w:t>废水</w:t>
            </w:r>
          </w:p>
        </w:tc>
        <w:tc>
          <w:tcPr>
            <w:tcW w:w="1417"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61"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0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restart"/>
            <w:noWrap w:val="0"/>
            <w:vAlign w:val="center"/>
          </w:tcPr>
          <w:p>
            <w:pPr>
              <w:pStyle w:val="45"/>
              <w:spacing w:beforeLines="0" w:afterLines="0" w:line="240" w:lineRule="auto"/>
              <w:rPr>
                <w:rFonts w:ascii="Times New Roman" w:hAnsi="Times New Roman" w:cs="宋体"/>
                <w:snapToGrid w:val="0"/>
                <w:color w:val="000000" w:themeColor="text1"/>
                <w:kern w:val="21"/>
                <w:szCs w:val="21"/>
                <w14:textFill>
                  <w14:solidFill>
                    <w14:schemeClr w14:val="tx1"/>
                  </w14:solidFill>
                </w14:textFill>
              </w:rPr>
            </w:pPr>
            <w:r>
              <w:rPr>
                <w:rFonts w:hint="eastAsia" w:ascii="Times New Roman" w:hAnsi="Times New Roman" w:cs="宋体"/>
                <w:snapToGrid w:val="0"/>
                <w:color w:val="000000" w:themeColor="text1"/>
                <w:kern w:val="21"/>
                <w:szCs w:val="21"/>
                <w14:textFill>
                  <w14:solidFill>
                    <w14:schemeClr w14:val="tx1"/>
                  </w14:solidFill>
                </w14:textFill>
              </w:rPr>
              <w:t>一般工业</w:t>
            </w:r>
          </w:p>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r>
              <w:rPr>
                <w:rFonts w:hint="eastAsia" w:ascii="Times New Roman" w:hAnsi="Times New Roman" w:cs="宋体"/>
                <w:snapToGrid w:val="0"/>
                <w:color w:val="000000" w:themeColor="text1"/>
                <w:kern w:val="21"/>
                <w:szCs w:val="21"/>
                <w14:textFill>
                  <w14:solidFill>
                    <w14:schemeClr w14:val="tx1"/>
                  </w14:solidFill>
                </w14:textFill>
              </w:rPr>
              <w:t>固体废物</w:t>
            </w:r>
          </w:p>
        </w:tc>
        <w:tc>
          <w:tcPr>
            <w:tcW w:w="1417"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香菇</w:t>
            </w: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w:t>
            </w:r>
            <w:r>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t>木耳及猴头菇等其他菌类残渣</w:t>
            </w: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67.5t/a</w:t>
            </w:r>
          </w:p>
        </w:tc>
        <w:tc>
          <w:tcPr>
            <w:tcW w:w="176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67.5t/a</w:t>
            </w:r>
          </w:p>
        </w:tc>
        <w:tc>
          <w:tcPr>
            <w:tcW w:w="120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+67.5t/a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pPr>
              <w:pStyle w:val="45"/>
              <w:spacing w:beforeLines="0" w:afterLines="0" w:line="240" w:lineRule="auto"/>
              <w:rPr>
                <w:rFonts w:ascii="Times New Roman" w:hAnsi="Times New Roman" w:cs="宋体"/>
                <w:snapToGrid w:val="0"/>
                <w:color w:val="000000" w:themeColor="text1"/>
                <w:kern w:val="21"/>
                <w:szCs w:val="21"/>
                <w14:textFill>
                  <w14:solidFill>
                    <w14:schemeClr w14:val="tx1"/>
                  </w14:solidFill>
                </w14:textFill>
              </w:rPr>
            </w:pPr>
          </w:p>
        </w:tc>
        <w:tc>
          <w:tcPr>
            <w:tcW w:w="1417"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废离子交换树脂</w:t>
            </w: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0.1t/a</w:t>
            </w:r>
          </w:p>
        </w:tc>
        <w:tc>
          <w:tcPr>
            <w:tcW w:w="176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0.1t/a</w:t>
            </w:r>
          </w:p>
        </w:tc>
        <w:tc>
          <w:tcPr>
            <w:tcW w:w="120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+0.1t/a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pPr>
              <w:pStyle w:val="45"/>
              <w:spacing w:beforeLines="0" w:afterLines="0" w:line="240" w:lineRule="auto"/>
              <w:rPr>
                <w:rFonts w:ascii="Times New Roman" w:hAnsi="Times New Roman" w:cs="宋体"/>
                <w:snapToGrid w:val="0"/>
                <w:color w:val="000000" w:themeColor="text1"/>
                <w:kern w:val="21"/>
                <w:szCs w:val="21"/>
                <w14:textFill>
                  <w14:solidFill>
                    <w14:schemeClr w14:val="tx1"/>
                  </w14:solidFill>
                </w14:textFill>
              </w:rPr>
            </w:pPr>
          </w:p>
        </w:tc>
        <w:tc>
          <w:tcPr>
            <w:tcW w:w="1417"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污泥</w:t>
            </w: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1.3t/a</w:t>
            </w:r>
          </w:p>
        </w:tc>
        <w:tc>
          <w:tcPr>
            <w:tcW w:w="176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1.3t/a</w:t>
            </w:r>
          </w:p>
        </w:tc>
        <w:tc>
          <w:tcPr>
            <w:tcW w:w="120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+1.3t/a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vMerge w:val="continue"/>
            <w:noWrap w:val="0"/>
            <w:vAlign w:val="center"/>
          </w:tcPr>
          <w:p>
            <w:pPr>
              <w:pStyle w:val="45"/>
              <w:spacing w:beforeLines="0" w:afterLines="0" w:line="240" w:lineRule="auto"/>
              <w:rPr>
                <w:rFonts w:ascii="Times New Roman" w:hAnsi="Times New Roman" w:cs="宋体"/>
                <w:snapToGrid w:val="0"/>
                <w:color w:val="000000" w:themeColor="text1"/>
                <w:kern w:val="21"/>
                <w:szCs w:val="21"/>
                <w14:textFill>
                  <w14:solidFill>
                    <w14:schemeClr w14:val="tx1"/>
                  </w14:solidFill>
                </w14:textFill>
              </w:rPr>
            </w:pPr>
          </w:p>
        </w:tc>
        <w:tc>
          <w:tcPr>
            <w:tcW w:w="1417"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废包装材料</w:t>
            </w: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0.24t/a</w:t>
            </w:r>
          </w:p>
        </w:tc>
        <w:tc>
          <w:tcPr>
            <w:tcW w:w="176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0.24t/a</w:t>
            </w:r>
          </w:p>
        </w:tc>
        <w:tc>
          <w:tcPr>
            <w:tcW w:w="1206"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+0.24t/a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588" w:type="dxa"/>
            <w:noWrap w:val="0"/>
            <w:vAlign w:val="center"/>
          </w:tcPr>
          <w:p>
            <w:pPr>
              <w:pStyle w:val="45"/>
              <w:spacing w:beforeLines="0" w:afterLines="0" w:line="240" w:lineRule="auto"/>
              <w:rPr>
                <w:rFonts w:hint="eastAsia" w:ascii="Times New Roman" w:hAnsi="Times New Roman" w:cs="宋体"/>
                <w:snapToGrid w:val="0"/>
                <w:color w:val="000000" w:themeColor="text1"/>
                <w:kern w:val="21"/>
                <w:szCs w:val="21"/>
                <w14:textFill>
                  <w14:solidFill>
                    <w14:schemeClr w14:val="tx1"/>
                  </w14:solidFill>
                </w14:textFill>
              </w:rPr>
            </w:pPr>
            <w:r>
              <w:rPr>
                <w:rFonts w:hint="eastAsia" w:ascii="Times New Roman" w:hAnsi="Times New Roman" w:cs="宋体"/>
                <w:snapToGrid w:val="0"/>
                <w:color w:val="000000" w:themeColor="text1"/>
                <w:kern w:val="21"/>
                <w:szCs w:val="21"/>
                <w14:textFill>
                  <w14:solidFill>
                    <w14:schemeClr w14:val="tx1"/>
                  </w14:solidFill>
                </w14:textFill>
              </w:rPr>
              <w:t>危险废物</w:t>
            </w:r>
          </w:p>
        </w:tc>
        <w:tc>
          <w:tcPr>
            <w:tcW w:w="1417" w:type="dxa"/>
            <w:noWrap w:val="0"/>
            <w:vAlign w:val="center"/>
          </w:tcPr>
          <w:p>
            <w:pPr>
              <w:pStyle w:val="45"/>
              <w:spacing w:beforeLines="0" w:afterLines="0" w:line="240" w:lineRule="auto"/>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废导热油</w:t>
            </w: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27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70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59"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0.25t/a</w:t>
            </w:r>
          </w:p>
        </w:tc>
        <w:tc>
          <w:tcPr>
            <w:tcW w:w="1761"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p>
        </w:tc>
        <w:tc>
          <w:tcPr>
            <w:tcW w:w="1579"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0.25t/a</w:t>
            </w:r>
          </w:p>
        </w:tc>
        <w:tc>
          <w:tcPr>
            <w:tcW w:w="1206" w:type="dxa"/>
            <w:noWrap w:val="0"/>
            <w:vAlign w:val="center"/>
          </w:tcPr>
          <w:p>
            <w:pPr>
              <w:pStyle w:val="45"/>
              <w:spacing w:beforeLines="0" w:afterLines="0" w:line="240" w:lineRule="auto"/>
              <w:rPr>
                <w:rFonts w:hint="default" w:ascii="Times New Roman" w:hAnsi="Times New Roman" w:eastAsia="宋体" w:cs="宋体"/>
                <w:snapToGrid w:val="0"/>
                <w:color w:val="000000" w:themeColor="text1"/>
                <w:kern w:val="21"/>
                <w:szCs w:val="21"/>
                <w:lang w:val="en-US" w:eastAsia="zh-CN"/>
                <w14:textFill>
                  <w14:solidFill>
                    <w14:schemeClr w14:val="tx1"/>
                  </w14:solidFill>
                </w14:textFill>
              </w:rPr>
            </w:pPr>
            <w:r>
              <w:rPr>
                <w:rFonts w:hint="eastAsia" w:ascii="Times New Roman" w:hAnsi="Times New Roman" w:eastAsia="宋体" w:cs="宋体"/>
                <w:snapToGrid w:val="0"/>
                <w:color w:val="000000" w:themeColor="text1"/>
                <w:kern w:val="21"/>
                <w:szCs w:val="21"/>
                <w:lang w:val="en-US" w:eastAsia="zh-CN"/>
                <w14:textFill>
                  <w14:solidFill>
                    <w14:schemeClr w14:val="tx1"/>
                  </w14:solidFill>
                </w14:textFill>
              </w:rPr>
              <w:t>+0.25t/a</w:t>
            </w:r>
          </w:p>
        </w:tc>
      </w:tr>
    </w:tbl>
    <w:p>
      <w:pPr>
        <w:pStyle w:val="45"/>
        <w:spacing w:before="192" w:beforeLines="80" w:after="24"/>
        <w:jc w:val="left"/>
        <w:rPr>
          <w:rFonts w:ascii="Times New Roman"/>
          <w:color w:val="000000" w:themeColor="text1"/>
          <w14:textFill>
            <w14:solidFill>
              <w14:schemeClr w14:val="tx1"/>
            </w14:solidFill>
          </w14:textFill>
        </w:rPr>
      </w:pPr>
      <w:r>
        <w:rPr>
          <w:rFonts w:ascii="Times New Roman"/>
          <w:snapToGrid w:val="0"/>
          <w:color w:val="000000" w:themeColor="text1"/>
          <w:kern w:val="21"/>
          <w:szCs w:val="21"/>
          <w14:textFill>
            <w14:solidFill>
              <w14:schemeClr w14:val="tx1"/>
            </w14:solidFill>
          </w14:textFill>
        </w:rPr>
        <w:t>注：</w:t>
      </w:r>
      <w:r>
        <w:rPr>
          <w:rFonts w:ascii="Times New Roman"/>
          <w:snapToGrid w:val="0"/>
          <w:color w:val="000000" w:themeColor="text1"/>
          <w:spacing w:val="-16"/>
          <w:kern w:val="21"/>
          <w:szCs w:val="21"/>
          <w14:textFill>
            <w14:solidFill>
              <w14:schemeClr w14:val="tx1"/>
            </w14:solidFill>
          </w14:textFill>
        </w:rPr>
        <w:fldChar w:fldCharType="begin"/>
      </w:r>
      <w:r>
        <w:rPr>
          <w:rFonts w:ascii="Times New Roman"/>
          <w:snapToGrid w:val="0"/>
          <w:color w:val="000000" w:themeColor="text1"/>
          <w:spacing w:val="-16"/>
          <w:kern w:val="21"/>
          <w:szCs w:val="21"/>
          <w14:textFill>
            <w14:solidFill>
              <w14:schemeClr w14:val="tx1"/>
            </w14:solidFill>
          </w14:textFill>
        </w:rPr>
        <w:instrText xml:space="preserve"> = 6 \* GB3 \* MERGEFORMAT </w:instrText>
      </w:r>
      <w:r>
        <w:rPr>
          <w:rFonts w:ascii="Times New Roman"/>
          <w:snapToGrid w:val="0"/>
          <w:color w:val="000000" w:themeColor="text1"/>
          <w:spacing w:val="-1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⑥</w:t>
      </w:r>
      <w:r>
        <w:rPr>
          <w:rFonts w:ascii="Times New Roman"/>
          <w:snapToGrid w:val="0"/>
          <w:color w:val="000000" w:themeColor="text1"/>
          <w:spacing w:val="-16"/>
          <w:kern w:val="21"/>
          <w:szCs w:val="21"/>
          <w14:textFill>
            <w14:solidFill>
              <w14:schemeClr w14:val="tx1"/>
            </w14:solidFill>
          </w14:textFill>
        </w:rPr>
        <w:fldChar w:fldCharType="end"/>
      </w:r>
      <w:r>
        <w:rPr>
          <w:rFonts w:ascii="Times New Roman"/>
          <w:snapToGrid w:val="0"/>
          <w:color w:val="000000" w:themeColor="text1"/>
          <w:spacing w:val="-16"/>
          <w:kern w:val="21"/>
          <w:szCs w:val="21"/>
          <w14:textFill>
            <w14:solidFill>
              <w14:schemeClr w14:val="tx1"/>
            </w14:solidFill>
          </w14:textFill>
        </w:rPr>
        <w:t>=</w:t>
      </w:r>
      <w:r>
        <w:rPr>
          <w:rFonts w:ascii="Times New Roman"/>
          <w:snapToGrid w:val="0"/>
          <w:color w:val="000000" w:themeColor="text1"/>
          <w:spacing w:val="-6"/>
          <w:kern w:val="21"/>
          <w:szCs w:val="21"/>
          <w14:textFill>
            <w14:solidFill>
              <w14:schemeClr w14:val="tx1"/>
            </w14:solidFill>
          </w14:textFill>
        </w:rPr>
        <w:fldChar w:fldCharType="begin"/>
      </w:r>
      <w:r>
        <w:rPr>
          <w:rFonts w:ascii="Times New Roman"/>
          <w:snapToGrid w:val="0"/>
          <w:color w:val="000000" w:themeColor="text1"/>
          <w:spacing w:val="-6"/>
          <w:kern w:val="21"/>
          <w:szCs w:val="21"/>
          <w14:textFill>
            <w14:solidFill>
              <w14:schemeClr w14:val="tx1"/>
            </w14:solidFill>
          </w14:textFill>
        </w:rPr>
        <w:instrText xml:space="preserve"> = 1 \* GB3 \* MERGEFORMAT </w:instrText>
      </w:r>
      <w:r>
        <w:rPr>
          <w:rFonts w:ascii="Times New Roman"/>
          <w:snapToGrid w:val="0"/>
          <w:color w:val="000000" w:themeColor="text1"/>
          <w:spacing w:val="-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①</w:t>
      </w:r>
      <w:r>
        <w:rPr>
          <w:rFonts w:ascii="Times New Roman"/>
          <w:snapToGrid w:val="0"/>
          <w:color w:val="000000" w:themeColor="text1"/>
          <w:spacing w:val="-6"/>
          <w:kern w:val="21"/>
          <w:szCs w:val="21"/>
          <w14:textFill>
            <w14:solidFill>
              <w14:schemeClr w14:val="tx1"/>
            </w14:solidFill>
          </w14:textFill>
        </w:rPr>
        <w:fldChar w:fldCharType="end"/>
      </w:r>
      <w:r>
        <w:rPr>
          <w:rFonts w:ascii="Times New Roman"/>
          <w:snapToGrid w:val="0"/>
          <w:color w:val="000000" w:themeColor="text1"/>
          <w:spacing w:val="-6"/>
          <w:kern w:val="21"/>
          <w:szCs w:val="21"/>
          <w14:textFill>
            <w14:solidFill>
              <w14:schemeClr w14:val="tx1"/>
            </w14:solidFill>
          </w14:textFill>
        </w:rPr>
        <w:t>+</w:t>
      </w:r>
      <w:r>
        <w:rPr>
          <w:rFonts w:ascii="Times New Roman"/>
          <w:snapToGrid w:val="0"/>
          <w:color w:val="000000" w:themeColor="text1"/>
          <w:spacing w:val="-6"/>
          <w:kern w:val="21"/>
          <w:szCs w:val="21"/>
          <w14:textFill>
            <w14:solidFill>
              <w14:schemeClr w14:val="tx1"/>
            </w14:solidFill>
          </w14:textFill>
        </w:rPr>
        <w:fldChar w:fldCharType="begin"/>
      </w:r>
      <w:r>
        <w:rPr>
          <w:rFonts w:ascii="Times New Roman"/>
          <w:snapToGrid w:val="0"/>
          <w:color w:val="000000" w:themeColor="text1"/>
          <w:spacing w:val="-6"/>
          <w:kern w:val="21"/>
          <w:szCs w:val="21"/>
          <w14:textFill>
            <w14:solidFill>
              <w14:schemeClr w14:val="tx1"/>
            </w14:solidFill>
          </w14:textFill>
        </w:rPr>
        <w:instrText xml:space="preserve"> = 3 \* GB3 \* MERGEFORMAT </w:instrText>
      </w:r>
      <w:r>
        <w:rPr>
          <w:rFonts w:ascii="Times New Roman"/>
          <w:snapToGrid w:val="0"/>
          <w:color w:val="000000" w:themeColor="text1"/>
          <w:spacing w:val="-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③</w:t>
      </w:r>
      <w:r>
        <w:rPr>
          <w:rFonts w:ascii="Times New Roman"/>
          <w:snapToGrid w:val="0"/>
          <w:color w:val="000000" w:themeColor="text1"/>
          <w:spacing w:val="-6"/>
          <w:kern w:val="21"/>
          <w:szCs w:val="21"/>
          <w14:textFill>
            <w14:solidFill>
              <w14:schemeClr w14:val="tx1"/>
            </w14:solidFill>
          </w14:textFill>
        </w:rPr>
        <w:fldChar w:fldCharType="end"/>
      </w:r>
      <w:r>
        <w:rPr>
          <w:rFonts w:ascii="Times New Roman"/>
          <w:snapToGrid w:val="0"/>
          <w:color w:val="000000" w:themeColor="text1"/>
          <w:spacing w:val="-6"/>
          <w:kern w:val="21"/>
          <w:szCs w:val="21"/>
          <w14:textFill>
            <w14:solidFill>
              <w14:schemeClr w14:val="tx1"/>
            </w14:solidFill>
          </w14:textFill>
        </w:rPr>
        <w:t>+</w:t>
      </w:r>
      <w:r>
        <w:rPr>
          <w:rFonts w:ascii="Times New Roman"/>
          <w:snapToGrid w:val="0"/>
          <w:color w:val="000000" w:themeColor="text1"/>
          <w:spacing w:val="-6"/>
          <w:kern w:val="21"/>
          <w:szCs w:val="21"/>
          <w14:textFill>
            <w14:solidFill>
              <w14:schemeClr w14:val="tx1"/>
            </w14:solidFill>
          </w14:textFill>
        </w:rPr>
        <w:fldChar w:fldCharType="begin"/>
      </w:r>
      <w:r>
        <w:rPr>
          <w:rFonts w:ascii="Times New Roman"/>
          <w:snapToGrid w:val="0"/>
          <w:color w:val="000000" w:themeColor="text1"/>
          <w:spacing w:val="-6"/>
          <w:kern w:val="21"/>
          <w:szCs w:val="21"/>
          <w14:textFill>
            <w14:solidFill>
              <w14:schemeClr w14:val="tx1"/>
            </w14:solidFill>
          </w14:textFill>
        </w:rPr>
        <w:instrText xml:space="preserve"> = 4 \* GB3 \* MERGEFORMAT </w:instrText>
      </w:r>
      <w:r>
        <w:rPr>
          <w:rFonts w:ascii="Times New Roman"/>
          <w:snapToGrid w:val="0"/>
          <w:color w:val="000000" w:themeColor="text1"/>
          <w:spacing w:val="-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④</w:t>
      </w:r>
      <w:r>
        <w:rPr>
          <w:rFonts w:ascii="Times New Roman"/>
          <w:snapToGrid w:val="0"/>
          <w:color w:val="000000" w:themeColor="text1"/>
          <w:spacing w:val="-6"/>
          <w:kern w:val="21"/>
          <w:szCs w:val="21"/>
          <w14:textFill>
            <w14:solidFill>
              <w14:schemeClr w14:val="tx1"/>
            </w14:solidFill>
          </w14:textFill>
        </w:rPr>
        <w:fldChar w:fldCharType="end"/>
      </w:r>
      <w:r>
        <w:rPr>
          <w:rFonts w:ascii="Times New Roman"/>
          <w:snapToGrid w:val="0"/>
          <w:color w:val="000000" w:themeColor="text1"/>
          <w:spacing w:val="-6"/>
          <w:kern w:val="21"/>
          <w:szCs w:val="21"/>
          <w14:textFill>
            <w14:solidFill>
              <w14:schemeClr w14:val="tx1"/>
            </w14:solidFill>
          </w14:textFill>
        </w:rPr>
        <w:t>-</w:t>
      </w:r>
      <w:r>
        <w:rPr>
          <w:rFonts w:ascii="Times New Roman"/>
          <w:snapToGrid w:val="0"/>
          <w:color w:val="000000" w:themeColor="text1"/>
          <w:spacing w:val="-16"/>
          <w:kern w:val="21"/>
          <w:szCs w:val="21"/>
          <w14:textFill>
            <w14:solidFill>
              <w14:schemeClr w14:val="tx1"/>
            </w14:solidFill>
          </w14:textFill>
        </w:rPr>
        <w:fldChar w:fldCharType="begin"/>
      </w:r>
      <w:r>
        <w:rPr>
          <w:rFonts w:ascii="Times New Roman"/>
          <w:snapToGrid w:val="0"/>
          <w:color w:val="000000" w:themeColor="text1"/>
          <w:spacing w:val="-16"/>
          <w:kern w:val="21"/>
          <w:szCs w:val="21"/>
          <w14:textFill>
            <w14:solidFill>
              <w14:schemeClr w14:val="tx1"/>
            </w14:solidFill>
          </w14:textFill>
        </w:rPr>
        <w:instrText xml:space="preserve"> = 5 \* GB3 \* MERGEFORMAT </w:instrText>
      </w:r>
      <w:r>
        <w:rPr>
          <w:rFonts w:ascii="Times New Roman"/>
          <w:snapToGrid w:val="0"/>
          <w:color w:val="000000" w:themeColor="text1"/>
          <w:spacing w:val="-1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⑤</w:t>
      </w:r>
      <w:r>
        <w:rPr>
          <w:rFonts w:ascii="Times New Roman"/>
          <w:snapToGrid w:val="0"/>
          <w:color w:val="000000" w:themeColor="text1"/>
          <w:spacing w:val="-16"/>
          <w:kern w:val="21"/>
          <w:szCs w:val="21"/>
          <w14:textFill>
            <w14:solidFill>
              <w14:schemeClr w14:val="tx1"/>
            </w14:solidFill>
          </w14:textFill>
        </w:rPr>
        <w:fldChar w:fldCharType="end"/>
      </w:r>
      <w:r>
        <w:rPr>
          <w:rFonts w:ascii="Times New Roman"/>
          <w:snapToGrid w:val="0"/>
          <w:color w:val="000000" w:themeColor="text1"/>
          <w:spacing w:val="-16"/>
          <w:kern w:val="21"/>
          <w:szCs w:val="21"/>
          <w14:textFill>
            <w14:solidFill>
              <w14:schemeClr w14:val="tx1"/>
            </w14:solidFill>
          </w14:textFill>
        </w:rPr>
        <w:t>；</w:t>
      </w:r>
      <w:r>
        <w:rPr>
          <w:rFonts w:ascii="Times New Roman"/>
          <w:snapToGrid w:val="0"/>
          <w:color w:val="000000" w:themeColor="text1"/>
          <w:spacing w:val="-6"/>
          <w:kern w:val="21"/>
          <w:szCs w:val="21"/>
          <w14:textFill>
            <w14:solidFill>
              <w14:schemeClr w14:val="tx1"/>
            </w14:solidFill>
          </w14:textFill>
        </w:rPr>
        <w:fldChar w:fldCharType="begin"/>
      </w:r>
      <w:r>
        <w:rPr>
          <w:rFonts w:ascii="Times New Roman"/>
          <w:snapToGrid w:val="0"/>
          <w:color w:val="000000" w:themeColor="text1"/>
          <w:spacing w:val="-6"/>
          <w:kern w:val="21"/>
          <w:szCs w:val="21"/>
          <w14:textFill>
            <w14:solidFill>
              <w14:schemeClr w14:val="tx1"/>
            </w14:solidFill>
          </w14:textFill>
        </w:rPr>
        <w:instrText xml:space="preserve"> = 7 \* GB3 \* MERGEFORMAT </w:instrText>
      </w:r>
      <w:r>
        <w:rPr>
          <w:rFonts w:ascii="Times New Roman"/>
          <w:snapToGrid w:val="0"/>
          <w:color w:val="000000" w:themeColor="text1"/>
          <w:spacing w:val="-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⑦</w:t>
      </w:r>
      <w:r>
        <w:rPr>
          <w:rFonts w:ascii="Times New Roman"/>
          <w:snapToGrid w:val="0"/>
          <w:color w:val="000000" w:themeColor="text1"/>
          <w:spacing w:val="-6"/>
          <w:kern w:val="21"/>
          <w:szCs w:val="21"/>
          <w14:textFill>
            <w14:solidFill>
              <w14:schemeClr w14:val="tx1"/>
            </w14:solidFill>
          </w14:textFill>
        </w:rPr>
        <w:fldChar w:fldCharType="end"/>
      </w:r>
      <w:r>
        <w:rPr>
          <w:rFonts w:ascii="Times New Roman"/>
          <w:snapToGrid w:val="0"/>
          <w:color w:val="000000" w:themeColor="text1"/>
          <w:spacing w:val="-6"/>
          <w:kern w:val="21"/>
          <w:szCs w:val="21"/>
          <w14:textFill>
            <w14:solidFill>
              <w14:schemeClr w14:val="tx1"/>
            </w14:solidFill>
          </w14:textFill>
        </w:rPr>
        <w:t>=</w:t>
      </w:r>
      <w:r>
        <w:rPr>
          <w:rFonts w:ascii="Times New Roman"/>
          <w:snapToGrid w:val="0"/>
          <w:color w:val="000000" w:themeColor="text1"/>
          <w:spacing w:val="-16"/>
          <w:kern w:val="21"/>
          <w:szCs w:val="21"/>
          <w14:textFill>
            <w14:solidFill>
              <w14:schemeClr w14:val="tx1"/>
            </w14:solidFill>
          </w14:textFill>
        </w:rPr>
        <w:fldChar w:fldCharType="begin"/>
      </w:r>
      <w:r>
        <w:rPr>
          <w:rFonts w:ascii="Times New Roman"/>
          <w:snapToGrid w:val="0"/>
          <w:color w:val="000000" w:themeColor="text1"/>
          <w:spacing w:val="-16"/>
          <w:kern w:val="21"/>
          <w:szCs w:val="21"/>
          <w14:textFill>
            <w14:solidFill>
              <w14:schemeClr w14:val="tx1"/>
            </w14:solidFill>
          </w14:textFill>
        </w:rPr>
        <w:instrText xml:space="preserve"> = 6 \* GB3 \* MERGEFORMAT </w:instrText>
      </w:r>
      <w:r>
        <w:rPr>
          <w:rFonts w:ascii="Times New Roman"/>
          <w:snapToGrid w:val="0"/>
          <w:color w:val="000000" w:themeColor="text1"/>
          <w:spacing w:val="-1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⑥</w:t>
      </w:r>
      <w:r>
        <w:rPr>
          <w:rFonts w:ascii="Times New Roman"/>
          <w:snapToGrid w:val="0"/>
          <w:color w:val="000000" w:themeColor="text1"/>
          <w:spacing w:val="-16"/>
          <w:kern w:val="21"/>
          <w:szCs w:val="21"/>
          <w14:textFill>
            <w14:solidFill>
              <w14:schemeClr w14:val="tx1"/>
            </w14:solidFill>
          </w14:textFill>
        </w:rPr>
        <w:fldChar w:fldCharType="end"/>
      </w:r>
      <w:r>
        <w:rPr>
          <w:rFonts w:ascii="Times New Roman"/>
          <w:snapToGrid w:val="0"/>
          <w:color w:val="000000" w:themeColor="text1"/>
          <w:spacing w:val="-16"/>
          <w:kern w:val="21"/>
          <w:szCs w:val="21"/>
          <w14:textFill>
            <w14:solidFill>
              <w14:schemeClr w14:val="tx1"/>
            </w14:solidFill>
          </w14:textFill>
        </w:rPr>
        <w:t>-</w:t>
      </w:r>
      <w:r>
        <w:rPr>
          <w:rFonts w:ascii="Times New Roman"/>
          <w:snapToGrid w:val="0"/>
          <w:color w:val="000000" w:themeColor="text1"/>
          <w:spacing w:val="-6"/>
          <w:kern w:val="21"/>
          <w:szCs w:val="21"/>
          <w14:textFill>
            <w14:solidFill>
              <w14:schemeClr w14:val="tx1"/>
            </w14:solidFill>
          </w14:textFill>
        </w:rPr>
        <w:fldChar w:fldCharType="begin"/>
      </w:r>
      <w:r>
        <w:rPr>
          <w:rFonts w:ascii="Times New Roman"/>
          <w:snapToGrid w:val="0"/>
          <w:color w:val="000000" w:themeColor="text1"/>
          <w:spacing w:val="-6"/>
          <w:kern w:val="21"/>
          <w:szCs w:val="21"/>
          <w14:textFill>
            <w14:solidFill>
              <w14:schemeClr w14:val="tx1"/>
            </w14:solidFill>
          </w14:textFill>
        </w:rPr>
        <w:instrText xml:space="preserve"> = 1 \* GB3 \* MERGEFORMAT </w:instrText>
      </w:r>
      <w:r>
        <w:rPr>
          <w:rFonts w:ascii="Times New Roman"/>
          <w:snapToGrid w:val="0"/>
          <w:color w:val="000000" w:themeColor="text1"/>
          <w:spacing w:val="-6"/>
          <w:kern w:val="21"/>
          <w:szCs w:val="21"/>
          <w14:textFill>
            <w14:solidFill>
              <w14:schemeClr w14:val="tx1"/>
            </w14:solidFill>
          </w14:textFill>
        </w:rPr>
        <w:fldChar w:fldCharType="separate"/>
      </w:r>
      <w:r>
        <w:rPr>
          <w:rFonts w:hint="eastAsia" w:ascii="Times New Roman"/>
          <w:color w:val="000000" w:themeColor="text1"/>
          <w:szCs w:val="21"/>
          <w14:textFill>
            <w14:solidFill>
              <w14:schemeClr w14:val="tx1"/>
            </w14:solidFill>
          </w14:textFill>
        </w:rPr>
        <w:t>①</w:t>
      </w:r>
      <w:r>
        <w:rPr>
          <w:rFonts w:ascii="Times New Roman"/>
          <w:snapToGrid w:val="0"/>
          <w:color w:val="000000" w:themeColor="text1"/>
          <w:spacing w:val="-6"/>
          <w:kern w:val="21"/>
          <w:szCs w:val="21"/>
          <w14:textFill>
            <w14:solidFill>
              <w14:schemeClr w14:val="tx1"/>
            </w14:solidFill>
          </w14:textFill>
        </w:rPr>
        <w:fldChar w:fldCharType="end"/>
      </w:r>
    </w:p>
    <w:p>
      <w:pPr>
        <w:rPr>
          <w:color w:val="000000" w:themeColor="text1"/>
          <w14:textFill>
            <w14:solidFill>
              <w14:schemeClr w14:val="tx1"/>
            </w14:solidFill>
          </w14:textFill>
        </w:rPr>
        <w:sectPr>
          <w:footerReference r:id="rId4" w:type="default"/>
          <w:pgSz w:w="16838" w:h="11906" w:orient="landscape"/>
          <w:pgMar w:top="1531" w:right="1701" w:bottom="1531" w:left="1701" w:header="851" w:footer="850" w:gutter="0"/>
          <w:pgBorders>
            <w:top w:val="none" w:sz="0" w:space="0"/>
            <w:left w:val="none" w:sz="0" w:space="0"/>
            <w:bottom w:val="none" w:sz="0" w:space="0"/>
            <w:right w:val="none" w:sz="0" w:space="0"/>
          </w:pgBorders>
          <w:cols w:space="720" w:num="1"/>
          <w:docGrid w:linePitch="312" w:charSpace="0"/>
        </w:sectPr>
      </w:pPr>
    </w:p>
    <w:tbl>
      <w:tblPr>
        <w:tblStyle w:val="26"/>
        <w:tblW w:w="886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tcPr>
          <w:p>
            <w:pPr>
              <w:pStyle w:val="59"/>
              <w:keepNext w:val="0"/>
              <w:keepLines w:val="0"/>
              <w:pageBreakBefore w:val="0"/>
              <w:kinsoku/>
              <w:wordWrap/>
              <w:overflowPunct/>
              <w:topLinePunct w:val="0"/>
              <w:bidi w:val="0"/>
              <w:adjustRightInd w:val="0"/>
              <w:snapToGrid w:val="0"/>
              <w:spacing w:line="360" w:lineRule="auto"/>
              <w:textAlignment w:val="auto"/>
              <w:rPr>
                <w:rFonts w:ascii="Times New Roman" w:hAnsi="Times New Roman"/>
                <w:b/>
                <w:bCs/>
                <w:color w:val="000000" w:themeColor="text1"/>
                <w:sz w:val="24"/>
                <w:szCs w:val="24"/>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本报告表附以下附图</w:t>
            </w:r>
            <w:r>
              <w:rPr>
                <w:rFonts w:hint="eastAsia" w:ascii="Times New Roman" w:hAnsi="Times New Roman"/>
                <w:b/>
                <w:bCs/>
                <w:color w:val="000000" w:themeColor="text1"/>
                <w:sz w:val="24"/>
                <w:szCs w:val="24"/>
                <w:lang w:eastAsia="zh-CN"/>
                <w14:textFill>
                  <w14:solidFill>
                    <w14:schemeClr w14:val="tx1"/>
                  </w14:solidFill>
                </w14:textFill>
              </w:rPr>
              <w:t>、</w:t>
            </w:r>
            <w:r>
              <w:rPr>
                <w:rFonts w:ascii="Times New Roman" w:hAnsi="Times New Roman"/>
                <w:b/>
                <w:bCs/>
                <w:color w:val="000000" w:themeColor="text1"/>
                <w:sz w:val="24"/>
                <w:szCs w:val="24"/>
                <w14:textFill>
                  <w14:solidFill>
                    <w14:schemeClr w14:val="tx1"/>
                  </w14:solidFill>
                </w14:textFill>
              </w:rPr>
              <w:t>附件：</w:t>
            </w:r>
          </w:p>
          <w:p>
            <w:pPr>
              <w:pStyle w:val="59"/>
              <w:keepNext w:val="0"/>
              <w:keepLines w:val="0"/>
              <w:pageBreakBefore w:val="0"/>
              <w:kinsoku/>
              <w:wordWrap/>
              <w:overflowPunct/>
              <w:topLinePunct w:val="0"/>
              <w:bidi w:val="0"/>
              <w:adjustRightInd w:val="0"/>
              <w:snapToGrid w:val="0"/>
              <w:spacing w:line="360" w:lineRule="auto"/>
              <w:ind w:firstLine="482" w:firstLineChars="200"/>
              <w:textAlignment w:val="auto"/>
              <w:rPr>
                <w:rFonts w:ascii="Times New Roman" w:hAnsi="Times New Roman"/>
                <w:b/>
                <w:color w:val="000000" w:themeColor="text1"/>
                <w:sz w:val="24"/>
                <w:szCs w:val="24"/>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t>附图：</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ascii="Times New Roman" w:hAnsi="Times New Roman"/>
                <w:color w:val="000000" w:themeColor="text1"/>
                <w:sz w:val="24"/>
                <w:szCs w:val="24"/>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附图</w:t>
            </w:r>
            <w:r>
              <w:rPr>
                <w:rFonts w:hint="eastAsia"/>
                <w:color w:val="000000" w:themeColor="text1"/>
                <w:sz w:val="24"/>
                <w:szCs w:val="24"/>
                <w:lang w:val="en-US" w:eastAsia="zh-CN"/>
                <w14:textFill>
                  <w14:solidFill>
                    <w14:schemeClr w14:val="tx1"/>
                  </w14:solidFill>
                </w14:textFill>
              </w:rPr>
              <w:t>1</w:t>
            </w:r>
            <w:r>
              <w:rPr>
                <w:rFonts w:ascii="Times New Roman" w:hAnsi="Times New Roman"/>
                <w:color w:val="000000" w:themeColor="text1"/>
                <w:sz w:val="24"/>
                <w:szCs w:val="24"/>
                <w14:textFill>
                  <w14:solidFill>
                    <w14:schemeClr w14:val="tx1"/>
                  </w14:solidFill>
                </w14:textFill>
              </w:rPr>
              <w:t xml:space="preserve">  </w:t>
            </w:r>
            <w:r>
              <w:rPr>
                <w:rFonts w:hint="eastAsia" w:ascii="Times New Roman" w:hAnsi="Times New Roman"/>
                <w:color w:val="000000" w:themeColor="text1"/>
                <w:sz w:val="24"/>
                <w:szCs w:val="24"/>
                <w14:textFill>
                  <w14:solidFill>
                    <w14:schemeClr w14:val="tx1"/>
                  </w14:solidFill>
                </w14:textFill>
              </w:rPr>
              <w:t>本</w:t>
            </w:r>
            <w:r>
              <w:rPr>
                <w:rFonts w:ascii="Times New Roman" w:hAnsi="Times New Roman"/>
                <w:color w:val="000000" w:themeColor="text1"/>
                <w:sz w:val="24"/>
                <w:szCs w:val="24"/>
                <w14:textFill>
                  <w14:solidFill>
                    <w14:schemeClr w14:val="tx1"/>
                  </w14:solidFill>
                </w14:textFill>
              </w:rPr>
              <w:t>项目地理位置图</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default" w:ascii="Times New Roman" w:hAnsi="Times New Roman" w:eastAsia="宋体"/>
                <w:color w:val="000000" w:themeColor="text1"/>
                <w:sz w:val="24"/>
                <w:szCs w:val="24"/>
                <w:lang w:val="en-US" w:eastAsia="zh-CN"/>
                <w14:textFill>
                  <w14:solidFill>
                    <w14:schemeClr w14:val="tx1"/>
                  </w14:solidFill>
                </w14:textFill>
              </w:rPr>
            </w:pPr>
            <w:r>
              <w:rPr>
                <w:rFonts w:hint="eastAsia" w:ascii="Times New Roman" w:hAnsi="Times New Roman"/>
                <w:color w:val="000000" w:themeColor="text1"/>
                <w:sz w:val="24"/>
                <w:szCs w:val="24"/>
                <w14:textFill>
                  <w14:solidFill>
                    <w14:schemeClr w14:val="tx1"/>
                  </w14:solidFill>
                </w14:textFill>
              </w:rPr>
              <w:t>附图</w:t>
            </w:r>
            <w:r>
              <w:rPr>
                <w:rFonts w:hint="eastAsia"/>
                <w:color w:val="000000" w:themeColor="text1"/>
                <w:sz w:val="24"/>
                <w:szCs w:val="24"/>
                <w:lang w:val="en-US" w:eastAsia="zh-CN"/>
                <w14:textFill>
                  <w14:solidFill>
                    <w14:schemeClr w14:val="tx1"/>
                  </w14:solidFill>
                </w14:textFill>
              </w:rPr>
              <w:t>2</w:t>
            </w:r>
            <w:r>
              <w:rPr>
                <w:rFonts w:hint="eastAsia" w:ascii="Times New Roman" w:hAnsi="Times New Roman"/>
                <w:color w:val="000000" w:themeColor="text1"/>
                <w:sz w:val="24"/>
                <w:szCs w:val="24"/>
                <w14:textFill>
                  <w14:solidFill>
                    <w14:schemeClr w14:val="tx1"/>
                  </w14:solidFill>
                </w14:textFill>
              </w:rPr>
              <w:t xml:space="preserve">  本项目</w:t>
            </w:r>
            <w:r>
              <w:rPr>
                <w:rFonts w:hint="eastAsia"/>
                <w:color w:val="000000" w:themeColor="text1"/>
                <w:sz w:val="24"/>
                <w:szCs w:val="24"/>
                <w:lang w:val="en-US" w:eastAsia="zh-CN"/>
                <w14:textFill>
                  <w14:solidFill>
                    <w14:schemeClr w14:val="tx1"/>
                  </w14:solidFill>
                </w14:textFill>
              </w:rPr>
              <w:t>周围环境概况示意图</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default" w:ascii="Times New Roman" w:hAnsi="Times New Roman"/>
                <w:b w:val="0"/>
                <w:bCs w:val="0"/>
                <w:color w:val="000000" w:themeColor="text1"/>
                <w:sz w:val="24"/>
                <w:szCs w:val="24"/>
                <w:u w:val="none"/>
                <w:lang w:val="en-US" w:eastAsia="zh-CN"/>
                <w14:textFill>
                  <w14:solidFill>
                    <w14:schemeClr w14:val="tx1"/>
                  </w14:solidFill>
                </w14:textFill>
              </w:rPr>
            </w:pPr>
            <w:r>
              <w:rPr>
                <w:rFonts w:ascii="Times New Roman" w:hAnsi="Times New Roman"/>
                <w:b w:val="0"/>
                <w:bCs w:val="0"/>
                <w:color w:val="000000" w:themeColor="text1"/>
                <w:sz w:val="24"/>
                <w:szCs w:val="24"/>
                <w:u w:val="none"/>
                <w14:textFill>
                  <w14:solidFill>
                    <w14:schemeClr w14:val="tx1"/>
                  </w14:solidFill>
                </w14:textFill>
              </w:rPr>
              <w:t>附图</w:t>
            </w:r>
            <w:r>
              <w:rPr>
                <w:rFonts w:hint="eastAsia"/>
                <w:b w:val="0"/>
                <w:bCs w:val="0"/>
                <w:color w:val="000000" w:themeColor="text1"/>
                <w:sz w:val="24"/>
                <w:szCs w:val="24"/>
                <w:u w:val="none"/>
                <w:lang w:val="en-US" w:eastAsia="zh-CN"/>
                <w14:textFill>
                  <w14:solidFill>
                    <w14:schemeClr w14:val="tx1"/>
                  </w14:solidFill>
                </w14:textFill>
              </w:rPr>
              <w:t>3</w:t>
            </w:r>
            <w:r>
              <w:rPr>
                <w:rFonts w:hint="eastAsia" w:ascii="Times New Roman" w:hAnsi="Times New Roman"/>
                <w:b w:val="0"/>
                <w:bCs w:val="0"/>
                <w:color w:val="000000" w:themeColor="text1"/>
                <w:sz w:val="24"/>
                <w:szCs w:val="24"/>
                <w:u w:val="none"/>
                <w:lang w:val="en-US" w:eastAsia="zh-CN"/>
                <w14:textFill>
                  <w14:solidFill>
                    <w14:schemeClr w14:val="tx1"/>
                  </w14:solidFill>
                </w14:textFill>
              </w:rPr>
              <w:t xml:space="preserve">  </w:t>
            </w:r>
            <w:r>
              <w:rPr>
                <w:rFonts w:hint="eastAsia"/>
                <w:b w:val="0"/>
                <w:bCs w:val="0"/>
                <w:color w:val="000000" w:themeColor="text1"/>
                <w:sz w:val="24"/>
                <w:szCs w:val="24"/>
                <w:u w:val="none"/>
                <w:lang w:val="en-US" w:eastAsia="zh-CN"/>
                <w14:textFill>
                  <w14:solidFill>
                    <w14:schemeClr w14:val="tx1"/>
                  </w14:solidFill>
                </w14:textFill>
              </w:rPr>
              <w:t>本项目与河南吉尔木食品有限公司位置关系图</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b w:val="0"/>
                <w:bCs w:val="0"/>
                <w:color w:val="000000" w:themeColor="text1"/>
                <w:sz w:val="24"/>
                <w:szCs w:val="24"/>
                <w:u w:val="none"/>
                <w:lang w:val="en-US" w:eastAsia="zh-CN"/>
                <w14:textFill>
                  <w14:solidFill>
                    <w14:schemeClr w14:val="tx1"/>
                  </w14:solidFill>
                </w14:textFill>
              </w:rPr>
            </w:pPr>
            <w:r>
              <w:rPr>
                <w:rFonts w:hint="eastAsia"/>
                <w:b w:val="0"/>
                <w:bCs w:val="0"/>
                <w:color w:val="000000" w:themeColor="text1"/>
                <w:sz w:val="24"/>
                <w:szCs w:val="24"/>
                <w:u w:val="none"/>
                <w:lang w:val="en-US" w:eastAsia="zh-CN"/>
                <w14:textFill>
                  <w14:solidFill>
                    <w14:schemeClr w14:val="tx1"/>
                  </w14:solidFill>
                </w14:textFill>
              </w:rPr>
              <w:t xml:space="preserve">附图4  </w:t>
            </w:r>
            <w:r>
              <w:rPr>
                <w:rFonts w:hint="eastAsia" w:ascii="Times New Roman" w:hAnsi="Times New Roman"/>
                <w:b w:val="0"/>
                <w:bCs w:val="0"/>
                <w:color w:val="000000" w:themeColor="text1"/>
                <w:sz w:val="24"/>
                <w:szCs w:val="24"/>
                <w:u w:val="none"/>
                <w14:textFill>
                  <w14:solidFill>
                    <w14:schemeClr w14:val="tx1"/>
                  </w14:solidFill>
                </w14:textFill>
              </w:rPr>
              <w:t>本项目</w:t>
            </w:r>
            <w:r>
              <w:rPr>
                <w:rFonts w:hint="eastAsia"/>
                <w:b w:val="0"/>
                <w:bCs w:val="0"/>
                <w:color w:val="000000" w:themeColor="text1"/>
                <w:sz w:val="24"/>
                <w:szCs w:val="24"/>
                <w:u w:val="none"/>
                <w:lang w:val="en-US" w:eastAsia="zh-CN"/>
                <w14:textFill>
                  <w14:solidFill>
                    <w14:schemeClr w14:val="tx1"/>
                  </w14:solidFill>
                </w14:textFill>
              </w:rPr>
              <w:t>生产车间设备布局图</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b w:val="0"/>
                <w:bCs w:val="0"/>
                <w:color w:val="000000" w:themeColor="text1"/>
                <w:sz w:val="24"/>
                <w:szCs w:val="24"/>
                <w:u w:val="none"/>
                <w:lang w:val="en-US" w:eastAsia="zh-CN"/>
                <w14:textFill>
                  <w14:solidFill>
                    <w14:schemeClr w14:val="tx1"/>
                  </w14:solidFill>
                </w14:textFill>
              </w:rPr>
            </w:pPr>
            <w:r>
              <w:rPr>
                <w:rFonts w:hint="eastAsia"/>
                <w:b w:val="0"/>
                <w:bCs w:val="0"/>
                <w:color w:val="000000" w:themeColor="text1"/>
                <w:sz w:val="24"/>
                <w:szCs w:val="24"/>
                <w:u w:val="none"/>
                <w:lang w:val="en-US" w:eastAsia="zh-CN"/>
                <w14:textFill>
                  <w14:solidFill>
                    <w14:schemeClr w14:val="tx1"/>
                  </w14:solidFill>
                </w14:textFill>
              </w:rPr>
              <w:t>附图5  本项目与昭平台水库位置关系</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default"/>
                <w:b w:val="0"/>
                <w:bCs w:val="0"/>
                <w:color w:val="000000" w:themeColor="text1"/>
                <w:sz w:val="24"/>
                <w:szCs w:val="24"/>
                <w:u w:val="none"/>
                <w:lang w:val="en-US" w:eastAsia="zh-CN"/>
                <w14:textFill>
                  <w14:solidFill>
                    <w14:schemeClr w14:val="tx1"/>
                  </w14:solidFill>
                </w14:textFill>
              </w:rPr>
            </w:pPr>
            <w:r>
              <w:rPr>
                <w:rFonts w:hint="eastAsia"/>
                <w:b w:val="0"/>
                <w:bCs w:val="0"/>
                <w:color w:val="000000" w:themeColor="text1"/>
                <w:sz w:val="24"/>
                <w:szCs w:val="24"/>
                <w:u w:val="none"/>
                <w:lang w:val="en-US" w:eastAsia="zh-CN"/>
                <w14:textFill>
                  <w14:solidFill>
                    <w14:schemeClr w14:val="tx1"/>
                  </w14:solidFill>
                </w14:textFill>
              </w:rPr>
              <w:t>附图6  现场照片</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b w:val="0"/>
                <w:bCs w:val="0"/>
                <w:color w:val="000000" w:themeColor="text1"/>
                <w:sz w:val="24"/>
                <w:szCs w:val="24"/>
                <w:u w:val="none"/>
                <w:lang w:val="en-US" w:eastAsia="zh-CN"/>
                <w14:textFill>
                  <w14:solidFill>
                    <w14:schemeClr w14:val="tx1"/>
                  </w14:solidFill>
                </w14:textFill>
              </w:rPr>
            </w:pPr>
          </w:p>
          <w:p>
            <w:pPr>
              <w:pStyle w:val="16"/>
              <w:keepNext w:val="0"/>
              <w:keepLines w:val="0"/>
              <w:pageBreakBefore w:val="0"/>
              <w:widowControl w:val="0"/>
              <w:kinsoku/>
              <w:wordWrap/>
              <w:overflowPunct/>
              <w:topLinePunct w:val="0"/>
              <w:autoSpaceDE w:val="0"/>
              <w:autoSpaceDN w:val="0"/>
              <w:bidi w:val="0"/>
              <w:adjustRightInd w:val="0"/>
              <w:snapToGrid w:val="0"/>
              <w:spacing w:before="0" w:line="360" w:lineRule="auto"/>
              <w:ind w:left="0" w:right="0" w:firstLine="560" w:firstLineChars="200"/>
              <w:jc w:val="left"/>
              <w:textAlignment w:val="auto"/>
              <w:rPr>
                <w:rFonts w:hint="eastAsia"/>
                <w:color w:val="000000" w:themeColor="text1"/>
                <w:lang w:val="en-US" w:eastAsia="zh-CN"/>
                <w14:textFill>
                  <w14:solidFill>
                    <w14:schemeClr w14:val="tx1"/>
                  </w14:solidFill>
                </w14:textFill>
              </w:rPr>
            </w:pPr>
          </w:p>
          <w:p>
            <w:pPr>
              <w:pStyle w:val="59"/>
              <w:keepNext w:val="0"/>
              <w:keepLines w:val="0"/>
              <w:pageBreakBefore w:val="0"/>
              <w:kinsoku/>
              <w:wordWrap/>
              <w:overflowPunct/>
              <w:topLinePunct w:val="0"/>
              <w:bidi w:val="0"/>
              <w:adjustRightInd w:val="0"/>
              <w:snapToGrid w:val="0"/>
              <w:spacing w:line="360" w:lineRule="auto"/>
              <w:ind w:firstLine="482" w:firstLineChars="200"/>
              <w:textAlignment w:val="auto"/>
              <w:rPr>
                <w:rFonts w:ascii="Times New Roman" w:hAnsi="Times New Roman"/>
                <w:b/>
                <w:color w:val="000000" w:themeColor="text1"/>
                <w:sz w:val="24"/>
                <w:szCs w:val="24"/>
                <w14:textFill>
                  <w14:solidFill>
                    <w14:schemeClr w14:val="tx1"/>
                  </w14:solidFill>
                </w14:textFill>
              </w:rPr>
            </w:pPr>
            <w:r>
              <w:rPr>
                <w:rFonts w:hint="eastAsia" w:ascii="Times New Roman" w:hAnsi="Times New Roman"/>
                <w:b/>
                <w:color w:val="000000" w:themeColor="text1"/>
                <w:sz w:val="24"/>
                <w:szCs w:val="24"/>
                <w14:textFill>
                  <w14:solidFill>
                    <w14:schemeClr w14:val="tx1"/>
                  </w14:solidFill>
                </w14:textFill>
              </w:rPr>
              <w:t>附件：</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ascii="Times New Roman" w:hAnsi="Times New Roman"/>
                <w:color w:val="000000" w:themeColor="text1"/>
                <w:sz w:val="24"/>
                <w:szCs w:val="24"/>
                <w:highlight w:val="none"/>
                <w14:textFill>
                  <w14:solidFill>
                    <w14:schemeClr w14:val="tx1"/>
                  </w14:solidFill>
                </w14:textFill>
              </w:rPr>
            </w:pPr>
            <w:r>
              <w:rPr>
                <w:rFonts w:ascii="Times New Roman" w:hAnsi="Times New Roman"/>
                <w:color w:val="000000" w:themeColor="text1"/>
                <w:sz w:val="24"/>
                <w:szCs w:val="24"/>
                <w:highlight w:val="none"/>
                <w14:textFill>
                  <w14:solidFill>
                    <w14:schemeClr w14:val="tx1"/>
                  </w14:solidFill>
                </w14:textFill>
              </w:rPr>
              <w:t xml:space="preserve">附件1  </w:t>
            </w:r>
            <w:r>
              <w:rPr>
                <w:rFonts w:hint="eastAsia" w:ascii="Times New Roman" w:hAnsi="Times New Roman"/>
                <w:color w:val="000000" w:themeColor="text1"/>
                <w:sz w:val="24"/>
                <w:szCs w:val="24"/>
                <w:highlight w:val="none"/>
                <w:lang w:eastAsia="zh-CN"/>
                <w14:textFill>
                  <w14:solidFill>
                    <w14:schemeClr w14:val="tx1"/>
                  </w14:solidFill>
                </w14:textFill>
              </w:rPr>
              <w:t>本项目</w:t>
            </w:r>
            <w:r>
              <w:rPr>
                <w:rFonts w:ascii="Times New Roman" w:hAnsi="Times New Roman"/>
                <w:color w:val="000000" w:themeColor="text1"/>
                <w:sz w:val="24"/>
                <w:szCs w:val="24"/>
                <w:highlight w:val="none"/>
                <w14:textFill>
                  <w14:solidFill>
                    <w14:schemeClr w14:val="tx1"/>
                  </w14:solidFill>
                </w14:textFill>
              </w:rPr>
              <w:t>委托书</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ascii="Times New Roman" w:hAnsi="Times New Roman"/>
                <w:color w:val="000000" w:themeColor="text1"/>
                <w:sz w:val="24"/>
                <w:szCs w:val="24"/>
                <w14:textFill>
                  <w14:solidFill>
                    <w14:schemeClr w14:val="tx1"/>
                  </w14:solidFill>
                </w14:textFill>
              </w:rPr>
            </w:pPr>
            <w:r>
              <w:rPr>
                <w:rFonts w:hint="eastAsia" w:ascii="Times New Roman" w:hAnsi="Times New Roman"/>
                <w:color w:val="000000" w:themeColor="text1"/>
                <w:sz w:val="24"/>
                <w:szCs w:val="24"/>
                <w14:textFill>
                  <w14:solidFill>
                    <w14:schemeClr w14:val="tx1"/>
                  </w14:solidFill>
                </w14:textFill>
              </w:rPr>
              <w:t xml:space="preserve">附件2  </w:t>
            </w:r>
            <w:r>
              <w:rPr>
                <w:rFonts w:hint="eastAsia" w:ascii="Times New Roman" w:hAnsi="Times New Roman"/>
                <w:color w:val="000000" w:themeColor="text1"/>
                <w:sz w:val="24"/>
                <w:szCs w:val="24"/>
                <w:lang w:eastAsia="zh-CN"/>
                <w14:textFill>
                  <w14:solidFill>
                    <w14:schemeClr w14:val="tx1"/>
                  </w14:solidFill>
                </w14:textFill>
              </w:rPr>
              <w:t>本项目</w:t>
            </w:r>
            <w:r>
              <w:rPr>
                <w:rFonts w:hint="eastAsia" w:ascii="Times New Roman" w:hAnsi="Times New Roman"/>
                <w:color w:val="000000" w:themeColor="text1"/>
                <w:sz w:val="24"/>
                <w:szCs w:val="24"/>
                <w14:textFill>
                  <w14:solidFill>
                    <w14:schemeClr w14:val="tx1"/>
                  </w14:solidFill>
                </w14:textFill>
              </w:rPr>
              <w:t>备案证明</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ascii="Times New Roman" w:hAnsi="Times New Roman" w:eastAsia="宋体"/>
                <w:color w:val="000000" w:themeColor="text1"/>
                <w:sz w:val="24"/>
                <w:szCs w:val="24"/>
                <w:lang w:eastAsia="zh-CN"/>
                <w14:textFill>
                  <w14:solidFill>
                    <w14:schemeClr w14:val="tx1"/>
                  </w14:solidFill>
                </w14:textFill>
              </w:rPr>
            </w:pPr>
            <w:r>
              <w:rPr>
                <w:rFonts w:ascii="Times New Roman" w:hAnsi="Times New Roman"/>
                <w:color w:val="000000" w:themeColor="text1"/>
                <w:sz w:val="24"/>
                <w:szCs w:val="24"/>
                <w14:textFill>
                  <w14:solidFill>
                    <w14:schemeClr w14:val="tx1"/>
                  </w14:solidFill>
                </w14:textFill>
              </w:rPr>
              <w:t>附件</w:t>
            </w:r>
            <w:r>
              <w:rPr>
                <w:rFonts w:hint="eastAsia" w:ascii="Times New Roman" w:hAnsi="Times New Roman"/>
                <w:color w:val="000000" w:themeColor="text1"/>
                <w:sz w:val="24"/>
                <w:szCs w:val="24"/>
                <w14:textFill>
                  <w14:solidFill>
                    <w14:schemeClr w14:val="tx1"/>
                  </w14:solidFill>
                </w14:textFill>
              </w:rPr>
              <w:t>3</w:t>
            </w:r>
            <w:r>
              <w:rPr>
                <w:rFonts w:ascii="Times New Roman" w:hAnsi="Times New Roman"/>
                <w:color w:val="000000" w:themeColor="text1"/>
                <w:sz w:val="24"/>
                <w:szCs w:val="24"/>
                <w14:textFill>
                  <w14:solidFill>
                    <w14:schemeClr w14:val="tx1"/>
                  </w14:solidFill>
                </w14:textFill>
              </w:rPr>
              <w:t xml:space="preserve">  </w:t>
            </w:r>
            <w:r>
              <w:rPr>
                <w:rFonts w:hint="eastAsia" w:ascii="Times New Roman" w:hAnsi="Times New Roman"/>
                <w:color w:val="000000" w:themeColor="text1"/>
                <w:sz w:val="24"/>
                <w:szCs w:val="24"/>
                <w:lang w:eastAsia="zh-CN"/>
                <w14:textFill>
                  <w14:solidFill>
                    <w14:schemeClr w14:val="tx1"/>
                  </w14:solidFill>
                </w14:textFill>
              </w:rPr>
              <w:t>本项目环评执行标准的意见</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r>
              <w:rPr>
                <w:rFonts w:hint="eastAsia" w:ascii="Times New Roman" w:hAnsi="Times New Roman"/>
                <w:color w:val="000000" w:themeColor="text1"/>
                <w:sz w:val="24"/>
                <w:szCs w:val="24"/>
                <w14:textFill>
                  <w14:solidFill>
                    <w14:schemeClr w14:val="tx1"/>
                  </w14:solidFill>
                </w14:textFill>
              </w:rPr>
              <w:t xml:space="preserve">附件4  </w:t>
            </w:r>
            <w:r>
              <w:rPr>
                <w:rFonts w:hint="eastAsia"/>
                <w:color w:val="000000" w:themeColor="text1"/>
                <w:sz w:val="24"/>
                <w:szCs w:val="24"/>
                <w:lang w:val="en-US" w:eastAsia="zh-CN"/>
                <w14:textFill>
                  <w14:solidFill>
                    <w14:schemeClr w14:val="tx1"/>
                  </w14:solidFill>
                </w14:textFill>
              </w:rPr>
              <w:t>合作协议书</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附件5  平顶山生态环境局鲁山分局《关于河南素兴生物科技有限公司香菇、木耳等菌类深加工项目环境影响报告表的审批意见》（平鲁环监表[2022]08号）</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附件6  土地经营权流转合同</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附件7  库区乡人民政府出具规划意见书</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附件8  租赁协议</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default"/>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附件9  情况说明</w:t>
            </w:r>
          </w:p>
          <w:p>
            <w:pPr>
              <w:pStyle w:val="59"/>
              <w:keepNext w:val="0"/>
              <w:keepLines w:val="0"/>
              <w:pageBreakBefore w:val="0"/>
              <w:kinsoku/>
              <w:wordWrap/>
              <w:overflowPunct/>
              <w:topLinePunct w:val="0"/>
              <w:bidi w:val="0"/>
              <w:adjustRightInd w:val="0"/>
              <w:snapToGrid w:val="0"/>
              <w:spacing w:line="360" w:lineRule="auto"/>
              <w:ind w:firstLine="480" w:firstLineChars="200"/>
              <w:textAlignment w:val="auto"/>
              <w:rPr>
                <w:rFonts w:hint="eastAsia"/>
                <w:color w:val="000000" w:themeColor="text1"/>
                <w:sz w:val="24"/>
                <w:szCs w:val="24"/>
                <w:lang w:val="en-US" w:eastAsia="zh-CN"/>
                <w14:textFill>
                  <w14:solidFill>
                    <w14:schemeClr w14:val="tx1"/>
                  </w14:solidFill>
                </w14:textFill>
              </w:rPr>
            </w:pPr>
          </w:p>
          <w:p>
            <w:pPr>
              <w:spacing w:line="360" w:lineRule="auto"/>
              <w:ind w:firstLine="480" w:firstLineChars="200"/>
              <w:rPr>
                <w:bCs/>
                <w:color w:val="000000" w:themeColor="text1"/>
                <w:sz w:val="24"/>
                <w14:textFill>
                  <w14:solidFill>
                    <w14:schemeClr w14:val="tx1"/>
                  </w14:solidFill>
                </w14:textFill>
              </w:rPr>
            </w:pPr>
          </w:p>
          <w:p>
            <w:pPr>
              <w:spacing w:line="360" w:lineRule="auto"/>
              <w:ind w:firstLine="480" w:firstLineChars="200"/>
              <w:rPr>
                <w:bCs/>
                <w:color w:val="000000" w:themeColor="text1"/>
                <w:sz w:val="24"/>
                <w14:textFill>
                  <w14:solidFill>
                    <w14:schemeClr w14:val="tx1"/>
                  </w14:solidFill>
                </w14:textFill>
              </w:rPr>
            </w:pPr>
          </w:p>
          <w:p>
            <w:pPr>
              <w:pStyle w:val="34"/>
              <w:rPr>
                <w:color w:val="000000" w:themeColor="text1"/>
                <w14:textFill>
                  <w14:solidFill>
                    <w14:schemeClr w14:val="tx1"/>
                  </w14:solidFill>
                </w14:textFill>
              </w:rPr>
            </w:pPr>
          </w:p>
          <w:p>
            <w:pPr>
              <w:pStyle w:val="34"/>
              <w:rPr>
                <w:color w:val="000000" w:themeColor="text1"/>
                <w14:textFill>
                  <w14:solidFill>
                    <w14:schemeClr w14:val="tx1"/>
                  </w14:solidFill>
                </w14:textFill>
              </w:rPr>
            </w:pPr>
          </w:p>
          <w:p>
            <w:pPr>
              <w:pStyle w:val="34"/>
              <w:rPr>
                <w:color w:val="000000" w:themeColor="text1"/>
                <w14:textFill>
                  <w14:solidFill>
                    <w14:schemeClr w14:val="tx1"/>
                  </w14:solidFill>
                </w14:textFill>
              </w:rPr>
            </w:pPr>
          </w:p>
          <w:p>
            <w:pPr>
              <w:pStyle w:val="34"/>
              <w:rPr>
                <w:color w:val="000000" w:themeColor="text1"/>
                <w14:textFill>
                  <w14:solidFill>
                    <w14:schemeClr w14:val="tx1"/>
                  </w14:solidFill>
                </w14:textFill>
              </w:rPr>
            </w:pPr>
          </w:p>
          <w:p>
            <w:pPr>
              <w:pStyle w:val="34"/>
              <w:rPr>
                <w:color w:val="000000" w:themeColor="text1"/>
                <w14:textFill>
                  <w14:solidFill>
                    <w14:schemeClr w14:val="tx1"/>
                  </w14:solidFill>
                </w14:textFill>
              </w:rPr>
            </w:pPr>
          </w:p>
          <w:p>
            <w:pPr>
              <w:pStyle w:val="34"/>
              <w:rPr>
                <w:color w:val="000000" w:themeColor="text1"/>
                <w14:textFill>
                  <w14:solidFill>
                    <w14:schemeClr w14:val="tx1"/>
                  </w14:solidFill>
                </w14:textFill>
              </w:rPr>
            </w:pPr>
          </w:p>
          <w:p>
            <w:pPr>
              <w:spacing w:line="360" w:lineRule="auto"/>
              <w:rPr>
                <w:bCs/>
                <w:color w:val="000000" w:themeColor="text1"/>
                <w:sz w:val="24"/>
                <w14:textFill>
                  <w14:solidFill>
                    <w14:schemeClr w14:val="tx1"/>
                  </w14:solidFill>
                </w14:textFill>
              </w:rPr>
            </w:pPr>
          </w:p>
        </w:tc>
      </w:tr>
    </w:tbl>
    <w:p>
      <w:pPr>
        <w:rPr>
          <w:color w:val="000000" w:themeColor="text1"/>
          <w14:textFill>
            <w14:solidFill>
              <w14:schemeClr w14:val="tx1"/>
            </w14:solidFill>
          </w14:textFill>
        </w:rPr>
      </w:pPr>
    </w:p>
    <w:sectPr>
      <w:pgSz w:w="11906" w:h="16838"/>
      <w:pgMar w:top="1701" w:right="1531" w:bottom="1701" w:left="1531" w:header="851" w:footer="850" w:gutter="0"/>
      <w:pgBorders>
        <w:top w:val="none" w:sz="0" w:space="0"/>
        <w:left w:val="none" w:sz="0" w:space="0"/>
        <w:bottom w:val="none" w:sz="0" w:space="0"/>
        <w:right w:val="none" w:sz="0" w:space="0"/>
      </w:pgBorders>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EE"/>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10" w:usb3="00000000" w:csb0="00040000" w:csb1="00000000"/>
  </w:font>
  <w:font w:name="FZFSK--GBK1-0">
    <w:altName w:val="Segoe Print"/>
    <w:panose1 w:val="00000000000000000000"/>
    <w:charset w:val="00"/>
    <w:family w:val="auto"/>
    <w:pitch w:val="default"/>
    <w:sig w:usb0="00000000" w:usb1="00000000" w:usb2="00000000" w:usb3="00000000" w:csb0="00000000" w:csb1="00000000"/>
  </w:font>
  <w:font w:name="TimesNewRomanPSMT">
    <w:altName w:val="Times New Roman"/>
    <w:panose1 w:val="00000000000000000000"/>
    <w:charset w:val="80"/>
    <w:family w:val="auto"/>
    <w:pitch w:val="default"/>
    <w:sig w:usb0="00000000" w:usb1="00000000" w:usb2="00000010" w:usb3="00000000" w:csb0="00020000" w:csb1="00000000"/>
  </w:font>
  <w:font w:name="Wingdings 2">
    <w:panose1 w:val="050201020105070707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framePr w:wrap="around" w:vAnchor="text" w:hAnchor="margin" w:xAlign="outside" w:y="1"/>
      <w:rPr>
        <w:rStyle w:val="30"/>
        <w:rFonts w:ascii="宋体" w:hAnsi="宋体"/>
        <w:sz w:val="28"/>
        <w:szCs w:val="28"/>
      </w:rPr>
    </w:pPr>
    <w:r>
      <w:rPr>
        <w:rStyle w:val="30"/>
        <w:rFonts w:hint="eastAsia" w:ascii="宋体" w:hAnsi="宋体"/>
        <w:sz w:val="28"/>
        <w:szCs w:val="28"/>
      </w:rPr>
      <w:t>—</w:t>
    </w:r>
    <w:r>
      <w:rPr>
        <w:rStyle w:val="30"/>
        <w:rFonts w:hint="eastAsia" w:ascii="宋体" w:hAnsi="宋体"/>
        <w:sz w:val="20"/>
      </w:rPr>
      <w:t xml:space="preserve">  </w:t>
    </w:r>
    <w:r>
      <w:rPr>
        <w:rFonts w:ascii="宋体" w:hAnsi="宋体"/>
        <w:sz w:val="26"/>
        <w:szCs w:val="26"/>
      </w:rPr>
      <w:fldChar w:fldCharType="begin"/>
    </w:r>
    <w:r>
      <w:rPr>
        <w:rStyle w:val="30"/>
        <w:rFonts w:ascii="宋体" w:hAnsi="宋体"/>
        <w:sz w:val="26"/>
        <w:szCs w:val="26"/>
      </w:rPr>
      <w:instrText xml:space="preserve">PAGE  </w:instrText>
    </w:r>
    <w:r>
      <w:rPr>
        <w:rFonts w:ascii="宋体" w:hAnsi="宋体"/>
        <w:sz w:val="26"/>
        <w:szCs w:val="26"/>
      </w:rPr>
      <w:fldChar w:fldCharType="separate"/>
    </w:r>
    <w:r>
      <w:rPr>
        <w:rStyle w:val="30"/>
        <w:rFonts w:ascii="宋体" w:hAnsi="宋体"/>
        <w:sz w:val="26"/>
        <w:szCs w:val="26"/>
      </w:rPr>
      <w:t>28</w:t>
    </w:r>
    <w:r>
      <w:rPr>
        <w:rFonts w:ascii="宋体" w:hAnsi="宋体"/>
        <w:sz w:val="26"/>
        <w:szCs w:val="26"/>
      </w:rPr>
      <w:fldChar w:fldCharType="end"/>
    </w:r>
    <w:r>
      <w:rPr>
        <w:rStyle w:val="30"/>
        <w:rFonts w:hint="eastAsia" w:ascii="宋体" w:hAnsi="宋体"/>
        <w:sz w:val="20"/>
      </w:rPr>
      <w:t xml:space="preserve">  </w:t>
    </w:r>
    <w:r>
      <w:rPr>
        <w:rStyle w:val="30"/>
        <w:rFonts w:hint="eastAsia" w:ascii="宋体" w:hAnsi="宋体"/>
        <w:sz w:val="28"/>
        <w:szCs w:val="28"/>
      </w:rPr>
      <w:t>—</w:t>
    </w:r>
  </w:p>
  <w:p>
    <w:pPr>
      <w:pStyle w:val="21"/>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framePr w:wrap="around" w:vAnchor="text" w:hAnchor="margin" w:xAlign="outside" w:y="1"/>
      <w:rPr>
        <w:rStyle w:val="30"/>
        <w:rFonts w:ascii="宋体" w:hAnsi="宋体"/>
        <w:sz w:val="28"/>
        <w:szCs w:val="28"/>
      </w:rPr>
    </w:pPr>
    <w:r>
      <w:rPr>
        <w:rStyle w:val="30"/>
        <w:rFonts w:hint="eastAsia" w:ascii="宋体" w:hAnsi="宋体"/>
        <w:sz w:val="28"/>
        <w:szCs w:val="28"/>
      </w:rPr>
      <w:t>—</w:t>
    </w:r>
    <w:r>
      <w:rPr>
        <w:rStyle w:val="30"/>
        <w:rFonts w:hint="eastAsia" w:ascii="宋体" w:hAnsi="宋体"/>
        <w:sz w:val="20"/>
      </w:rPr>
      <w:t xml:space="preserve">  </w:t>
    </w:r>
    <w:r>
      <w:rPr>
        <w:rFonts w:ascii="宋体" w:hAnsi="宋体"/>
        <w:sz w:val="26"/>
        <w:szCs w:val="26"/>
      </w:rPr>
      <w:fldChar w:fldCharType="begin"/>
    </w:r>
    <w:r>
      <w:rPr>
        <w:rStyle w:val="30"/>
        <w:rFonts w:ascii="宋体" w:hAnsi="宋体"/>
        <w:sz w:val="26"/>
        <w:szCs w:val="26"/>
      </w:rPr>
      <w:instrText xml:space="preserve">PAGE  </w:instrText>
    </w:r>
    <w:r>
      <w:rPr>
        <w:rFonts w:ascii="宋体" w:hAnsi="宋体"/>
        <w:sz w:val="26"/>
        <w:szCs w:val="26"/>
      </w:rPr>
      <w:fldChar w:fldCharType="separate"/>
    </w:r>
    <w:r>
      <w:rPr>
        <w:rStyle w:val="30"/>
        <w:rFonts w:ascii="宋体" w:hAnsi="宋体"/>
        <w:sz w:val="26"/>
        <w:szCs w:val="26"/>
      </w:rPr>
      <w:t>70</w:t>
    </w:r>
    <w:r>
      <w:rPr>
        <w:rFonts w:ascii="宋体" w:hAnsi="宋体"/>
        <w:sz w:val="26"/>
        <w:szCs w:val="26"/>
      </w:rPr>
      <w:fldChar w:fldCharType="end"/>
    </w:r>
    <w:r>
      <w:rPr>
        <w:rStyle w:val="30"/>
        <w:rFonts w:hint="eastAsia" w:ascii="宋体" w:hAnsi="宋体"/>
        <w:sz w:val="20"/>
      </w:rPr>
      <w:t xml:space="preserve">  </w:t>
    </w:r>
    <w:r>
      <w:rPr>
        <w:rStyle w:val="30"/>
        <w:rFonts w:hint="eastAsia" w:ascii="宋体" w:hAnsi="宋体"/>
        <w:sz w:val="28"/>
        <w:szCs w:val="28"/>
      </w:rPr>
      <w:t>—</w:t>
    </w:r>
  </w:p>
  <w:p>
    <w:pPr>
      <w:pStyle w:val="21"/>
      <w:ind w:right="360" w:firstLine="360"/>
      <w:jc w:val="cen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D017ADE"/>
    <w:multiLevelType w:val="singleLevel"/>
    <w:tmpl w:val="2D017ADE"/>
    <w:lvl w:ilvl="0" w:tentative="0">
      <w:start w:val="11"/>
      <w:numFmt w:val="chineseCounting"/>
      <w:suff w:val="nothing"/>
      <w:lvlText w:val="%1、"/>
      <w:lvlJc w:val="left"/>
      <w:rPr>
        <w:rFonts w:hint="eastAsia"/>
      </w:rPr>
    </w:lvl>
  </w:abstractNum>
  <w:abstractNum w:abstractNumId="1">
    <w:nsid w:val="2EA6F726"/>
    <w:multiLevelType w:val="singleLevel"/>
    <w:tmpl w:val="2EA6F726"/>
    <w:lvl w:ilvl="0" w:tentative="0">
      <w:start w:val="5"/>
      <w:numFmt w:val="decimal"/>
      <w:suff w:val="nothing"/>
      <w:lvlText w:val="%1、"/>
      <w:lvlJc w:val="left"/>
    </w:lvl>
  </w:abstractNum>
  <w:abstractNum w:abstractNumId="2">
    <w:nsid w:val="468B18BE"/>
    <w:multiLevelType w:val="singleLevel"/>
    <w:tmpl w:val="468B18BE"/>
    <w:lvl w:ilvl="0" w:tentative="0">
      <w:start w:val="5"/>
      <w:numFmt w:val="chineseCounting"/>
      <w:suff w:val="nothing"/>
      <w:lvlText w:val="%1、"/>
      <w:lvlJc w:val="left"/>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documentProtection w:edit="trackedChanges" w:enforcement="0"/>
  <w:defaultTabStop w:val="420"/>
  <w:doNotHyphenateCaps/>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A5MzBlOWMwNmFmYjhiNDFhOGEyMjNiY2IyMzBmZjUifQ=="/>
  </w:docVars>
  <w:rsids>
    <w:rsidRoot w:val="00172A27"/>
    <w:rsid w:val="000060B3"/>
    <w:rsid w:val="00020AD4"/>
    <w:rsid w:val="0004364B"/>
    <w:rsid w:val="00046A04"/>
    <w:rsid w:val="00061B1F"/>
    <w:rsid w:val="00062617"/>
    <w:rsid w:val="000733C4"/>
    <w:rsid w:val="00074783"/>
    <w:rsid w:val="0008070B"/>
    <w:rsid w:val="000810AC"/>
    <w:rsid w:val="00081A02"/>
    <w:rsid w:val="00082231"/>
    <w:rsid w:val="00092D38"/>
    <w:rsid w:val="0009377B"/>
    <w:rsid w:val="000A03BE"/>
    <w:rsid w:val="000A20C9"/>
    <w:rsid w:val="000B058F"/>
    <w:rsid w:val="000B4467"/>
    <w:rsid w:val="000B44D3"/>
    <w:rsid w:val="000B4DB9"/>
    <w:rsid w:val="000C06AB"/>
    <w:rsid w:val="000C09AC"/>
    <w:rsid w:val="000C767F"/>
    <w:rsid w:val="000D5A44"/>
    <w:rsid w:val="000E3ED2"/>
    <w:rsid w:val="00131F42"/>
    <w:rsid w:val="001357F1"/>
    <w:rsid w:val="00140FA8"/>
    <w:rsid w:val="00142FEB"/>
    <w:rsid w:val="00143A2D"/>
    <w:rsid w:val="00145A41"/>
    <w:rsid w:val="00151675"/>
    <w:rsid w:val="00157435"/>
    <w:rsid w:val="00172A27"/>
    <w:rsid w:val="0017504D"/>
    <w:rsid w:val="0017671A"/>
    <w:rsid w:val="00177422"/>
    <w:rsid w:val="00184590"/>
    <w:rsid w:val="001870D1"/>
    <w:rsid w:val="0018781E"/>
    <w:rsid w:val="0019262D"/>
    <w:rsid w:val="001A1B35"/>
    <w:rsid w:val="001A48A2"/>
    <w:rsid w:val="001A6F61"/>
    <w:rsid w:val="001B72B8"/>
    <w:rsid w:val="001C69B3"/>
    <w:rsid w:val="001C76F6"/>
    <w:rsid w:val="001D5595"/>
    <w:rsid w:val="001D7874"/>
    <w:rsid w:val="001D7F22"/>
    <w:rsid w:val="001E7654"/>
    <w:rsid w:val="001F0F17"/>
    <w:rsid w:val="001F3347"/>
    <w:rsid w:val="001F69E4"/>
    <w:rsid w:val="002125B4"/>
    <w:rsid w:val="002155B8"/>
    <w:rsid w:val="00220289"/>
    <w:rsid w:val="00224839"/>
    <w:rsid w:val="002249B2"/>
    <w:rsid w:val="00226574"/>
    <w:rsid w:val="002278EC"/>
    <w:rsid w:val="0023280E"/>
    <w:rsid w:val="002377D1"/>
    <w:rsid w:val="002506BC"/>
    <w:rsid w:val="00254345"/>
    <w:rsid w:val="00264557"/>
    <w:rsid w:val="00264F90"/>
    <w:rsid w:val="002805AB"/>
    <w:rsid w:val="00284204"/>
    <w:rsid w:val="00291773"/>
    <w:rsid w:val="002A168C"/>
    <w:rsid w:val="002A355E"/>
    <w:rsid w:val="002A3DC7"/>
    <w:rsid w:val="002B49E2"/>
    <w:rsid w:val="002B7B00"/>
    <w:rsid w:val="002B7C44"/>
    <w:rsid w:val="002C2B17"/>
    <w:rsid w:val="002D3DD0"/>
    <w:rsid w:val="002E1F3A"/>
    <w:rsid w:val="002E298A"/>
    <w:rsid w:val="00301978"/>
    <w:rsid w:val="0030332C"/>
    <w:rsid w:val="003051C2"/>
    <w:rsid w:val="00312296"/>
    <w:rsid w:val="00314F0E"/>
    <w:rsid w:val="00321D8E"/>
    <w:rsid w:val="00325928"/>
    <w:rsid w:val="00332863"/>
    <w:rsid w:val="0033684D"/>
    <w:rsid w:val="00337A70"/>
    <w:rsid w:val="00337B42"/>
    <w:rsid w:val="00341B42"/>
    <w:rsid w:val="0034348F"/>
    <w:rsid w:val="00356653"/>
    <w:rsid w:val="0035743F"/>
    <w:rsid w:val="00357BE2"/>
    <w:rsid w:val="0036170C"/>
    <w:rsid w:val="00366E0F"/>
    <w:rsid w:val="00381A72"/>
    <w:rsid w:val="00384676"/>
    <w:rsid w:val="00390857"/>
    <w:rsid w:val="003A4BF3"/>
    <w:rsid w:val="003B420D"/>
    <w:rsid w:val="003C6C16"/>
    <w:rsid w:val="003D794D"/>
    <w:rsid w:val="003E0738"/>
    <w:rsid w:val="003E3058"/>
    <w:rsid w:val="003E76A9"/>
    <w:rsid w:val="003F0809"/>
    <w:rsid w:val="003F6A8C"/>
    <w:rsid w:val="003F755C"/>
    <w:rsid w:val="00400CCF"/>
    <w:rsid w:val="00406F01"/>
    <w:rsid w:val="00416D50"/>
    <w:rsid w:val="00416FD5"/>
    <w:rsid w:val="00417772"/>
    <w:rsid w:val="00420E6A"/>
    <w:rsid w:val="00425A9E"/>
    <w:rsid w:val="00426D6B"/>
    <w:rsid w:val="00431E6C"/>
    <w:rsid w:val="00433CE7"/>
    <w:rsid w:val="00436D87"/>
    <w:rsid w:val="00452738"/>
    <w:rsid w:val="00456091"/>
    <w:rsid w:val="00466321"/>
    <w:rsid w:val="00484B9B"/>
    <w:rsid w:val="004855F6"/>
    <w:rsid w:val="0048661E"/>
    <w:rsid w:val="00494670"/>
    <w:rsid w:val="004A3823"/>
    <w:rsid w:val="004E6946"/>
    <w:rsid w:val="004F1AD8"/>
    <w:rsid w:val="005039CB"/>
    <w:rsid w:val="0050558F"/>
    <w:rsid w:val="00506286"/>
    <w:rsid w:val="00510813"/>
    <w:rsid w:val="00511990"/>
    <w:rsid w:val="00511DE0"/>
    <w:rsid w:val="00514870"/>
    <w:rsid w:val="00514B9B"/>
    <w:rsid w:val="00517F02"/>
    <w:rsid w:val="00524303"/>
    <w:rsid w:val="005258A2"/>
    <w:rsid w:val="005401AE"/>
    <w:rsid w:val="00542E07"/>
    <w:rsid w:val="00545424"/>
    <w:rsid w:val="00554A7B"/>
    <w:rsid w:val="0055572C"/>
    <w:rsid w:val="0056106A"/>
    <w:rsid w:val="005720AE"/>
    <w:rsid w:val="00574C65"/>
    <w:rsid w:val="00594D77"/>
    <w:rsid w:val="005969E4"/>
    <w:rsid w:val="005A06B7"/>
    <w:rsid w:val="005A1759"/>
    <w:rsid w:val="005A2D64"/>
    <w:rsid w:val="005A68A7"/>
    <w:rsid w:val="005B1484"/>
    <w:rsid w:val="005B4D38"/>
    <w:rsid w:val="005C381C"/>
    <w:rsid w:val="005D36AB"/>
    <w:rsid w:val="005E05F1"/>
    <w:rsid w:val="00612E68"/>
    <w:rsid w:val="00617CC3"/>
    <w:rsid w:val="006377A6"/>
    <w:rsid w:val="00637A3D"/>
    <w:rsid w:val="006411EF"/>
    <w:rsid w:val="006748B8"/>
    <w:rsid w:val="006775C3"/>
    <w:rsid w:val="00682522"/>
    <w:rsid w:val="006836D3"/>
    <w:rsid w:val="0069290A"/>
    <w:rsid w:val="0069775A"/>
    <w:rsid w:val="00697813"/>
    <w:rsid w:val="006A3EE8"/>
    <w:rsid w:val="006A72BF"/>
    <w:rsid w:val="006B03F2"/>
    <w:rsid w:val="006B37DC"/>
    <w:rsid w:val="006B4F68"/>
    <w:rsid w:val="006C0592"/>
    <w:rsid w:val="006C272E"/>
    <w:rsid w:val="006C5479"/>
    <w:rsid w:val="006D13B5"/>
    <w:rsid w:val="006E12FF"/>
    <w:rsid w:val="006E607E"/>
    <w:rsid w:val="00701EC5"/>
    <w:rsid w:val="00706C5D"/>
    <w:rsid w:val="007160B5"/>
    <w:rsid w:val="007254B6"/>
    <w:rsid w:val="00732922"/>
    <w:rsid w:val="007351E5"/>
    <w:rsid w:val="007430F6"/>
    <w:rsid w:val="0075162E"/>
    <w:rsid w:val="00754034"/>
    <w:rsid w:val="00756556"/>
    <w:rsid w:val="00760081"/>
    <w:rsid w:val="007618C4"/>
    <w:rsid w:val="00767980"/>
    <w:rsid w:val="00770B19"/>
    <w:rsid w:val="0077463F"/>
    <w:rsid w:val="007836EA"/>
    <w:rsid w:val="00784CDA"/>
    <w:rsid w:val="007906C4"/>
    <w:rsid w:val="007940EA"/>
    <w:rsid w:val="007967E8"/>
    <w:rsid w:val="007A2170"/>
    <w:rsid w:val="007A22BF"/>
    <w:rsid w:val="007A3323"/>
    <w:rsid w:val="007B72B8"/>
    <w:rsid w:val="007B7A58"/>
    <w:rsid w:val="007C21B5"/>
    <w:rsid w:val="007C67D3"/>
    <w:rsid w:val="007E4BD2"/>
    <w:rsid w:val="00801393"/>
    <w:rsid w:val="00802F88"/>
    <w:rsid w:val="0081293E"/>
    <w:rsid w:val="00815465"/>
    <w:rsid w:val="00817E9A"/>
    <w:rsid w:val="008306BD"/>
    <w:rsid w:val="00831A80"/>
    <w:rsid w:val="00833743"/>
    <w:rsid w:val="008340A4"/>
    <w:rsid w:val="00834210"/>
    <w:rsid w:val="0084599C"/>
    <w:rsid w:val="0085358B"/>
    <w:rsid w:val="0087135F"/>
    <w:rsid w:val="00872D94"/>
    <w:rsid w:val="00880364"/>
    <w:rsid w:val="00891592"/>
    <w:rsid w:val="00891E9E"/>
    <w:rsid w:val="008A2F68"/>
    <w:rsid w:val="008B4FA6"/>
    <w:rsid w:val="008B5282"/>
    <w:rsid w:val="008B7C17"/>
    <w:rsid w:val="008C2D01"/>
    <w:rsid w:val="008C40E6"/>
    <w:rsid w:val="008C728B"/>
    <w:rsid w:val="008D0F7A"/>
    <w:rsid w:val="008D68E4"/>
    <w:rsid w:val="008E0506"/>
    <w:rsid w:val="008E0CFF"/>
    <w:rsid w:val="008E5D6B"/>
    <w:rsid w:val="008E76F0"/>
    <w:rsid w:val="008F15FE"/>
    <w:rsid w:val="008F2D29"/>
    <w:rsid w:val="008F5187"/>
    <w:rsid w:val="008F60D8"/>
    <w:rsid w:val="00902727"/>
    <w:rsid w:val="0090312B"/>
    <w:rsid w:val="0091736D"/>
    <w:rsid w:val="0093037A"/>
    <w:rsid w:val="0094154D"/>
    <w:rsid w:val="0095155F"/>
    <w:rsid w:val="00954429"/>
    <w:rsid w:val="009563CE"/>
    <w:rsid w:val="00976328"/>
    <w:rsid w:val="0097680D"/>
    <w:rsid w:val="00982438"/>
    <w:rsid w:val="0098404C"/>
    <w:rsid w:val="00985283"/>
    <w:rsid w:val="00991F04"/>
    <w:rsid w:val="00995992"/>
    <w:rsid w:val="009A03E5"/>
    <w:rsid w:val="009A0F3B"/>
    <w:rsid w:val="009A1BB4"/>
    <w:rsid w:val="009A2628"/>
    <w:rsid w:val="009A3200"/>
    <w:rsid w:val="009B0897"/>
    <w:rsid w:val="009B7BD9"/>
    <w:rsid w:val="009C7DD5"/>
    <w:rsid w:val="009D320A"/>
    <w:rsid w:val="009E227D"/>
    <w:rsid w:val="009E5019"/>
    <w:rsid w:val="009F4C1B"/>
    <w:rsid w:val="00A04F1B"/>
    <w:rsid w:val="00A0501B"/>
    <w:rsid w:val="00A14947"/>
    <w:rsid w:val="00A32A83"/>
    <w:rsid w:val="00A368DB"/>
    <w:rsid w:val="00A423AA"/>
    <w:rsid w:val="00A4388D"/>
    <w:rsid w:val="00A53EC6"/>
    <w:rsid w:val="00A5483B"/>
    <w:rsid w:val="00A55C0F"/>
    <w:rsid w:val="00A6412A"/>
    <w:rsid w:val="00A8713F"/>
    <w:rsid w:val="00A90BA1"/>
    <w:rsid w:val="00A97A9A"/>
    <w:rsid w:val="00AA0671"/>
    <w:rsid w:val="00AA2531"/>
    <w:rsid w:val="00AB1E09"/>
    <w:rsid w:val="00AB5330"/>
    <w:rsid w:val="00AB7747"/>
    <w:rsid w:val="00AC14CE"/>
    <w:rsid w:val="00AC2A56"/>
    <w:rsid w:val="00AD055E"/>
    <w:rsid w:val="00AD47A7"/>
    <w:rsid w:val="00AF0CBF"/>
    <w:rsid w:val="00AF257F"/>
    <w:rsid w:val="00AF33CF"/>
    <w:rsid w:val="00AF4D50"/>
    <w:rsid w:val="00AF6179"/>
    <w:rsid w:val="00B1295A"/>
    <w:rsid w:val="00B20A45"/>
    <w:rsid w:val="00B22C5C"/>
    <w:rsid w:val="00B24F30"/>
    <w:rsid w:val="00B31ABF"/>
    <w:rsid w:val="00B33BE3"/>
    <w:rsid w:val="00B52F09"/>
    <w:rsid w:val="00B53B5D"/>
    <w:rsid w:val="00B6055E"/>
    <w:rsid w:val="00B6317D"/>
    <w:rsid w:val="00B7385C"/>
    <w:rsid w:val="00B7723F"/>
    <w:rsid w:val="00B80534"/>
    <w:rsid w:val="00B8433C"/>
    <w:rsid w:val="00B87491"/>
    <w:rsid w:val="00BA29E9"/>
    <w:rsid w:val="00BA7142"/>
    <w:rsid w:val="00BB237C"/>
    <w:rsid w:val="00BB41A3"/>
    <w:rsid w:val="00BC32DC"/>
    <w:rsid w:val="00BC35B6"/>
    <w:rsid w:val="00BD1B51"/>
    <w:rsid w:val="00BD4596"/>
    <w:rsid w:val="00BE08FB"/>
    <w:rsid w:val="00BE1405"/>
    <w:rsid w:val="00BE312D"/>
    <w:rsid w:val="00BF1C20"/>
    <w:rsid w:val="00C10578"/>
    <w:rsid w:val="00C135BC"/>
    <w:rsid w:val="00C15C95"/>
    <w:rsid w:val="00C2596A"/>
    <w:rsid w:val="00C27537"/>
    <w:rsid w:val="00C328FE"/>
    <w:rsid w:val="00C33507"/>
    <w:rsid w:val="00C4409D"/>
    <w:rsid w:val="00C44E72"/>
    <w:rsid w:val="00C45A06"/>
    <w:rsid w:val="00C47E5B"/>
    <w:rsid w:val="00C61E4B"/>
    <w:rsid w:val="00C6387A"/>
    <w:rsid w:val="00C64BFF"/>
    <w:rsid w:val="00C704E9"/>
    <w:rsid w:val="00C763C9"/>
    <w:rsid w:val="00C80057"/>
    <w:rsid w:val="00C82232"/>
    <w:rsid w:val="00C82913"/>
    <w:rsid w:val="00C972B1"/>
    <w:rsid w:val="00CA2CCE"/>
    <w:rsid w:val="00CA43FD"/>
    <w:rsid w:val="00CA7EF8"/>
    <w:rsid w:val="00CC489B"/>
    <w:rsid w:val="00CD1788"/>
    <w:rsid w:val="00CD2BCD"/>
    <w:rsid w:val="00CD3A4C"/>
    <w:rsid w:val="00CE10E9"/>
    <w:rsid w:val="00CE2910"/>
    <w:rsid w:val="00CE5393"/>
    <w:rsid w:val="00CF36BE"/>
    <w:rsid w:val="00CF6000"/>
    <w:rsid w:val="00D003F3"/>
    <w:rsid w:val="00D0364F"/>
    <w:rsid w:val="00D06834"/>
    <w:rsid w:val="00D27DB2"/>
    <w:rsid w:val="00D308ED"/>
    <w:rsid w:val="00D36D86"/>
    <w:rsid w:val="00D428AA"/>
    <w:rsid w:val="00D50A34"/>
    <w:rsid w:val="00D53EFA"/>
    <w:rsid w:val="00D701B5"/>
    <w:rsid w:val="00D94A7C"/>
    <w:rsid w:val="00D95896"/>
    <w:rsid w:val="00DB2983"/>
    <w:rsid w:val="00DB52BE"/>
    <w:rsid w:val="00DC1257"/>
    <w:rsid w:val="00DC3DC0"/>
    <w:rsid w:val="00DC4EFD"/>
    <w:rsid w:val="00DC571E"/>
    <w:rsid w:val="00DC5B2B"/>
    <w:rsid w:val="00DD318D"/>
    <w:rsid w:val="00DE1714"/>
    <w:rsid w:val="00DE1BE7"/>
    <w:rsid w:val="00DF08EF"/>
    <w:rsid w:val="00DF2E12"/>
    <w:rsid w:val="00DF34A7"/>
    <w:rsid w:val="00DF514A"/>
    <w:rsid w:val="00DF6690"/>
    <w:rsid w:val="00DF6804"/>
    <w:rsid w:val="00E0358D"/>
    <w:rsid w:val="00E04323"/>
    <w:rsid w:val="00E070A2"/>
    <w:rsid w:val="00E1132B"/>
    <w:rsid w:val="00E2656A"/>
    <w:rsid w:val="00E412D0"/>
    <w:rsid w:val="00E462C2"/>
    <w:rsid w:val="00E56322"/>
    <w:rsid w:val="00E60982"/>
    <w:rsid w:val="00E62C62"/>
    <w:rsid w:val="00E654C1"/>
    <w:rsid w:val="00E65D97"/>
    <w:rsid w:val="00E72A5A"/>
    <w:rsid w:val="00E73354"/>
    <w:rsid w:val="00E9242D"/>
    <w:rsid w:val="00EA3187"/>
    <w:rsid w:val="00EB5255"/>
    <w:rsid w:val="00EB5C47"/>
    <w:rsid w:val="00EC7D33"/>
    <w:rsid w:val="00ED0639"/>
    <w:rsid w:val="00EF2381"/>
    <w:rsid w:val="00EF4755"/>
    <w:rsid w:val="00EF7135"/>
    <w:rsid w:val="00F027DB"/>
    <w:rsid w:val="00F14A7A"/>
    <w:rsid w:val="00F22985"/>
    <w:rsid w:val="00F3383E"/>
    <w:rsid w:val="00F37E87"/>
    <w:rsid w:val="00F465A7"/>
    <w:rsid w:val="00F50B7C"/>
    <w:rsid w:val="00F550E6"/>
    <w:rsid w:val="00F74345"/>
    <w:rsid w:val="00F80A0A"/>
    <w:rsid w:val="00F81583"/>
    <w:rsid w:val="00F82B19"/>
    <w:rsid w:val="00F907CF"/>
    <w:rsid w:val="00F9212D"/>
    <w:rsid w:val="00F965DA"/>
    <w:rsid w:val="00FA2A6D"/>
    <w:rsid w:val="00FA406A"/>
    <w:rsid w:val="00FB503A"/>
    <w:rsid w:val="00FB516C"/>
    <w:rsid w:val="00FD0236"/>
    <w:rsid w:val="00FD18F4"/>
    <w:rsid w:val="00FD54DB"/>
    <w:rsid w:val="00FD5CC5"/>
    <w:rsid w:val="00FD619F"/>
    <w:rsid w:val="010143A7"/>
    <w:rsid w:val="01022C9F"/>
    <w:rsid w:val="01080A12"/>
    <w:rsid w:val="011A4397"/>
    <w:rsid w:val="012017CF"/>
    <w:rsid w:val="01245187"/>
    <w:rsid w:val="01290F7E"/>
    <w:rsid w:val="012D6985"/>
    <w:rsid w:val="012F2B66"/>
    <w:rsid w:val="01314DDB"/>
    <w:rsid w:val="01324280"/>
    <w:rsid w:val="013419A0"/>
    <w:rsid w:val="013B4944"/>
    <w:rsid w:val="013D5B73"/>
    <w:rsid w:val="014001AC"/>
    <w:rsid w:val="014728C0"/>
    <w:rsid w:val="014852B3"/>
    <w:rsid w:val="015C2B0C"/>
    <w:rsid w:val="015D1E09"/>
    <w:rsid w:val="016814B1"/>
    <w:rsid w:val="01784F05"/>
    <w:rsid w:val="01842077"/>
    <w:rsid w:val="018815C7"/>
    <w:rsid w:val="01A26771"/>
    <w:rsid w:val="01A6523C"/>
    <w:rsid w:val="01B464A4"/>
    <w:rsid w:val="01BF5F6B"/>
    <w:rsid w:val="01C11295"/>
    <w:rsid w:val="01C62A5D"/>
    <w:rsid w:val="01CF32DE"/>
    <w:rsid w:val="01D24A70"/>
    <w:rsid w:val="01E301DB"/>
    <w:rsid w:val="01E57138"/>
    <w:rsid w:val="01F40449"/>
    <w:rsid w:val="01F57C94"/>
    <w:rsid w:val="01FC6A51"/>
    <w:rsid w:val="02056D00"/>
    <w:rsid w:val="02126536"/>
    <w:rsid w:val="02202620"/>
    <w:rsid w:val="0226004E"/>
    <w:rsid w:val="024D69A4"/>
    <w:rsid w:val="024E1621"/>
    <w:rsid w:val="025C318E"/>
    <w:rsid w:val="025D4D8E"/>
    <w:rsid w:val="02697903"/>
    <w:rsid w:val="027C4E00"/>
    <w:rsid w:val="02820BEF"/>
    <w:rsid w:val="02904E86"/>
    <w:rsid w:val="02936A01"/>
    <w:rsid w:val="029E1C88"/>
    <w:rsid w:val="02AC648E"/>
    <w:rsid w:val="02B2285A"/>
    <w:rsid w:val="02BD3DB0"/>
    <w:rsid w:val="02BF70CF"/>
    <w:rsid w:val="02CC4A28"/>
    <w:rsid w:val="02CD47AD"/>
    <w:rsid w:val="02D07BC4"/>
    <w:rsid w:val="02D212D8"/>
    <w:rsid w:val="02E15286"/>
    <w:rsid w:val="02E4100B"/>
    <w:rsid w:val="02E56EE5"/>
    <w:rsid w:val="02E71F8E"/>
    <w:rsid w:val="02EC6258"/>
    <w:rsid w:val="02F35182"/>
    <w:rsid w:val="02F52C03"/>
    <w:rsid w:val="02F96569"/>
    <w:rsid w:val="030C06C7"/>
    <w:rsid w:val="030D0562"/>
    <w:rsid w:val="03242212"/>
    <w:rsid w:val="032E00C6"/>
    <w:rsid w:val="03443B6C"/>
    <w:rsid w:val="03465822"/>
    <w:rsid w:val="036115CE"/>
    <w:rsid w:val="03771CB3"/>
    <w:rsid w:val="037B265D"/>
    <w:rsid w:val="037C3C46"/>
    <w:rsid w:val="038C592B"/>
    <w:rsid w:val="039047E2"/>
    <w:rsid w:val="039811C4"/>
    <w:rsid w:val="03A04139"/>
    <w:rsid w:val="03A26EFC"/>
    <w:rsid w:val="03A54346"/>
    <w:rsid w:val="03BB1D6C"/>
    <w:rsid w:val="03C12859"/>
    <w:rsid w:val="03C36E72"/>
    <w:rsid w:val="03C62ADD"/>
    <w:rsid w:val="03CC21CB"/>
    <w:rsid w:val="03CD1260"/>
    <w:rsid w:val="03CE73ED"/>
    <w:rsid w:val="03D42E2E"/>
    <w:rsid w:val="03E017D2"/>
    <w:rsid w:val="03E23784"/>
    <w:rsid w:val="03E65AB7"/>
    <w:rsid w:val="03EA7B21"/>
    <w:rsid w:val="040736C8"/>
    <w:rsid w:val="04206073"/>
    <w:rsid w:val="0422003D"/>
    <w:rsid w:val="042B5CCD"/>
    <w:rsid w:val="0430338C"/>
    <w:rsid w:val="04390EE3"/>
    <w:rsid w:val="04434338"/>
    <w:rsid w:val="04497378"/>
    <w:rsid w:val="04561939"/>
    <w:rsid w:val="046E6DDE"/>
    <w:rsid w:val="04714B20"/>
    <w:rsid w:val="04787676"/>
    <w:rsid w:val="047A5272"/>
    <w:rsid w:val="047F0FEB"/>
    <w:rsid w:val="04810FDB"/>
    <w:rsid w:val="04820089"/>
    <w:rsid w:val="048F4139"/>
    <w:rsid w:val="048F5388"/>
    <w:rsid w:val="049B1855"/>
    <w:rsid w:val="049D49E3"/>
    <w:rsid w:val="04A10F62"/>
    <w:rsid w:val="04A22F2C"/>
    <w:rsid w:val="04A26381"/>
    <w:rsid w:val="04C82992"/>
    <w:rsid w:val="04D035F5"/>
    <w:rsid w:val="04DA26C6"/>
    <w:rsid w:val="04F1535D"/>
    <w:rsid w:val="04F16630"/>
    <w:rsid w:val="04F24156"/>
    <w:rsid w:val="04F97615"/>
    <w:rsid w:val="04FC088E"/>
    <w:rsid w:val="0515201E"/>
    <w:rsid w:val="0522236A"/>
    <w:rsid w:val="05294B03"/>
    <w:rsid w:val="052B7A52"/>
    <w:rsid w:val="0533703F"/>
    <w:rsid w:val="053718C6"/>
    <w:rsid w:val="05390229"/>
    <w:rsid w:val="053A6076"/>
    <w:rsid w:val="05432019"/>
    <w:rsid w:val="05445D91"/>
    <w:rsid w:val="05480A00"/>
    <w:rsid w:val="054C2A64"/>
    <w:rsid w:val="054E63F3"/>
    <w:rsid w:val="05575AC4"/>
    <w:rsid w:val="05597A8E"/>
    <w:rsid w:val="055B3806"/>
    <w:rsid w:val="056510F7"/>
    <w:rsid w:val="05696C71"/>
    <w:rsid w:val="058B39C2"/>
    <w:rsid w:val="0597155F"/>
    <w:rsid w:val="059A406C"/>
    <w:rsid w:val="059C1C41"/>
    <w:rsid w:val="059F535D"/>
    <w:rsid w:val="05A50F26"/>
    <w:rsid w:val="05B13426"/>
    <w:rsid w:val="05BA6272"/>
    <w:rsid w:val="05C461AC"/>
    <w:rsid w:val="05C869C2"/>
    <w:rsid w:val="05D62E8D"/>
    <w:rsid w:val="05E25CD6"/>
    <w:rsid w:val="05E54512"/>
    <w:rsid w:val="05E61E2C"/>
    <w:rsid w:val="05EF21A1"/>
    <w:rsid w:val="05EF3F4F"/>
    <w:rsid w:val="05F17CC7"/>
    <w:rsid w:val="05F257ED"/>
    <w:rsid w:val="05F83EAE"/>
    <w:rsid w:val="05F93E4A"/>
    <w:rsid w:val="05FB7E83"/>
    <w:rsid w:val="060A6311"/>
    <w:rsid w:val="06163BD1"/>
    <w:rsid w:val="062A31D9"/>
    <w:rsid w:val="062C51A3"/>
    <w:rsid w:val="062F3B23"/>
    <w:rsid w:val="063127B9"/>
    <w:rsid w:val="06336531"/>
    <w:rsid w:val="063E7D85"/>
    <w:rsid w:val="064B5938"/>
    <w:rsid w:val="064E6EC7"/>
    <w:rsid w:val="06500CB6"/>
    <w:rsid w:val="06500E91"/>
    <w:rsid w:val="06525524"/>
    <w:rsid w:val="06583202"/>
    <w:rsid w:val="065879F0"/>
    <w:rsid w:val="0664493D"/>
    <w:rsid w:val="066C7A21"/>
    <w:rsid w:val="067D365B"/>
    <w:rsid w:val="0688182C"/>
    <w:rsid w:val="069917CF"/>
    <w:rsid w:val="069B5E85"/>
    <w:rsid w:val="06AB6D0A"/>
    <w:rsid w:val="06B04FB1"/>
    <w:rsid w:val="06C115C2"/>
    <w:rsid w:val="06C3354D"/>
    <w:rsid w:val="06C84D7F"/>
    <w:rsid w:val="06C93D11"/>
    <w:rsid w:val="06C947A0"/>
    <w:rsid w:val="06CC1B72"/>
    <w:rsid w:val="06DA1E7B"/>
    <w:rsid w:val="06DD4125"/>
    <w:rsid w:val="06E635A4"/>
    <w:rsid w:val="06EF6FBE"/>
    <w:rsid w:val="06F25E18"/>
    <w:rsid w:val="06F3181D"/>
    <w:rsid w:val="06FA2638"/>
    <w:rsid w:val="06FA7A91"/>
    <w:rsid w:val="06FD269B"/>
    <w:rsid w:val="06FF01C2"/>
    <w:rsid w:val="070D3EE8"/>
    <w:rsid w:val="07293586"/>
    <w:rsid w:val="07295285"/>
    <w:rsid w:val="072A7934"/>
    <w:rsid w:val="072C7578"/>
    <w:rsid w:val="072F4546"/>
    <w:rsid w:val="073461A9"/>
    <w:rsid w:val="0738673A"/>
    <w:rsid w:val="073E21BD"/>
    <w:rsid w:val="073E518E"/>
    <w:rsid w:val="075106CB"/>
    <w:rsid w:val="07612C2A"/>
    <w:rsid w:val="07636392"/>
    <w:rsid w:val="07707311"/>
    <w:rsid w:val="07770C56"/>
    <w:rsid w:val="078057A6"/>
    <w:rsid w:val="078132CC"/>
    <w:rsid w:val="0792008F"/>
    <w:rsid w:val="07AA45D1"/>
    <w:rsid w:val="07B216D8"/>
    <w:rsid w:val="07B70275"/>
    <w:rsid w:val="07B70DFA"/>
    <w:rsid w:val="07C17B6D"/>
    <w:rsid w:val="07C22CE1"/>
    <w:rsid w:val="07C46AEB"/>
    <w:rsid w:val="07CD4764"/>
    <w:rsid w:val="07D94EB6"/>
    <w:rsid w:val="07DE071F"/>
    <w:rsid w:val="07F7358F"/>
    <w:rsid w:val="07FD6DF7"/>
    <w:rsid w:val="080C7F41"/>
    <w:rsid w:val="08213318"/>
    <w:rsid w:val="082830F5"/>
    <w:rsid w:val="0829635B"/>
    <w:rsid w:val="08482878"/>
    <w:rsid w:val="08486F40"/>
    <w:rsid w:val="084961AA"/>
    <w:rsid w:val="084B6C7C"/>
    <w:rsid w:val="0853302F"/>
    <w:rsid w:val="085A6D00"/>
    <w:rsid w:val="086329D2"/>
    <w:rsid w:val="086A641E"/>
    <w:rsid w:val="086F75C9"/>
    <w:rsid w:val="087F780C"/>
    <w:rsid w:val="08872FFA"/>
    <w:rsid w:val="08A06C0F"/>
    <w:rsid w:val="08A830B6"/>
    <w:rsid w:val="08A94889"/>
    <w:rsid w:val="08AB57EE"/>
    <w:rsid w:val="08AE6B72"/>
    <w:rsid w:val="08BA4CE8"/>
    <w:rsid w:val="08CF7819"/>
    <w:rsid w:val="08E403C6"/>
    <w:rsid w:val="08F301FA"/>
    <w:rsid w:val="08F71A98"/>
    <w:rsid w:val="091A6930"/>
    <w:rsid w:val="09202C53"/>
    <w:rsid w:val="092217DD"/>
    <w:rsid w:val="093A7294"/>
    <w:rsid w:val="093F192B"/>
    <w:rsid w:val="095D5673"/>
    <w:rsid w:val="09622C8A"/>
    <w:rsid w:val="09633633"/>
    <w:rsid w:val="09847A57"/>
    <w:rsid w:val="098664F4"/>
    <w:rsid w:val="09A02434"/>
    <w:rsid w:val="09A45698"/>
    <w:rsid w:val="09AF667E"/>
    <w:rsid w:val="09C63218"/>
    <w:rsid w:val="09D73678"/>
    <w:rsid w:val="09D755DD"/>
    <w:rsid w:val="09D77FC0"/>
    <w:rsid w:val="09E87ADC"/>
    <w:rsid w:val="09F534A6"/>
    <w:rsid w:val="09F75AC8"/>
    <w:rsid w:val="0A020889"/>
    <w:rsid w:val="0A0E745A"/>
    <w:rsid w:val="0A263993"/>
    <w:rsid w:val="0A267214"/>
    <w:rsid w:val="0A2B0E46"/>
    <w:rsid w:val="0A2D3AC2"/>
    <w:rsid w:val="0A357736"/>
    <w:rsid w:val="0A3A4226"/>
    <w:rsid w:val="0A464D2E"/>
    <w:rsid w:val="0A6A2A4B"/>
    <w:rsid w:val="0A6E49BF"/>
    <w:rsid w:val="0A71361E"/>
    <w:rsid w:val="0A7D5FCD"/>
    <w:rsid w:val="0A7D7D7B"/>
    <w:rsid w:val="0A7F4877"/>
    <w:rsid w:val="0A821835"/>
    <w:rsid w:val="0A8C111A"/>
    <w:rsid w:val="0A8C36AC"/>
    <w:rsid w:val="0A914141"/>
    <w:rsid w:val="0AA74326"/>
    <w:rsid w:val="0AA755DF"/>
    <w:rsid w:val="0AA8612F"/>
    <w:rsid w:val="0AAE43D8"/>
    <w:rsid w:val="0AB703E2"/>
    <w:rsid w:val="0ACF75DF"/>
    <w:rsid w:val="0AEA2F37"/>
    <w:rsid w:val="0AEE6ECB"/>
    <w:rsid w:val="0AF46011"/>
    <w:rsid w:val="0AF73FD1"/>
    <w:rsid w:val="0AFA179B"/>
    <w:rsid w:val="0B0E741A"/>
    <w:rsid w:val="0B120D44"/>
    <w:rsid w:val="0B1701D0"/>
    <w:rsid w:val="0B1C6715"/>
    <w:rsid w:val="0B2C2B58"/>
    <w:rsid w:val="0B2E1780"/>
    <w:rsid w:val="0B33670B"/>
    <w:rsid w:val="0B43669B"/>
    <w:rsid w:val="0B564557"/>
    <w:rsid w:val="0B581A2A"/>
    <w:rsid w:val="0B5C3E34"/>
    <w:rsid w:val="0B5D195B"/>
    <w:rsid w:val="0B61769D"/>
    <w:rsid w:val="0B807ADE"/>
    <w:rsid w:val="0B8213C1"/>
    <w:rsid w:val="0B89105C"/>
    <w:rsid w:val="0B9A2BAF"/>
    <w:rsid w:val="0B9D3766"/>
    <w:rsid w:val="0B9E12D7"/>
    <w:rsid w:val="0BBD4BD2"/>
    <w:rsid w:val="0BCB720C"/>
    <w:rsid w:val="0BCE3C17"/>
    <w:rsid w:val="0BD27BF6"/>
    <w:rsid w:val="0BDC6D23"/>
    <w:rsid w:val="0BDE76BF"/>
    <w:rsid w:val="0BEA36A3"/>
    <w:rsid w:val="0BF17DB3"/>
    <w:rsid w:val="0BF63997"/>
    <w:rsid w:val="0BFD5AF1"/>
    <w:rsid w:val="0C040028"/>
    <w:rsid w:val="0C083FBC"/>
    <w:rsid w:val="0C0F0EA7"/>
    <w:rsid w:val="0C177D5B"/>
    <w:rsid w:val="0C1D101E"/>
    <w:rsid w:val="0C3B3C7D"/>
    <w:rsid w:val="0C3D72C6"/>
    <w:rsid w:val="0C522E45"/>
    <w:rsid w:val="0C7A0C82"/>
    <w:rsid w:val="0C7B478E"/>
    <w:rsid w:val="0C7D537B"/>
    <w:rsid w:val="0C7F1985"/>
    <w:rsid w:val="0C8037F8"/>
    <w:rsid w:val="0C945850"/>
    <w:rsid w:val="0C965124"/>
    <w:rsid w:val="0C9C2EC0"/>
    <w:rsid w:val="0CA42D8E"/>
    <w:rsid w:val="0CAB2EAE"/>
    <w:rsid w:val="0CB41A4E"/>
    <w:rsid w:val="0CB42D57"/>
    <w:rsid w:val="0CC85E01"/>
    <w:rsid w:val="0CCE71E9"/>
    <w:rsid w:val="0CD75883"/>
    <w:rsid w:val="0CD838B6"/>
    <w:rsid w:val="0CE560AB"/>
    <w:rsid w:val="0CED7268"/>
    <w:rsid w:val="0CF54541"/>
    <w:rsid w:val="0CF765F3"/>
    <w:rsid w:val="0CFE2CC9"/>
    <w:rsid w:val="0D080DA0"/>
    <w:rsid w:val="0D0A54BE"/>
    <w:rsid w:val="0D334A46"/>
    <w:rsid w:val="0D33722E"/>
    <w:rsid w:val="0D3C2CB1"/>
    <w:rsid w:val="0D4F20A1"/>
    <w:rsid w:val="0D54216C"/>
    <w:rsid w:val="0D621C7D"/>
    <w:rsid w:val="0D6B2B7C"/>
    <w:rsid w:val="0D6C40D7"/>
    <w:rsid w:val="0D727114"/>
    <w:rsid w:val="0D7A4B19"/>
    <w:rsid w:val="0D8C77F8"/>
    <w:rsid w:val="0D9378B6"/>
    <w:rsid w:val="0D9553DC"/>
    <w:rsid w:val="0DBC3623"/>
    <w:rsid w:val="0DBE2B84"/>
    <w:rsid w:val="0DC14423"/>
    <w:rsid w:val="0DD31932"/>
    <w:rsid w:val="0DD73C46"/>
    <w:rsid w:val="0DE215D6"/>
    <w:rsid w:val="0DE87C01"/>
    <w:rsid w:val="0DEB14A0"/>
    <w:rsid w:val="0DF029EB"/>
    <w:rsid w:val="0DF62A89"/>
    <w:rsid w:val="0DF96A6D"/>
    <w:rsid w:val="0DFB7191"/>
    <w:rsid w:val="0E026BF3"/>
    <w:rsid w:val="0E0C7E8E"/>
    <w:rsid w:val="0E0E7CAC"/>
    <w:rsid w:val="0E116BF5"/>
    <w:rsid w:val="0E256361"/>
    <w:rsid w:val="0E283702"/>
    <w:rsid w:val="0E2A646C"/>
    <w:rsid w:val="0E3C7F4D"/>
    <w:rsid w:val="0E3F4322"/>
    <w:rsid w:val="0E463BD5"/>
    <w:rsid w:val="0E534FB3"/>
    <w:rsid w:val="0E5A03D3"/>
    <w:rsid w:val="0E664477"/>
    <w:rsid w:val="0E71184C"/>
    <w:rsid w:val="0E73034D"/>
    <w:rsid w:val="0E74018F"/>
    <w:rsid w:val="0E745939"/>
    <w:rsid w:val="0E785533"/>
    <w:rsid w:val="0E7B5507"/>
    <w:rsid w:val="0E7B674E"/>
    <w:rsid w:val="0E7C47EE"/>
    <w:rsid w:val="0E8440D1"/>
    <w:rsid w:val="0E8D1A8A"/>
    <w:rsid w:val="0E907E30"/>
    <w:rsid w:val="0EB83A78"/>
    <w:rsid w:val="0ECB6B23"/>
    <w:rsid w:val="0ED95A22"/>
    <w:rsid w:val="0EE91E83"/>
    <w:rsid w:val="0EEE7499"/>
    <w:rsid w:val="0EF461A4"/>
    <w:rsid w:val="0EFF005C"/>
    <w:rsid w:val="0F0072F7"/>
    <w:rsid w:val="0F013202"/>
    <w:rsid w:val="0F0147A0"/>
    <w:rsid w:val="0F043AA6"/>
    <w:rsid w:val="0F075832"/>
    <w:rsid w:val="0F0B6B3D"/>
    <w:rsid w:val="0F13775A"/>
    <w:rsid w:val="0F15100F"/>
    <w:rsid w:val="0F1C130E"/>
    <w:rsid w:val="0F20786F"/>
    <w:rsid w:val="0F274759"/>
    <w:rsid w:val="0F357D2A"/>
    <w:rsid w:val="0F3A0B46"/>
    <w:rsid w:val="0F4E1CE6"/>
    <w:rsid w:val="0F501F02"/>
    <w:rsid w:val="0F503FF3"/>
    <w:rsid w:val="0F561081"/>
    <w:rsid w:val="0F5E07FD"/>
    <w:rsid w:val="0F5F45FE"/>
    <w:rsid w:val="0F622820"/>
    <w:rsid w:val="0F680533"/>
    <w:rsid w:val="0F6826E7"/>
    <w:rsid w:val="0F6D1BD7"/>
    <w:rsid w:val="0F772C42"/>
    <w:rsid w:val="0F7A09FB"/>
    <w:rsid w:val="0F7F6343"/>
    <w:rsid w:val="0F821D7E"/>
    <w:rsid w:val="0F8751F8"/>
    <w:rsid w:val="0F9A112B"/>
    <w:rsid w:val="0F9D503B"/>
    <w:rsid w:val="0FA64436"/>
    <w:rsid w:val="0FA87CF7"/>
    <w:rsid w:val="0FB15032"/>
    <w:rsid w:val="0FB66476"/>
    <w:rsid w:val="0FBC30F4"/>
    <w:rsid w:val="0FC82952"/>
    <w:rsid w:val="0FC85798"/>
    <w:rsid w:val="0FD146C5"/>
    <w:rsid w:val="0FDE357B"/>
    <w:rsid w:val="0FE615B5"/>
    <w:rsid w:val="0FE80AAC"/>
    <w:rsid w:val="0FEB4692"/>
    <w:rsid w:val="0FF41EAF"/>
    <w:rsid w:val="0FFA3C1C"/>
    <w:rsid w:val="101D790A"/>
    <w:rsid w:val="10303AE2"/>
    <w:rsid w:val="1038336E"/>
    <w:rsid w:val="103B1AEB"/>
    <w:rsid w:val="103E7505"/>
    <w:rsid w:val="104526A7"/>
    <w:rsid w:val="1045758D"/>
    <w:rsid w:val="10642439"/>
    <w:rsid w:val="106D2F64"/>
    <w:rsid w:val="10794A4D"/>
    <w:rsid w:val="107C0AD5"/>
    <w:rsid w:val="107E6E4F"/>
    <w:rsid w:val="108300B5"/>
    <w:rsid w:val="10861954"/>
    <w:rsid w:val="108654B0"/>
    <w:rsid w:val="108C6F6A"/>
    <w:rsid w:val="108C704C"/>
    <w:rsid w:val="10994DFA"/>
    <w:rsid w:val="10A1053B"/>
    <w:rsid w:val="10AA6AF7"/>
    <w:rsid w:val="10AD0C8E"/>
    <w:rsid w:val="10B143A6"/>
    <w:rsid w:val="10B63710"/>
    <w:rsid w:val="10BB15FD"/>
    <w:rsid w:val="10BB1A44"/>
    <w:rsid w:val="10D12BCF"/>
    <w:rsid w:val="10D73434"/>
    <w:rsid w:val="10DF49AA"/>
    <w:rsid w:val="10E072B6"/>
    <w:rsid w:val="10E50428"/>
    <w:rsid w:val="10EE19D3"/>
    <w:rsid w:val="10EF12A7"/>
    <w:rsid w:val="10F10820"/>
    <w:rsid w:val="10F40A71"/>
    <w:rsid w:val="10F62635"/>
    <w:rsid w:val="10FD312F"/>
    <w:rsid w:val="1101249D"/>
    <w:rsid w:val="111B1D92"/>
    <w:rsid w:val="111C2F7A"/>
    <w:rsid w:val="111D4066"/>
    <w:rsid w:val="111F357A"/>
    <w:rsid w:val="111F7805"/>
    <w:rsid w:val="11402C0D"/>
    <w:rsid w:val="11451F94"/>
    <w:rsid w:val="115C3894"/>
    <w:rsid w:val="115F7E6B"/>
    <w:rsid w:val="11665CA1"/>
    <w:rsid w:val="116A14D0"/>
    <w:rsid w:val="116A455E"/>
    <w:rsid w:val="11715300"/>
    <w:rsid w:val="11763776"/>
    <w:rsid w:val="117F6ACF"/>
    <w:rsid w:val="119835A0"/>
    <w:rsid w:val="11A250F6"/>
    <w:rsid w:val="11A42091"/>
    <w:rsid w:val="11AA7A88"/>
    <w:rsid w:val="11C2210B"/>
    <w:rsid w:val="11C84400"/>
    <w:rsid w:val="11D0732A"/>
    <w:rsid w:val="11DD55A3"/>
    <w:rsid w:val="11E7342D"/>
    <w:rsid w:val="11E8108B"/>
    <w:rsid w:val="11EF2AFE"/>
    <w:rsid w:val="11F54982"/>
    <w:rsid w:val="11F766AF"/>
    <w:rsid w:val="11FC011F"/>
    <w:rsid w:val="11FF376C"/>
    <w:rsid w:val="120067BE"/>
    <w:rsid w:val="121E567E"/>
    <w:rsid w:val="12371430"/>
    <w:rsid w:val="12410EFF"/>
    <w:rsid w:val="1250583D"/>
    <w:rsid w:val="12525DAF"/>
    <w:rsid w:val="125308EC"/>
    <w:rsid w:val="12535865"/>
    <w:rsid w:val="125D3E50"/>
    <w:rsid w:val="12616399"/>
    <w:rsid w:val="1262390F"/>
    <w:rsid w:val="126D1999"/>
    <w:rsid w:val="126D6927"/>
    <w:rsid w:val="126F6B43"/>
    <w:rsid w:val="12827DA7"/>
    <w:rsid w:val="128B3251"/>
    <w:rsid w:val="12963357"/>
    <w:rsid w:val="1297542E"/>
    <w:rsid w:val="129C0692"/>
    <w:rsid w:val="12A12A75"/>
    <w:rsid w:val="12CB7CF2"/>
    <w:rsid w:val="12D22B47"/>
    <w:rsid w:val="12DF04C5"/>
    <w:rsid w:val="12E3308D"/>
    <w:rsid w:val="12EA61CA"/>
    <w:rsid w:val="12ED1816"/>
    <w:rsid w:val="12F86952"/>
    <w:rsid w:val="12FC7CAB"/>
    <w:rsid w:val="130A686C"/>
    <w:rsid w:val="132967CA"/>
    <w:rsid w:val="132A6870"/>
    <w:rsid w:val="132B4B50"/>
    <w:rsid w:val="132F1813"/>
    <w:rsid w:val="13341250"/>
    <w:rsid w:val="133A105E"/>
    <w:rsid w:val="134753CA"/>
    <w:rsid w:val="135B36C0"/>
    <w:rsid w:val="13653B07"/>
    <w:rsid w:val="136542FB"/>
    <w:rsid w:val="136F4921"/>
    <w:rsid w:val="1377188C"/>
    <w:rsid w:val="137B32C6"/>
    <w:rsid w:val="138A3509"/>
    <w:rsid w:val="13933AC8"/>
    <w:rsid w:val="13951726"/>
    <w:rsid w:val="139A199E"/>
    <w:rsid w:val="13A20852"/>
    <w:rsid w:val="13A81E81"/>
    <w:rsid w:val="13BB4365"/>
    <w:rsid w:val="13C41570"/>
    <w:rsid w:val="13C86498"/>
    <w:rsid w:val="13C92283"/>
    <w:rsid w:val="13C96D15"/>
    <w:rsid w:val="13D35786"/>
    <w:rsid w:val="13D604FC"/>
    <w:rsid w:val="13D80718"/>
    <w:rsid w:val="13D82FF4"/>
    <w:rsid w:val="13DA6BDC"/>
    <w:rsid w:val="13DD50BA"/>
    <w:rsid w:val="13E156B5"/>
    <w:rsid w:val="13E816E1"/>
    <w:rsid w:val="13EC5F71"/>
    <w:rsid w:val="13F413FD"/>
    <w:rsid w:val="13FA068E"/>
    <w:rsid w:val="13FF3E12"/>
    <w:rsid w:val="14186D67"/>
    <w:rsid w:val="141A6099"/>
    <w:rsid w:val="141C5926"/>
    <w:rsid w:val="14264FE0"/>
    <w:rsid w:val="1430108F"/>
    <w:rsid w:val="1437543F"/>
    <w:rsid w:val="14396509"/>
    <w:rsid w:val="14455899"/>
    <w:rsid w:val="14461872"/>
    <w:rsid w:val="14500B32"/>
    <w:rsid w:val="145E3595"/>
    <w:rsid w:val="146548D6"/>
    <w:rsid w:val="146855F8"/>
    <w:rsid w:val="14714E81"/>
    <w:rsid w:val="1477291C"/>
    <w:rsid w:val="14797E0A"/>
    <w:rsid w:val="14876C37"/>
    <w:rsid w:val="14BB1D5C"/>
    <w:rsid w:val="14BC3B96"/>
    <w:rsid w:val="14BE790E"/>
    <w:rsid w:val="14C36CD2"/>
    <w:rsid w:val="14CA2479"/>
    <w:rsid w:val="14CA50CA"/>
    <w:rsid w:val="14CC5634"/>
    <w:rsid w:val="14CD7B51"/>
    <w:rsid w:val="14D21B18"/>
    <w:rsid w:val="14DA401C"/>
    <w:rsid w:val="14DD2C3C"/>
    <w:rsid w:val="14E87AD6"/>
    <w:rsid w:val="14F055ED"/>
    <w:rsid w:val="1505475D"/>
    <w:rsid w:val="1519131F"/>
    <w:rsid w:val="151E215B"/>
    <w:rsid w:val="1523486C"/>
    <w:rsid w:val="15253FAC"/>
    <w:rsid w:val="153422FC"/>
    <w:rsid w:val="15431158"/>
    <w:rsid w:val="154D2A40"/>
    <w:rsid w:val="157307E3"/>
    <w:rsid w:val="157712C4"/>
    <w:rsid w:val="15840BC2"/>
    <w:rsid w:val="158A5198"/>
    <w:rsid w:val="158B190C"/>
    <w:rsid w:val="15937888"/>
    <w:rsid w:val="1594066F"/>
    <w:rsid w:val="159C40F3"/>
    <w:rsid w:val="15A00117"/>
    <w:rsid w:val="15B35324"/>
    <w:rsid w:val="15C44A2C"/>
    <w:rsid w:val="15C74827"/>
    <w:rsid w:val="15CC0F70"/>
    <w:rsid w:val="15D8055B"/>
    <w:rsid w:val="15DC31F7"/>
    <w:rsid w:val="15F14DB0"/>
    <w:rsid w:val="15F944ED"/>
    <w:rsid w:val="16012401"/>
    <w:rsid w:val="160550C9"/>
    <w:rsid w:val="16087E1D"/>
    <w:rsid w:val="160D706C"/>
    <w:rsid w:val="163E05B1"/>
    <w:rsid w:val="1648660C"/>
    <w:rsid w:val="16537D5B"/>
    <w:rsid w:val="16563523"/>
    <w:rsid w:val="165769EB"/>
    <w:rsid w:val="166B3120"/>
    <w:rsid w:val="168E1562"/>
    <w:rsid w:val="16A13C12"/>
    <w:rsid w:val="16A2664E"/>
    <w:rsid w:val="16A42B33"/>
    <w:rsid w:val="16B25250"/>
    <w:rsid w:val="16B32F4A"/>
    <w:rsid w:val="16C44F84"/>
    <w:rsid w:val="16CB6312"/>
    <w:rsid w:val="16D57191"/>
    <w:rsid w:val="16DD4AA0"/>
    <w:rsid w:val="16E03B0A"/>
    <w:rsid w:val="16EA77AA"/>
    <w:rsid w:val="16F409FE"/>
    <w:rsid w:val="16F93033"/>
    <w:rsid w:val="16FD3978"/>
    <w:rsid w:val="16FE728E"/>
    <w:rsid w:val="1703454E"/>
    <w:rsid w:val="17051824"/>
    <w:rsid w:val="17271DCD"/>
    <w:rsid w:val="172A128B"/>
    <w:rsid w:val="172B365D"/>
    <w:rsid w:val="173C142E"/>
    <w:rsid w:val="174C2E7D"/>
    <w:rsid w:val="175B1444"/>
    <w:rsid w:val="176318BB"/>
    <w:rsid w:val="1763479D"/>
    <w:rsid w:val="176A5B2B"/>
    <w:rsid w:val="176F2AC8"/>
    <w:rsid w:val="17701D14"/>
    <w:rsid w:val="17735226"/>
    <w:rsid w:val="177B5642"/>
    <w:rsid w:val="178801A2"/>
    <w:rsid w:val="1794599D"/>
    <w:rsid w:val="17996410"/>
    <w:rsid w:val="179C0354"/>
    <w:rsid w:val="179C4043"/>
    <w:rsid w:val="17A979A6"/>
    <w:rsid w:val="17AF1296"/>
    <w:rsid w:val="17B90AFC"/>
    <w:rsid w:val="17C351E0"/>
    <w:rsid w:val="17C864D4"/>
    <w:rsid w:val="17C90AA4"/>
    <w:rsid w:val="17CD7824"/>
    <w:rsid w:val="17CF788F"/>
    <w:rsid w:val="17DB0C56"/>
    <w:rsid w:val="17DB4A19"/>
    <w:rsid w:val="17E8345E"/>
    <w:rsid w:val="17EF6EAA"/>
    <w:rsid w:val="17F17FFA"/>
    <w:rsid w:val="17F61308"/>
    <w:rsid w:val="17F83137"/>
    <w:rsid w:val="181C08E1"/>
    <w:rsid w:val="181C5996"/>
    <w:rsid w:val="18414ADE"/>
    <w:rsid w:val="1842266E"/>
    <w:rsid w:val="18552337"/>
    <w:rsid w:val="18567E5D"/>
    <w:rsid w:val="185F1F94"/>
    <w:rsid w:val="185F31B6"/>
    <w:rsid w:val="18715917"/>
    <w:rsid w:val="1871783C"/>
    <w:rsid w:val="18797942"/>
    <w:rsid w:val="187A7FF0"/>
    <w:rsid w:val="18966140"/>
    <w:rsid w:val="189F624C"/>
    <w:rsid w:val="18A63521"/>
    <w:rsid w:val="18A920E9"/>
    <w:rsid w:val="18AB1FB9"/>
    <w:rsid w:val="18B05E22"/>
    <w:rsid w:val="18B21C1E"/>
    <w:rsid w:val="18BD1C8B"/>
    <w:rsid w:val="18D87A9C"/>
    <w:rsid w:val="18D95325"/>
    <w:rsid w:val="18E90CD1"/>
    <w:rsid w:val="18F338FE"/>
    <w:rsid w:val="19015D20"/>
    <w:rsid w:val="19201B74"/>
    <w:rsid w:val="19371A3D"/>
    <w:rsid w:val="19393A07"/>
    <w:rsid w:val="195F66AE"/>
    <w:rsid w:val="19616ABA"/>
    <w:rsid w:val="196601B1"/>
    <w:rsid w:val="197206BB"/>
    <w:rsid w:val="1976012D"/>
    <w:rsid w:val="1981715C"/>
    <w:rsid w:val="19861EDA"/>
    <w:rsid w:val="198744A9"/>
    <w:rsid w:val="198E7E24"/>
    <w:rsid w:val="19B775BC"/>
    <w:rsid w:val="19CC01FA"/>
    <w:rsid w:val="19CF7EC7"/>
    <w:rsid w:val="19E604E7"/>
    <w:rsid w:val="19EE47F1"/>
    <w:rsid w:val="19EE4E19"/>
    <w:rsid w:val="19EF387B"/>
    <w:rsid w:val="19F46202"/>
    <w:rsid w:val="19FD2C86"/>
    <w:rsid w:val="1A09772A"/>
    <w:rsid w:val="1A0E09F0"/>
    <w:rsid w:val="1A1C66C0"/>
    <w:rsid w:val="1A2B5CD9"/>
    <w:rsid w:val="1A310B82"/>
    <w:rsid w:val="1A31138F"/>
    <w:rsid w:val="1A344BE8"/>
    <w:rsid w:val="1A421542"/>
    <w:rsid w:val="1A42393B"/>
    <w:rsid w:val="1A4A09EA"/>
    <w:rsid w:val="1A516095"/>
    <w:rsid w:val="1A524B70"/>
    <w:rsid w:val="1A5403CD"/>
    <w:rsid w:val="1A5F3DEB"/>
    <w:rsid w:val="1A68351D"/>
    <w:rsid w:val="1A6A5336"/>
    <w:rsid w:val="1A770118"/>
    <w:rsid w:val="1A78098F"/>
    <w:rsid w:val="1A7A6085"/>
    <w:rsid w:val="1A9E16C1"/>
    <w:rsid w:val="1AA23851"/>
    <w:rsid w:val="1AA80E44"/>
    <w:rsid w:val="1AAC1FB7"/>
    <w:rsid w:val="1AAD45DE"/>
    <w:rsid w:val="1AB0300D"/>
    <w:rsid w:val="1AB34FB6"/>
    <w:rsid w:val="1AD35795"/>
    <w:rsid w:val="1ADE6EEE"/>
    <w:rsid w:val="1AE01950"/>
    <w:rsid w:val="1AE6196C"/>
    <w:rsid w:val="1AEC2E9E"/>
    <w:rsid w:val="1AFE164E"/>
    <w:rsid w:val="1B0248EA"/>
    <w:rsid w:val="1B046F80"/>
    <w:rsid w:val="1B09565B"/>
    <w:rsid w:val="1B1464DA"/>
    <w:rsid w:val="1B2332D2"/>
    <w:rsid w:val="1B29104C"/>
    <w:rsid w:val="1B2E6E70"/>
    <w:rsid w:val="1B2F50C2"/>
    <w:rsid w:val="1B3237D6"/>
    <w:rsid w:val="1B3267B5"/>
    <w:rsid w:val="1B40161D"/>
    <w:rsid w:val="1B441859"/>
    <w:rsid w:val="1B4A7E69"/>
    <w:rsid w:val="1B542948"/>
    <w:rsid w:val="1B570174"/>
    <w:rsid w:val="1B6020FE"/>
    <w:rsid w:val="1B6603B7"/>
    <w:rsid w:val="1B6606B1"/>
    <w:rsid w:val="1B667CD8"/>
    <w:rsid w:val="1B735CBF"/>
    <w:rsid w:val="1B7565AE"/>
    <w:rsid w:val="1B7927E1"/>
    <w:rsid w:val="1B8D3B96"/>
    <w:rsid w:val="1B926D34"/>
    <w:rsid w:val="1B9775A2"/>
    <w:rsid w:val="1B9A492E"/>
    <w:rsid w:val="1B9C6344"/>
    <w:rsid w:val="1B9E3FF5"/>
    <w:rsid w:val="1BB05AD7"/>
    <w:rsid w:val="1BDE2644"/>
    <w:rsid w:val="1BE37AA4"/>
    <w:rsid w:val="1C0C3F68"/>
    <w:rsid w:val="1C1737CD"/>
    <w:rsid w:val="1C1E234D"/>
    <w:rsid w:val="1C1E25DD"/>
    <w:rsid w:val="1C2577DE"/>
    <w:rsid w:val="1C36654A"/>
    <w:rsid w:val="1C455B7D"/>
    <w:rsid w:val="1C5E7925"/>
    <w:rsid w:val="1C607083"/>
    <w:rsid w:val="1C6637ED"/>
    <w:rsid w:val="1C6F38FE"/>
    <w:rsid w:val="1C755B9B"/>
    <w:rsid w:val="1C8036FB"/>
    <w:rsid w:val="1C872CDB"/>
    <w:rsid w:val="1C9C6787"/>
    <w:rsid w:val="1CA7512B"/>
    <w:rsid w:val="1CAB11C8"/>
    <w:rsid w:val="1CAB69CA"/>
    <w:rsid w:val="1CB26A70"/>
    <w:rsid w:val="1CC03696"/>
    <w:rsid w:val="1CCB7FD0"/>
    <w:rsid w:val="1CD35F20"/>
    <w:rsid w:val="1CD47A97"/>
    <w:rsid w:val="1CDD7B56"/>
    <w:rsid w:val="1CE123EB"/>
    <w:rsid w:val="1CEB3905"/>
    <w:rsid w:val="1CEE3BCE"/>
    <w:rsid w:val="1CFD070F"/>
    <w:rsid w:val="1D0B56BA"/>
    <w:rsid w:val="1D0B7208"/>
    <w:rsid w:val="1D102B2B"/>
    <w:rsid w:val="1D11425B"/>
    <w:rsid w:val="1D152095"/>
    <w:rsid w:val="1D174380"/>
    <w:rsid w:val="1D1D657A"/>
    <w:rsid w:val="1D3C3AC6"/>
    <w:rsid w:val="1D5F6196"/>
    <w:rsid w:val="1D603177"/>
    <w:rsid w:val="1D6132A5"/>
    <w:rsid w:val="1D697DF8"/>
    <w:rsid w:val="1D6D1ED1"/>
    <w:rsid w:val="1D6F5C49"/>
    <w:rsid w:val="1D713798"/>
    <w:rsid w:val="1D8E56D5"/>
    <w:rsid w:val="1D97080A"/>
    <w:rsid w:val="1D9A07EC"/>
    <w:rsid w:val="1D9A2D72"/>
    <w:rsid w:val="1DA07F03"/>
    <w:rsid w:val="1DAD49C3"/>
    <w:rsid w:val="1DB226BD"/>
    <w:rsid w:val="1DB866E5"/>
    <w:rsid w:val="1DCE3577"/>
    <w:rsid w:val="1DD51824"/>
    <w:rsid w:val="1DD57C75"/>
    <w:rsid w:val="1DD7559C"/>
    <w:rsid w:val="1DE37546"/>
    <w:rsid w:val="1DE86925"/>
    <w:rsid w:val="1DF148B0"/>
    <w:rsid w:val="1DF53BC9"/>
    <w:rsid w:val="1DFB01EC"/>
    <w:rsid w:val="1E025426"/>
    <w:rsid w:val="1E09105C"/>
    <w:rsid w:val="1E0E1FB5"/>
    <w:rsid w:val="1E14234D"/>
    <w:rsid w:val="1E16434C"/>
    <w:rsid w:val="1E231815"/>
    <w:rsid w:val="1E2570DD"/>
    <w:rsid w:val="1E265B5C"/>
    <w:rsid w:val="1E2A5C63"/>
    <w:rsid w:val="1E2E298B"/>
    <w:rsid w:val="1E2F4783"/>
    <w:rsid w:val="1E3B5F2E"/>
    <w:rsid w:val="1E4C5F8A"/>
    <w:rsid w:val="1E4E42DF"/>
    <w:rsid w:val="1E675F3A"/>
    <w:rsid w:val="1E7062A2"/>
    <w:rsid w:val="1E734BB8"/>
    <w:rsid w:val="1E7A43DA"/>
    <w:rsid w:val="1E803E86"/>
    <w:rsid w:val="1E942486"/>
    <w:rsid w:val="1E9F079C"/>
    <w:rsid w:val="1EB37704"/>
    <w:rsid w:val="1EB61656"/>
    <w:rsid w:val="1EBD5EB0"/>
    <w:rsid w:val="1EC3783A"/>
    <w:rsid w:val="1ECA3A38"/>
    <w:rsid w:val="1ED02EE2"/>
    <w:rsid w:val="1ED82CC9"/>
    <w:rsid w:val="1EE066D3"/>
    <w:rsid w:val="1EE27650"/>
    <w:rsid w:val="1EE53CE9"/>
    <w:rsid w:val="1EF26B32"/>
    <w:rsid w:val="1EF60F3E"/>
    <w:rsid w:val="1EFC175F"/>
    <w:rsid w:val="1EFE5777"/>
    <w:rsid w:val="1F027D54"/>
    <w:rsid w:val="1F040613"/>
    <w:rsid w:val="1F0A19E0"/>
    <w:rsid w:val="1F1620F4"/>
    <w:rsid w:val="1F1C0D7F"/>
    <w:rsid w:val="1F2663BC"/>
    <w:rsid w:val="1F316F2E"/>
    <w:rsid w:val="1F3233D2"/>
    <w:rsid w:val="1F483FFA"/>
    <w:rsid w:val="1F4B7CA4"/>
    <w:rsid w:val="1F4E65E6"/>
    <w:rsid w:val="1F540489"/>
    <w:rsid w:val="1F5C0367"/>
    <w:rsid w:val="1F674800"/>
    <w:rsid w:val="1F6D7F66"/>
    <w:rsid w:val="1F843ABC"/>
    <w:rsid w:val="1F973FE6"/>
    <w:rsid w:val="1F9A2D26"/>
    <w:rsid w:val="1FA3607E"/>
    <w:rsid w:val="1FA97357"/>
    <w:rsid w:val="1FB21E1D"/>
    <w:rsid w:val="1FBB524F"/>
    <w:rsid w:val="1FC4796C"/>
    <w:rsid w:val="1FC50B08"/>
    <w:rsid w:val="1FC928FE"/>
    <w:rsid w:val="1FD46237"/>
    <w:rsid w:val="1FE7539E"/>
    <w:rsid w:val="1FEF3071"/>
    <w:rsid w:val="1FF514E4"/>
    <w:rsid w:val="1FFD5671"/>
    <w:rsid w:val="20085EE1"/>
    <w:rsid w:val="200A5B26"/>
    <w:rsid w:val="20110FB1"/>
    <w:rsid w:val="20147D8B"/>
    <w:rsid w:val="201E3957"/>
    <w:rsid w:val="20253F92"/>
    <w:rsid w:val="2027796A"/>
    <w:rsid w:val="202A0FB8"/>
    <w:rsid w:val="202E31DB"/>
    <w:rsid w:val="202F16C0"/>
    <w:rsid w:val="202F346E"/>
    <w:rsid w:val="203A6D77"/>
    <w:rsid w:val="20425D0A"/>
    <w:rsid w:val="20430A60"/>
    <w:rsid w:val="20456910"/>
    <w:rsid w:val="20470F42"/>
    <w:rsid w:val="204818BF"/>
    <w:rsid w:val="205C5728"/>
    <w:rsid w:val="20671BE0"/>
    <w:rsid w:val="20823A93"/>
    <w:rsid w:val="20847C5E"/>
    <w:rsid w:val="20935ACD"/>
    <w:rsid w:val="20963CB8"/>
    <w:rsid w:val="20A81A1B"/>
    <w:rsid w:val="20B07FB6"/>
    <w:rsid w:val="20B3409F"/>
    <w:rsid w:val="20B5737B"/>
    <w:rsid w:val="20B646FB"/>
    <w:rsid w:val="20BA17A3"/>
    <w:rsid w:val="20BD2610"/>
    <w:rsid w:val="20CA13E8"/>
    <w:rsid w:val="20CC4B13"/>
    <w:rsid w:val="20CE0ED9"/>
    <w:rsid w:val="20CE3F85"/>
    <w:rsid w:val="20D444E5"/>
    <w:rsid w:val="20EA07AA"/>
    <w:rsid w:val="20FA0ACE"/>
    <w:rsid w:val="21106AC9"/>
    <w:rsid w:val="21130FE1"/>
    <w:rsid w:val="211B39F2"/>
    <w:rsid w:val="212717E8"/>
    <w:rsid w:val="213B74B1"/>
    <w:rsid w:val="21495F53"/>
    <w:rsid w:val="214A7A34"/>
    <w:rsid w:val="214D6042"/>
    <w:rsid w:val="21521B0A"/>
    <w:rsid w:val="215A2310"/>
    <w:rsid w:val="215A7565"/>
    <w:rsid w:val="215F116F"/>
    <w:rsid w:val="21620F0C"/>
    <w:rsid w:val="216452E2"/>
    <w:rsid w:val="21657B53"/>
    <w:rsid w:val="21717341"/>
    <w:rsid w:val="217306ED"/>
    <w:rsid w:val="21791B17"/>
    <w:rsid w:val="218225DB"/>
    <w:rsid w:val="218A3239"/>
    <w:rsid w:val="218B4C83"/>
    <w:rsid w:val="21950517"/>
    <w:rsid w:val="219A0375"/>
    <w:rsid w:val="21A51FFD"/>
    <w:rsid w:val="21AB12BF"/>
    <w:rsid w:val="21BE0F4D"/>
    <w:rsid w:val="21C10A3D"/>
    <w:rsid w:val="21C83727"/>
    <w:rsid w:val="21CB71C6"/>
    <w:rsid w:val="21CD09E3"/>
    <w:rsid w:val="21D9754B"/>
    <w:rsid w:val="21DE318A"/>
    <w:rsid w:val="21EF5B80"/>
    <w:rsid w:val="21FD363C"/>
    <w:rsid w:val="22034BB2"/>
    <w:rsid w:val="220734AD"/>
    <w:rsid w:val="220963AF"/>
    <w:rsid w:val="221238FA"/>
    <w:rsid w:val="22167498"/>
    <w:rsid w:val="221A1EFC"/>
    <w:rsid w:val="22290426"/>
    <w:rsid w:val="222915B8"/>
    <w:rsid w:val="22311025"/>
    <w:rsid w:val="223E17BB"/>
    <w:rsid w:val="224208B1"/>
    <w:rsid w:val="224A0A33"/>
    <w:rsid w:val="224E7C13"/>
    <w:rsid w:val="22502369"/>
    <w:rsid w:val="225278E7"/>
    <w:rsid w:val="225424C4"/>
    <w:rsid w:val="22576990"/>
    <w:rsid w:val="225D352F"/>
    <w:rsid w:val="225D63A2"/>
    <w:rsid w:val="22603DB2"/>
    <w:rsid w:val="226715E5"/>
    <w:rsid w:val="22673393"/>
    <w:rsid w:val="227161FF"/>
    <w:rsid w:val="22731EFD"/>
    <w:rsid w:val="2279438F"/>
    <w:rsid w:val="22851A6B"/>
    <w:rsid w:val="22877C26"/>
    <w:rsid w:val="228E2802"/>
    <w:rsid w:val="229D343F"/>
    <w:rsid w:val="22A90DC7"/>
    <w:rsid w:val="22B4579D"/>
    <w:rsid w:val="22BE4B6D"/>
    <w:rsid w:val="22CC58EC"/>
    <w:rsid w:val="22F22CB5"/>
    <w:rsid w:val="22F377CF"/>
    <w:rsid w:val="22F47480"/>
    <w:rsid w:val="230415B3"/>
    <w:rsid w:val="23056708"/>
    <w:rsid w:val="230722BE"/>
    <w:rsid w:val="230B1728"/>
    <w:rsid w:val="230D4C89"/>
    <w:rsid w:val="231132FF"/>
    <w:rsid w:val="23125CB1"/>
    <w:rsid w:val="231352C9"/>
    <w:rsid w:val="231D7EF5"/>
    <w:rsid w:val="2322550C"/>
    <w:rsid w:val="232304AB"/>
    <w:rsid w:val="23294712"/>
    <w:rsid w:val="232C38FC"/>
    <w:rsid w:val="232D0169"/>
    <w:rsid w:val="2336545F"/>
    <w:rsid w:val="23392A9E"/>
    <w:rsid w:val="233A56D7"/>
    <w:rsid w:val="233B037C"/>
    <w:rsid w:val="233E058C"/>
    <w:rsid w:val="23420DFF"/>
    <w:rsid w:val="234A6715"/>
    <w:rsid w:val="23554C7A"/>
    <w:rsid w:val="23567486"/>
    <w:rsid w:val="23574ED7"/>
    <w:rsid w:val="236543C9"/>
    <w:rsid w:val="236553F8"/>
    <w:rsid w:val="23674C86"/>
    <w:rsid w:val="236C6787"/>
    <w:rsid w:val="236F57E7"/>
    <w:rsid w:val="23771AA6"/>
    <w:rsid w:val="237844C9"/>
    <w:rsid w:val="237E7350"/>
    <w:rsid w:val="238362B9"/>
    <w:rsid w:val="23870281"/>
    <w:rsid w:val="23877089"/>
    <w:rsid w:val="238E230B"/>
    <w:rsid w:val="239C706C"/>
    <w:rsid w:val="23A02BC0"/>
    <w:rsid w:val="23A2641B"/>
    <w:rsid w:val="23A50606"/>
    <w:rsid w:val="23B85318"/>
    <w:rsid w:val="23BC770E"/>
    <w:rsid w:val="23C16574"/>
    <w:rsid w:val="23C852CE"/>
    <w:rsid w:val="23CC0574"/>
    <w:rsid w:val="23CD33DF"/>
    <w:rsid w:val="23DE1C48"/>
    <w:rsid w:val="23E26A49"/>
    <w:rsid w:val="23E822B1"/>
    <w:rsid w:val="23F8087D"/>
    <w:rsid w:val="240210CD"/>
    <w:rsid w:val="240964F9"/>
    <w:rsid w:val="240B41F2"/>
    <w:rsid w:val="240B5FA0"/>
    <w:rsid w:val="2423067E"/>
    <w:rsid w:val="24290CAD"/>
    <w:rsid w:val="2429309C"/>
    <w:rsid w:val="242A2DE9"/>
    <w:rsid w:val="242B219E"/>
    <w:rsid w:val="242C703E"/>
    <w:rsid w:val="24335835"/>
    <w:rsid w:val="2435301D"/>
    <w:rsid w:val="24522EEA"/>
    <w:rsid w:val="24542F97"/>
    <w:rsid w:val="24705256"/>
    <w:rsid w:val="2472325D"/>
    <w:rsid w:val="24791B1A"/>
    <w:rsid w:val="247D3882"/>
    <w:rsid w:val="249C0EF0"/>
    <w:rsid w:val="24A46E94"/>
    <w:rsid w:val="24A526FF"/>
    <w:rsid w:val="24A730FE"/>
    <w:rsid w:val="24AE34FB"/>
    <w:rsid w:val="24BE3012"/>
    <w:rsid w:val="24BF09F7"/>
    <w:rsid w:val="24D2083C"/>
    <w:rsid w:val="24EE4AA0"/>
    <w:rsid w:val="24F36EB7"/>
    <w:rsid w:val="24FC50EF"/>
    <w:rsid w:val="251315B0"/>
    <w:rsid w:val="251C5B14"/>
    <w:rsid w:val="251D6ABE"/>
    <w:rsid w:val="25220111"/>
    <w:rsid w:val="2527505B"/>
    <w:rsid w:val="252B648C"/>
    <w:rsid w:val="252C6C87"/>
    <w:rsid w:val="252D53FE"/>
    <w:rsid w:val="25421A13"/>
    <w:rsid w:val="256271D7"/>
    <w:rsid w:val="256A07E7"/>
    <w:rsid w:val="2572277A"/>
    <w:rsid w:val="257B0F03"/>
    <w:rsid w:val="258204E4"/>
    <w:rsid w:val="25A24056"/>
    <w:rsid w:val="25A84B74"/>
    <w:rsid w:val="25CF47C5"/>
    <w:rsid w:val="25EC2D81"/>
    <w:rsid w:val="25F4195D"/>
    <w:rsid w:val="25FA451E"/>
    <w:rsid w:val="25FD7B64"/>
    <w:rsid w:val="260158AC"/>
    <w:rsid w:val="2604539D"/>
    <w:rsid w:val="2604714B"/>
    <w:rsid w:val="260B2287"/>
    <w:rsid w:val="26173D8C"/>
    <w:rsid w:val="261E020C"/>
    <w:rsid w:val="262F5524"/>
    <w:rsid w:val="263053A8"/>
    <w:rsid w:val="263878EA"/>
    <w:rsid w:val="263F0183"/>
    <w:rsid w:val="26657D53"/>
    <w:rsid w:val="266718E9"/>
    <w:rsid w:val="267577C8"/>
    <w:rsid w:val="268A4B07"/>
    <w:rsid w:val="26A307F4"/>
    <w:rsid w:val="26AC3DAD"/>
    <w:rsid w:val="26AD1590"/>
    <w:rsid w:val="26B33E02"/>
    <w:rsid w:val="26BD510C"/>
    <w:rsid w:val="26C50688"/>
    <w:rsid w:val="26D2589A"/>
    <w:rsid w:val="26DB2864"/>
    <w:rsid w:val="27094A4B"/>
    <w:rsid w:val="271B758F"/>
    <w:rsid w:val="271E5FEA"/>
    <w:rsid w:val="272A63D6"/>
    <w:rsid w:val="2736270C"/>
    <w:rsid w:val="273F3658"/>
    <w:rsid w:val="27402404"/>
    <w:rsid w:val="274C4E54"/>
    <w:rsid w:val="275E3305"/>
    <w:rsid w:val="276B0858"/>
    <w:rsid w:val="277057A2"/>
    <w:rsid w:val="27750300"/>
    <w:rsid w:val="27871DE1"/>
    <w:rsid w:val="27931F7A"/>
    <w:rsid w:val="27946600"/>
    <w:rsid w:val="27963AF1"/>
    <w:rsid w:val="279A0092"/>
    <w:rsid w:val="27A04C51"/>
    <w:rsid w:val="27A91D58"/>
    <w:rsid w:val="27B801ED"/>
    <w:rsid w:val="27C2267F"/>
    <w:rsid w:val="27C62ABE"/>
    <w:rsid w:val="27C92725"/>
    <w:rsid w:val="27C970B2"/>
    <w:rsid w:val="27D668C5"/>
    <w:rsid w:val="27D843EB"/>
    <w:rsid w:val="27EB05C2"/>
    <w:rsid w:val="28060F58"/>
    <w:rsid w:val="28094EEC"/>
    <w:rsid w:val="28114554"/>
    <w:rsid w:val="281F026C"/>
    <w:rsid w:val="28260FCC"/>
    <w:rsid w:val="28416434"/>
    <w:rsid w:val="284E32F6"/>
    <w:rsid w:val="285A79F8"/>
    <w:rsid w:val="28643ED1"/>
    <w:rsid w:val="286D0FD7"/>
    <w:rsid w:val="28706093"/>
    <w:rsid w:val="2871249B"/>
    <w:rsid w:val="28932B5E"/>
    <w:rsid w:val="28956780"/>
    <w:rsid w:val="289B159E"/>
    <w:rsid w:val="289F6628"/>
    <w:rsid w:val="28A10C81"/>
    <w:rsid w:val="28A40D4D"/>
    <w:rsid w:val="28BC1F5F"/>
    <w:rsid w:val="28BD180D"/>
    <w:rsid w:val="28D252DE"/>
    <w:rsid w:val="28D7164E"/>
    <w:rsid w:val="28DB1636"/>
    <w:rsid w:val="28E55011"/>
    <w:rsid w:val="28E97831"/>
    <w:rsid w:val="28F72A75"/>
    <w:rsid w:val="28FF1F45"/>
    <w:rsid w:val="2902222F"/>
    <w:rsid w:val="29093E89"/>
    <w:rsid w:val="290D7B03"/>
    <w:rsid w:val="290F02E0"/>
    <w:rsid w:val="2916166F"/>
    <w:rsid w:val="291F0D68"/>
    <w:rsid w:val="29206EB8"/>
    <w:rsid w:val="2930073F"/>
    <w:rsid w:val="293B71E1"/>
    <w:rsid w:val="295201CD"/>
    <w:rsid w:val="29595666"/>
    <w:rsid w:val="296D02DD"/>
    <w:rsid w:val="297C108C"/>
    <w:rsid w:val="298201D9"/>
    <w:rsid w:val="29842A7C"/>
    <w:rsid w:val="29850CF1"/>
    <w:rsid w:val="29874881"/>
    <w:rsid w:val="29995268"/>
    <w:rsid w:val="29A547A1"/>
    <w:rsid w:val="29AF1C93"/>
    <w:rsid w:val="29B11398"/>
    <w:rsid w:val="29B53185"/>
    <w:rsid w:val="29B80978"/>
    <w:rsid w:val="29CA2459"/>
    <w:rsid w:val="29DE4614"/>
    <w:rsid w:val="29E057D9"/>
    <w:rsid w:val="29E325E0"/>
    <w:rsid w:val="29E93ECE"/>
    <w:rsid w:val="29F57951"/>
    <w:rsid w:val="29FC66E6"/>
    <w:rsid w:val="29FE2489"/>
    <w:rsid w:val="2A094D30"/>
    <w:rsid w:val="2A0F72A6"/>
    <w:rsid w:val="2A2033B1"/>
    <w:rsid w:val="2A224043"/>
    <w:rsid w:val="2A262C1D"/>
    <w:rsid w:val="2A2A03CC"/>
    <w:rsid w:val="2A452503"/>
    <w:rsid w:val="2A493D66"/>
    <w:rsid w:val="2A662182"/>
    <w:rsid w:val="2A74112A"/>
    <w:rsid w:val="2A783C63"/>
    <w:rsid w:val="2A7C383C"/>
    <w:rsid w:val="2A8D770F"/>
    <w:rsid w:val="2A9F5EC5"/>
    <w:rsid w:val="2AA42CAA"/>
    <w:rsid w:val="2AAF1D7B"/>
    <w:rsid w:val="2AB1781A"/>
    <w:rsid w:val="2AB22976"/>
    <w:rsid w:val="2AC206C0"/>
    <w:rsid w:val="2AD24659"/>
    <w:rsid w:val="2ADC43D4"/>
    <w:rsid w:val="2AED63FF"/>
    <w:rsid w:val="2AFA0B1C"/>
    <w:rsid w:val="2B125E66"/>
    <w:rsid w:val="2B147C7F"/>
    <w:rsid w:val="2B1B1756"/>
    <w:rsid w:val="2B1B2F6C"/>
    <w:rsid w:val="2B1B4629"/>
    <w:rsid w:val="2B234F0D"/>
    <w:rsid w:val="2B287437"/>
    <w:rsid w:val="2B2D3781"/>
    <w:rsid w:val="2B3371E3"/>
    <w:rsid w:val="2B360074"/>
    <w:rsid w:val="2B430715"/>
    <w:rsid w:val="2B435C33"/>
    <w:rsid w:val="2B45236A"/>
    <w:rsid w:val="2B4D6319"/>
    <w:rsid w:val="2B5136C6"/>
    <w:rsid w:val="2B574209"/>
    <w:rsid w:val="2B6440CB"/>
    <w:rsid w:val="2B671F16"/>
    <w:rsid w:val="2B6A24CE"/>
    <w:rsid w:val="2B6A3EF4"/>
    <w:rsid w:val="2B7D3C27"/>
    <w:rsid w:val="2B8073F3"/>
    <w:rsid w:val="2B8E7BE2"/>
    <w:rsid w:val="2B961A04"/>
    <w:rsid w:val="2B97523C"/>
    <w:rsid w:val="2BA936A8"/>
    <w:rsid w:val="2BAF7B59"/>
    <w:rsid w:val="2BCC0A62"/>
    <w:rsid w:val="2BD155F1"/>
    <w:rsid w:val="2BD4622D"/>
    <w:rsid w:val="2BDE5CDC"/>
    <w:rsid w:val="2BE21CDC"/>
    <w:rsid w:val="2BE60316"/>
    <w:rsid w:val="2BE772F2"/>
    <w:rsid w:val="2BE9306B"/>
    <w:rsid w:val="2BF946BE"/>
    <w:rsid w:val="2C11436F"/>
    <w:rsid w:val="2C1631CE"/>
    <w:rsid w:val="2C1A76C8"/>
    <w:rsid w:val="2C224F1B"/>
    <w:rsid w:val="2C23075E"/>
    <w:rsid w:val="2C2920D2"/>
    <w:rsid w:val="2C311870"/>
    <w:rsid w:val="2C315A5A"/>
    <w:rsid w:val="2C33570F"/>
    <w:rsid w:val="2C365B84"/>
    <w:rsid w:val="2C435D50"/>
    <w:rsid w:val="2C46226B"/>
    <w:rsid w:val="2C465871"/>
    <w:rsid w:val="2C4B1C25"/>
    <w:rsid w:val="2C4B74F2"/>
    <w:rsid w:val="2C626979"/>
    <w:rsid w:val="2C6426F1"/>
    <w:rsid w:val="2C6845A0"/>
    <w:rsid w:val="2C7A1F15"/>
    <w:rsid w:val="2CB82A3D"/>
    <w:rsid w:val="2CCB3DEE"/>
    <w:rsid w:val="2CD67F96"/>
    <w:rsid w:val="2CDB0C20"/>
    <w:rsid w:val="2CE101E6"/>
    <w:rsid w:val="2CE67062"/>
    <w:rsid w:val="2CED0939"/>
    <w:rsid w:val="2CFC742A"/>
    <w:rsid w:val="2CFF066C"/>
    <w:rsid w:val="2D0F7A68"/>
    <w:rsid w:val="2D173C07"/>
    <w:rsid w:val="2D260568"/>
    <w:rsid w:val="2D273D10"/>
    <w:rsid w:val="2D3A693D"/>
    <w:rsid w:val="2D48144E"/>
    <w:rsid w:val="2D4B6539"/>
    <w:rsid w:val="2D5704A8"/>
    <w:rsid w:val="2D6D0486"/>
    <w:rsid w:val="2D766B80"/>
    <w:rsid w:val="2D7B7109"/>
    <w:rsid w:val="2D873D51"/>
    <w:rsid w:val="2D887907"/>
    <w:rsid w:val="2D8D1334"/>
    <w:rsid w:val="2D8E211C"/>
    <w:rsid w:val="2D9E56F5"/>
    <w:rsid w:val="2DA21723"/>
    <w:rsid w:val="2DB92236"/>
    <w:rsid w:val="2DBB0ACA"/>
    <w:rsid w:val="2DBF20D8"/>
    <w:rsid w:val="2DCA1176"/>
    <w:rsid w:val="2DEA719A"/>
    <w:rsid w:val="2DED6716"/>
    <w:rsid w:val="2DFC29ED"/>
    <w:rsid w:val="2DFD104F"/>
    <w:rsid w:val="2E0768D0"/>
    <w:rsid w:val="2E0979F4"/>
    <w:rsid w:val="2E171223"/>
    <w:rsid w:val="2E174B74"/>
    <w:rsid w:val="2E1A18B6"/>
    <w:rsid w:val="2E2A782A"/>
    <w:rsid w:val="2E351701"/>
    <w:rsid w:val="2E356A11"/>
    <w:rsid w:val="2E433BD4"/>
    <w:rsid w:val="2E493689"/>
    <w:rsid w:val="2E4C7796"/>
    <w:rsid w:val="2E4E18AB"/>
    <w:rsid w:val="2E4E3659"/>
    <w:rsid w:val="2E5549E7"/>
    <w:rsid w:val="2E624479"/>
    <w:rsid w:val="2E644C2A"/>
    <w:rsid w:val="2E667F96"/>
    <w:rsid w:val="2E6D3734"/>
    <w:rsid w:val="2E6E382B"/>
    <w:rsid w:val="2E7F5C08"/>
    <w:rsid w:val="2E8226AB"/>
    <w:rsid w:val="2E8D528D"/>
    <w:rsid w:val="2EB67C9D"/>
    <w:rsid w:val="2EC5374F"/>
    <w:rsid w:val="2ED51684"/>
    <w:rsid w:val="2EDD365C"/>
    <w:rsid w:val="2EE351E2"/>
    <w:rsid w:val="2EF261FE"/>
    <w:rsid w:val="2F081A5A"/>
    <w:rsid w:val="2F313C52"/>
    <w:rsid w:val="2F416D1A"/>
    <w:rsid w:val="2F5926CB"/>
    <w:rsid w:val="2F5E405B"/>
    <w:rsid w:val="2F601896"/>
    <w:rsid w:val="2F63343F"/>
    <w:rsid w:val="2F66386F"/>
    <w:rsid w:val="2F6A44C2"/>
    <w:rsid w:val="2F7B047E"/>
    <w:rsid w:val="2F860BD0"/>
    <w:rsid w:val="2F9B6898"/>
    <w:rsid w:val="2FA379D4"/>
    <w:rsid w:val="2FAE5279"/>
    <w:rsid w:val="2FC242FE"/>
    <w:rsid w:val="2FCC0CD9"/>
    <w:rsid w:val="2FD065E6"/>
    <w:rsid w:val="2FD50E88"/>
    <w:rsid w:val="2FD951A4"/>
    <w:rsid w:val="2FD96870"/>
    <w:rsid w:val="2FE409BA"/>
    <w:rsid w:val="2FED3B39"/>
    <w:rsid w:val="2FF46332"/>
    <w:rsid w:val="2FF67CBA"/>
    <w:rsid w:val="2FF81ACE"/>
    <w:rsid w:val="3013098C"/>
    <w:rsid w:val="301601A6"/>
    <w:rsid w:val="30183F1E"/>
    <w:rsid w:val="301C1947"/>
    <w:rsid w:val="30221B4D"/>
    <w:rsid w:val="30275F10"/>
    <w:rsid w:val="30373748"/>
    <w:rsid w:val="30375249"/>
    <w:rsid w:val="303D2F11"/>
    <w:rsid w:val="303F395A"/>
    <w:rsid w:val="30440A42"/>
    <w:rsid w:val="30444D13"/>
    <w:rsid w:val="304C1E1A"/>
    <w:rsid w:val="304D2C2A"/>
    <w:rsid w:val="305256CD"/>
    <w:rsid w:val="30580BC9"/>
    <w:rsid w:val="305F5638"/>
    <w:rsid w:val="30760580"/>
    <w:rsid w:val="30872E52"/>
    <w:rsid w:val="308D0BB8"/>
    <w:rsid w:val="308F7E72"/>
    <w:rsid w:val="30A6777C"/>
    <w:rsid w:val="30BB49F9"/>
    <w:rsid w:val="30CA3D76"/>
    <w:rsid w:val="30D3526A"/>
    <w:rsid w:val="30E70C62"/>
    <w:rsid w:val="30EB7885"/>
    <w:rsid w:val="30EE2ED1"/>
    <w:rsid w:val="30F878AC"/>
    <w:rsid w:val="30FE31BE"/>
    <w:rsid w:val="310510D3"/>
    <w:rsid w:val="31140B8A"/>
    <w:rsid w:val="311E2ED7"/>
    <w:rsid w:val="311F12DD"/>
    <w:rsid w:val="31215FBF"/>
    <w:rsid w:val="31286CD5"/>
    <w:rsid w:val="312D39F9"/>
    <w:rsid w:val="31305298"/>
    <w:rsid w:val="31336B36"/>
    <w:rsid w:val="315619EE"/>
    <w:rsid w:val="315A40C3"/>
    <w:rsid w:val="315B68F9"/>
    <w:rsid w:val="315C449C"/>
    <w:rsid w:val="31682C84"/>
    <w:rsid w:val="316B2774"/>
    <w:rsid w:val="318825DA"/>
    <w:rsid w:val="318F0210"/>
    <w:rsid w:val="31952B22"/>
    <w:rsid w:val="31A16195"/>
    <w:rsid w:val="31AB6F36"/>
    <w:rsid w:val="31B1107F"/>
    <w:rsid w:val="31B82709"/>
    <w:rsid w:val="31B93261"/>
    <w:rsid w:val="31C679AA"/>
    <w:rsid w:val="31CA10F5"/>
    <w:rsid w:val="31D05482"/>
    <w:rsid w:val="31D5284E"/>
    <w:rsid w:val="31D97084"/>
    <w:rsid w:val="31DB4CF3"/>
    <w:rsid w:val="31E32FDD"/>
    <w:rsid w:val="31E40716"/>
    <w:rsid w:val="31E60CE9"/>
    <w:rsid w:val="31F6483D"/>
    <w:rsid w:val="31F65292"/>
    <w:rsid w:val="321C75CA"/>
    <w:rsid w:val="322D6032"/>
    <w:rsid w:val="323F1C36"/>
    <w:rsid w:val="32400B34"/>
    <w:rsid w:val="325154C6"/>
    <w:rsid w:val="32555399"/>
    <w:rsid w:val="325F4087"/>
    <w:rsid w:val="32655415"/>
    <w:rsid w:val="32740153"/>
    <w:rsid w:val="328800D1"/>
    <w:rsid w:val="32880B62"/>
    <w:rsid w:val="328F21A2"/>
    <w:rsid w:val="32904345"/>
    <w:rsid w:val="32926B42"/>
    <w:rsid w:val="329E6876"/>
    <w:rsid w:val="32A970B0"/>
    <w:rsid w:val="32B13B74"/>
    <w:rsid w:val="32B53CA7"/>
    <w:rsid w:val="32D465B6"/>
    <w:rsid w:val="32D673A7"/>
    <w:rsid w:val="32DA11D7"/>
    <w:rsid w:val="32E06473"/>
    <w:rsid w:val="33114D41"/>
    <w:rsid w:val="331F7372"/>
    <w:rsid w:val="332130EA"/>
    <w:rsid w:val="33264BA4"/>
    <w:rsid w:val="33294832"/>
    <w:rsid w:val="332D4131"/>
    <w:rsid w:val="333015F2"/>
    <w:rsid w:val="333170A5"/>
    <w:rsid w:val="333F7FCF"/>
    <w:rsid w:val="334B6320"/>
    <w:rsid w:val="3355245B"/>
    <w:rsid w:val="335C05C6"/>
    <w:rsid w:val="335C1410"/>
    <w:rsid w:val="33605193"/>
    <w:rsid w:val="33842BDC"/>
    <w:rsid w:val="339C6CC6"/>
    <w:rsid w:val="33AB32FB"/>
    <w:rsid w:val="33B301C8"/>
    <w:rsid w:val="33B53F04"/>
    <w:rsid w:val="33BA4A06"/>
    <w:rsid w:val="33BE628A"/>
    <w:rsid w:val="33BF5BD9"/>
    <w:rsid w:val="33C2777C"/>
    <w:rsid w:val="33C406B3"/>
    <w:rsid w:val="33D44600"/>
    <w:rsid w:val="33D463AE"/>
    <w:rsid w:val="33D934D4"/>
    <w:rsid w:val="33DD273C"/>
    <w:rsid w:val="33DE2B47"/>
    <w:rsid w:val="33F3229E"/>
    <w:rsid w:val="33FB6FC0"/>
    <w:rsid w:val="33FE2F6A"/>
    <w:rsid w:val="34096E3F"/>
    <w:rsid w:val="340A6274"/>
    <w:rsid w:val="340E07E5"/>
    <w:rsid w:val="34182670"/>
    <w:rsid w:val="34235BF7"/>
    <w:rsid w:val="34255F8C"/>
    <w:rsid w:val="342B339C"/>
    <w:rsid w:val="3431735D"/>
    <w:rsid w:val="34360E17"/>
    <w:rsid w:val="34452E08"/>
    <w:rsid w:val="34465495"/>
    <w:rsid w:val="34476B80"/>
    <w:rsid w:val="346760C6"/>
    <w:rsid w:val="34802092"/>
    <w:rsid w:val="3481071D"/>
    <w:rsid w:val="34876ED1"/>
    <w:rsid w:val="348C4EDB"/>
    <w:rsid w:val="34910D47"/>
    <w:rsid w:val="34936E28"/>
    <w:rsid w:val="349772B4"/>
    <w:rsid w:val="34A82B3A"/>
    <w:rsid w:val="34AC732B"/>
    <w:rsid w:val="34B55729"/>
    <w:rsid w:val="34BA00CF"/>
    <w:rsid w:val="34BE7C35"/>
    <w:rsid w:val="34C04B85"/>
    <w:rsid w:val="34C264F2"/>
    <w:rsid w:val="34D01576"/>
    <w:rsid w:val="34DA1700"/>
    <w:rsid w:val="34E330DD"/>
    <w:rsid w:val="34E75591"/>
    <w:rsid w:val="34E97C37"/>
    <w:rsid w:val="35005D2E"/>
    <w:rsid w:val="35042736"/>
    <w:rsid w:val="35062BA8"/>
    <w:rsid w:val="350B6B96"/>
    <w:rsid w:val="35180A3F"/>
    <w:rsid w:val="352675BF"/>
    <w:rsid w:val="353A35D4"/>
    <w:rsid w:val="353A363F"/>
    <w:rsid w:val="353B0CD2"/>
    <w:rsid w:val="353D7F83"/>
    <w:rsid w:val="354021DB"/>
    <w:rsid w:val="35446C9F"/>
    <w:rsid w:val="354626A7"/>
    <w:rsid w:val="354C01C6"/>
    <w:rsid w:val="355373E9"/>
    <w:rsid w:val="35675000"/>
    <w:rsid w:val="35782E5A"/>
    <w:rsid w:val="358774E5"/>
    <w:rsid w:val="358C5FA8"/>
    <w:rsid w:val="35981292"/>
    <w:rsid w:val="359C114E"/>
    <w:rsid w:val="359E7998"/>
    <w:rsid w:val="35A63B4B"/>
    <w:rsid w:val="35AA386B"/>
    <w:rsid w:val="35B86354"/>
    <w:rsid w:val="35C15DF1"/>
    <w:rsid w:val="35C23150"/>
    <w:rsid w:val="35D02BA1"/>
    <w:rsid w:val="35D54660"/>
    <w:rsid w:val="35D82009"/>
    <w:rsid w:val="35E04F51"/>
    <w:rsid w:val="35E0728C"/>
    <w:rsid w:val="35E20DF9"/>
    <w:rsid w:val="36074A7F"/>
    <w:rsid w:val="3608233F"/>
    <w:rsid w:val="36127662"/>
    <w:rsid w:val="362025C1"/>
    <w:rsid w:val="3620497B"/>
    <w:rsid w:val="3628440B"/>
    <w:rsid w:val="362A49AB"/>
    <w:rsid w:val="36372493"/>
    <w:rsid w:val="363978C3"/>
    <w:rsid w:val="363B04FD"/>
    <w:rsid w:val="363C023B"/>
    <w:rsid w:val="363D008E"/>
    <w:rsid w:val="36464CCC"/>
    <w:rsid w:val="364F51F2"/>
    <w:rsid w:val="36502502"/>
    <w:rsid w:val="36527A5E"/>
    <w:rsid w:val="36536DB2"/>
    <w:rsid w:val="3659703F"/>
    <w:rsid w:val="36597FF9"/>
    <w:rsid w:val="366652B8"/>
    <w:rsid w:val="366F19E6"/>
    <w:rsid w:val="366F6862"/>
    <w:rsid w:val="36857E34"/>
    <w:rsid w:val="368B462F"/>
    <w:rsid w:val="368D6CE8"/>
    <w:rsid w:val="369109F2"/>
    <w:rsid w:val="36923549"/>
    <w:rsid w:val="369E726F"/>
    <w:rsid w:val="36AB4A52"/>
    <w:rsid w:val="36B75FBF"/>
    <w:rsid w:val="36BD0C45"/>
    <w:rsid w:val="36BD75CE"/>
    <w:rsid w:val="36C022BD"/>
    <w:rsid w:val="36D05159"/>
    <w:rsid w:val="36D157BB"/>
    <w:rsid w:val="36D42B88"/>
    <w:rsid w:val="37053F3F"/>
    <w:rsid w:val="37107BCA"/>
    <w:rsid w:val="371F1727"/>
    <w:rsid w:val="37377380"/>
    <w:rsid w:val="376F252D"/>
    <w:rsid w:val="37783B24"/>
    <w:rsid w:val="3781184C"/>
    <w:rsid w:val="37841E99"/>
    <w:rsid w:val="37873738"/>
    <w:rsid w:val="3788778D"/>
    <w:rsid w:val="379D2F5B"/>
    <w:rsid w:val="37B47AC1"/>
    <w:rsid w:val="37BB2F99"/>
    <w:rsid w:val="37C67EF4"/>
    <w:rsid w:val="37C73DF8"/>
    <w:rsid w:val="37D87B90"/>
    <w:rsid w:val="37E00298"/>
    <w:rsid w:val="37EF1A09"/>
    <w:rsid w:val="37F30F41"/>
    <w:rsid w:val="37F92887"/>
    <w:rsid w:val="37FC2378"/>
    <w:rsid w:val="38027338"/>
    <w:rsid w:val="380354B4"/>
    <w:rsid w:val="380A6498"/>
    <w:rsid w:val="380D1E8F"/>
    <w:rsid w:val="380D5DD2"/>
    <w:rsid w:val="3817652A"/>
    <w:rsid w:val="381C5FA5"/>
    <w:rsid w:val="381E53C8"/>
    <w:rsid w:val="38204E64"/>
    <w:rsid w:val="382A2A41"/>
    <w:rsid w:val="382C440E"/>
    <w:rsid w:val="38333D70"/>
    <w:rsid w:val="384302ED"/>
    <w:rsid w:val="384602FF"/>
    <w:rsid w:val="384F66C9"/>
    <w:rsid w:val="385B709E"/>
    <w:rsid w:val="386573FF"/>
    <w:rsid w:val="386A15EC"/>
    <w:rsid w:val="38806BDE"/>
    <w:rsid w:val="38826D6B"/>
    <w:rsid w:val="388F0AF6"/>
    <w:rsid w:val="3892629C"/>
    <w:rsid w:val="38950BE6"/>
    <w:rsid w:val="38AA5A52"/>
    <w:rsid w:val="38B302F9"/>
    <w:rsid w:val="38D330D8"/>
    <w:rsid w:val="38D842EE"/>
    <w:rsid w:val="38DD49CB"/>
    <w:rsid w:val="38DE76D3"/>
    <w:rsid w:val="38DF7CCF"/>
    <w:rsid w:val="38E418FD"/>
    <w:rsid w:val="38E92CAF"/>
    <w:rsid w:val="38ED3EE1"/>
    <w:rsid w:val="38EE1CC0"/>
    <w:rsid w:val="38F12CD3"/>
    <w:rsid w:val="38F769DC"/>
    <w:rsid w:val="38F848ED"/>
    <w:rsid w:val="38F94775"/>
    <w:rsid w:val="38FC02EA"/>
    <w:rsid w:val="38FC0A3D"/>
    <w:rsid w:val="38FE0063"/>
    <w:rsid w:val="39051B3D"/>
    <w:rsid w:val="39125842"/>
    <w:rsid w:val="39125ACF"/>
    <w:rsid w:val="39167469"/>
    <w:rsid w:val="391952EB"/>
    <w:rsid w:val="392971ED"/>
    <w:rsid w:val="39325651"/>
    <w:rsid w:val="393C76C0"/>
    <w:rsid w:val="394D5CD8"/>
    <w:rsid w:val="394F3EB2"/>
    <w:rsid w:val="39584362"/>
    <w:rsid w:val="39591A5A"/>
    <w:rsid w:val="395F028C"/>
    <w:rsid w:val="39665DA8"/>
    <w:rsid w:val="39835B8B"/>
    <w:rsid w:val="399062F2"/>
    <w:rsid w:val="3992439A"/>
    <w:rsid w:val="39A13D2D"/>
    <w:rsid w:val="39A84565"/>
    <w:rsid w:val="39AB7BB1"/>
    <w:rsid w:val="39B63D12"/>
    <w:rsid w:val="39BA2977"/>
    <w:rsid w:val="39BC1DBE"/>
    <w:rsid w:val="39C960DB"/>
    <w:rsid w:val="39D96DC2"/>
    <w:rsid w:val="39DD7F9F"/>
    <w:rsid w:val="3A065DAC"/>
    <w:rsid w:val="3A0C12C7"/>
    <w:rsid w:val="3A0F4E8D"/>
    <w:rsid w:val="3A1F5EA9"/>
    <w:rsid w:val="3A220510"/>
    <w:rsid w:val="3A255BB6"/>
    <w:rsid w:val="3A435788"/>
    <w:rsid w:val="3A5E5D9D"/>
    <w:rsid w:val="3A712BA9"/>
    <w:rsid w:val="3A737F81"/>
    <w:rsid w:val="3A7601BF"/>
    <w:rsid w:val="3A822B01"/>
    <w:rsid w:val="3A872856"/>
    <w:rsid w:val="3A904CE5"/>
    <w:rsid w:val="3A9B1781"/>
    <w:rsid w:val="3AA217E0"/>
    <w:rsid w:val="3AA5654F"/>
    <w:rsid w:val="3AA6541B"/>
    <w:rsid w:val="3AB42A96"/>
    <w:rsid w:val="3ABB04E6"/>
    <w:rsid w:val="3ABF51E8"/>
    <w:rsid w:val="3ACC1F5C"/>
    <w:rsid w:val="3ADD023E"/>
    <w:rsid w:val="3AE3691A"/>
    <w:rsid w:val="3AEE5752"/>
    <w:rsid w:val="3AFF32E7"/>
    <w:rsid w:val="3B0711C0"/>
    <w:rsid w:val="3B077547"/>
    <w:rsid w:val="3B293484"/>
    <w:rsid w:val="3B3763D1"/>
    <w:rsid w:val="3B46036D"/>
    <w:rsid w:val="3B58144F"/>
    <w:rsid w:val="3B5A18A5"/>
    <w:rsid w:val="3B7E41C1"/>
    <w:rsid w:val="3B842468"/>
    <w:rsid w:val="3B942275"/>
    <w:rsid w:val="3B974891"/>
    <w:rsid w:val="3BB5108A"/>
    <w:rsid w:val="3BBC42F8"/>
    <w:rsid w:val="3BBD3BCC"/>
    <w:rsid w:val="3BC1661F"/>
    <w:rsid w:val="3BC62A80"/>
    <w:rsid w:val="3BE41159"/>
    <w:rsid w:val="3BED44B1"/>
    <w:rsid w:val="3BEE1D0A"/>
    <w:rsid w:val="3BF33A92"/>
    <w:rsid w:val="3BFD57F0"/>
    <w:rsid w:val="3C017F5D"/>
    <w:rsid w:val="3C0B455F"/>
    <w:rsid w:val="3C2C01D7"/>
    <w:rsid w:val="3C2D5997"/>
    <w:rsid w:val="3C2F6E1E"/>
    <w:rsid w:val="3C30439E"/>
    <w:rsid w:val="3C333E09"/>
    <w:rsid w:val="3C4F64BA"/>
    <w:rsid w:val="3C6033AC"/>
    <w:rsid w:val="3C68573C"/>
    <w:rsid w:val="3C6F136A"/>
    <w:rsid w:val="3C7B4351"/>
    <w:rsid w:val="3C837993"/>
    <w:rsid w:val="3C8C1F1C"/>
    <w:rsid w:val="3C9004C8"/>
    <w:rsid w:val="3C964B49"/>
    <w:rsid w:val="3C9827B2"/>
    <w:rsid w:val="3C984576"/>
    <w:rsid w:val="3C9C3BAD"/>
    <w:rsid w:val="3C9C7740"/>
    <w:rsid w:val="3CA4595F"/>
    <w:rsid w:val="3CA628B2"/>
    <w:rsid w:val="3CB14332"/>
    <w:rsid w:val="3CB66F99"/>
    <w:rsid w:val="3CC316B6"/>
    <w:rsid w:val="3CC81DA1"/>
    <w:rsid w:val="3CC86FBC"/>
    <w:rsid w:val="3CCB2319"/>
    <w:rsid w:val="3CCD42E3"/>
    <w:rsid w:val="3CCE4932"/>
    <w:rsid w:val="3CD0671C"/>
    <w:rsid w:val="3CD411CD"/>
    <w:rsid w:val="3CDA245A"/>
    <w:rsid w:val="3CE06DE4"/>
    <w:rsid w:val="3CE07B72"/>
    <w:rsid w:val="3D005C81"/>
    <w:rsid w:val="3D0F0457"/>
    <w:rsid w:val="3D101ACB"/>
    <w:rsid w:val="3D13255F"/>
    <w:rsid w:val="3D1B6DFC"/>
    <w:rsid w:val="3D1E06B7"/>
    <w:rsid w:val="3D1E68EC"/>
    <w:rsid w:val="3D1F45AB"/>
    <w:rsid w:val="3D203CE5"/>
    <w:rsid w:val="3D211F38"/>
    <w:rsid w:val="3D2A7054"/>
    <w:rsid w:val="3D382C08"/>
    <w:rsid w:val="3D3F0730"/>
    <w:rsid w:val="3D4664B4"/>
    <w:rsid w:val="3D490AA4"/>
    <w:rsid w:val="3D4D2D2E"/>
    <w:rsid w:val="3D4D374C"/>
    <w:rsid w:val="3D503451"/>
    <w:rsid w:val="3D695DB9"/>
    <w:rsid w:val="3D7D3B8B"/>
    <w:rsid w:val="3D81794A"/>
    <w:rsid w:val="3D826E7B"/>
    <w:rsid w:val="3D850719"/>
    <w:rsid w:val="3D8902C5"/>
    <w:rsid w:val="3D8D45DC"/>
    <w:rsid w:val="3D9112CE"/>
    <w:rsid w:val="3D9214F1"/>
    <w:rsid w:val="3D9A2BA2"/>
    <w:rsid w:val="3DA36D67"/>
    <w:rsid w:val="3DAC07DC"/>
    <w:rsid w:val="3DAF5796"/>
    <w:rsid w:val="3DB5040B"/>
    <w:rsid w:val="3DB50FFF"/>
    <w:rsid w:val="3DBC7E96"/>
    <w:rsid w:val="3DD1570D"/>
    <w:rsid w:val="3DD23E38"/>
    <w:rsid w:val="3DDE4EEA"/>
    <w:rsid w:val="3DE47B36"/>
    <w:rsid w:val="3E004409"/>
    <w:rsid w:val="3E114BD6"/>
    <w:rsid w:val="3E3363C7"/>
    <w:rsid w:val="3E3F6717"/>
    <w:rsid w:val="3E46434D"/>
    <w:rsid w:val="3E5325C6"/>
    <w:rsid w:val="3E611F40"/>
    <w:rsid w:val="3E6362F4"/>
    <w:rsid w:val="3E69461C"/>
    <w:rsid w:val="3E772758"/>
    <w:rsid w:val="3E8536DF"/>
    <w:rsid w:val="3E8B5005"/>
    <w:rsid w:val="3E9F7C5E"/>
    <w:rsid w:val="3EAB41B0"/>
    <w:rsid w:val="3EAD617A"/>
    <w:rsid w:val="3EB56DDC"/>
    <w:rsid w:val="3EC925DA"/>
    <w:rsid w:val="3ED6747E"/>
    <w:rsid w:val="3EDA0523"/>
    <w:rsid w:val="3EDA1F9B"/>
    <w:rsid w:val="3EDB647A"/>
    <w:rsid w:val="3EDF3BA9"/>
    <w:rsid w:val="3EE75303"/>
    <w:rsid w:val="3EF1250A"/>
    <w:rsid w:val="3F051785"/>
    <w:rsid w:val="3F0B2EA0"/>
    <w:rsid w:val="3F0B7ACD"/>
    <w:rsid w:val="3F0C10F2"/>
    <w:rsid w:val="3F1805F1"/>
    <w:rsid w:val="3F1C6161"/>
    <w:rsid w:val="3F1F555B"/>
    <w:rsid w:val="3F277CDA"/>
    <w:rsid w:val="3F441B82"/>
    <w:rsid w:val="3F4457DE"/>
    <w:rsid w:val="3F6E7C90"/>
    <w:rsid w:val="3F7410AC"/>
    <w:rsid w:val="3F7B3080"/>
    <w:rsid w:val="3F7D3D9E"/>
    <w:rsid w:val="3F7E0C4D"/>
    <w:rsid w:val="3F996BA0"/>
    <w:rsid w:val="3FB47094"/>
    <w:rsid w:val="3FB74223"/>
    <w:rsid w:val="3FBA3EE1"/>
    <w:rsid w:val="3FC03C8B"/>
    <w:rsid w:val="3FC46111"/>
    <w:rsid w:val="3FD15E98"/>
    <w:rsid w:val="3FD377F5"/>
    <w:rsid w:val="3FD57736"/>
    <w:rsid w:val="3FE31718"/>
    <w:rsid w:val="3FF5367F"/>
    <w:rsid w:val="3FF7402D"/>
    <w:rsid w:val="3FFA3E99"/>
    <w:rsid w:val="400010C7"/>
    <w:rsid w:val="400F26F3"/>
    <w:rsid w:val="400F652D"/>
    <w:rsid w:val="40177588"/>
    <w:rsid w:val="402A77C6"/>
    <w:rsid w:val="402C690A"/>
    <w:rsid w:val="402F41B3"/>
    <w:rsid w:val="4032100A"/>
    <w:rsid w:val="40442B0E"/>
    <w:rsid w:val="40460E8F"/>
    <w:rsid w:val="404C5D6E"/>
    <w:rsid w:val="404E5A36"/>
    <w:rsid w:val="40672358"/>
    <w:rsid w:val="4068650C"/>
    <w:rsid w:val="406960D0"/>
    <w:rsid w:val="407A6407"/>
    <w:rsid w:val="407D5557"/>
    <w:rsid w:val="408878FE"/>
    <w:rsid w:val="409006BC"/>
    <w:rsid w:val="409378A1"/>
    <w:rsid w:val="4096625A"/>
    <w:rsid w:val="40976CC1"/>
    <w:rsid w:val="4099771A"/>
    <w:rsid w:val="40A100F7"/>
    <w:rsid w:val="40A27314"/>
    <w:rsid w:val="40AC3EF0"/>
    <w:rsid w:val="40B0502D"/>
    <w:rsid w:val="40B201BF"/>
    <w:rsid w:val="40B61547"/>
    <w:rsid w:val="40BA4E14"/>
    <w:rsid w:val="40C559FD"/>
    <w:rsid w:val="40C66915"/>
    <w:rsid w:val="40CA1C3A"/>
    <w:rsid w:val="40CA51E8"/>
    <w:rsid w:val="40D43983"/>
    <w:rsid w:val="40D439DA"/>
    <w:rsid w:val="40D45C40"/>
    <w:rsid w:val="40DD599C"/>
    <w:rsid w:val="40E24395"/>
    <w:rsid w:val="40E90FBF"/>
    <w:rsid w:val="40F70B7A"/>
    <w:rsid w:val="40F859D9"/>
    <w:rsid w:val="40FA6FBB"/>
    <w:rsid w:val="40FF7707"/>
    <w:rsid w:val="411029F0"/>
    <w:rsid w:val="411249BA"/>
    <w:rsid w:val="411A714F"/>
    <w:rsid w:val="411A72BD"/>
    <w:rsid w:val="411E335F"/>
    <w:rsid w:val="412070D7"/>
    <w:rsid w:val="412E581D"/>
    <w:rsid w:val="41357EBB"/>
    <w:rsid w:val="413606A8"/>
    <w:rsid w:val="413D4FFD"/>
    <w:rsid w:val="414F646C"/>
    <w:rsid w:val="41554415"/>
    <w:rsid w:val="416546B3"/>
    <w:rsid w:val="416B0486"/>
    <w:rsid w:val="417E204F"/>
    <w:rsid w:val="419C6915"/>
    <w:rsid w:val="41A01FB7"/>
    <w:rsid w:val="41A76EB0"/>
    <w:rsid w:val="41B53241"/>
    <w:rsid w:val="41BB6E00"/>
    <w:rsid w:val="41BD66D4"/>
    <w:rsid w:val="41C21F3C"/>
    <w:rsid w:val="41CF6407"/>
    <w:rsid w:val="41D43A1D"/>
    <w:rsid w:val="41DA6BDA"/>
    <w:rsid w:val="41DB0BDB"/>
    <w:rsid w:val="41E61201"/>
    <w:rsid w:val="41EA242F"/>
    <w:rsid w:val="41EE01B0"/>
    <w:rsid w:val="41F320F5"/>
    <w:rsid w:val="41F60AE1"/>
    <w:rsid w:val="4200449D"/>
    <w:rsid w:val="42097B6B"/>
    <w:rsid w:val="4214206C"/>
    <w:rsid w:val="421C4681"/>
    <w:rsid w:val="421C556B"/>
    <w:rsid w:val="423322DC"/>
    <w:rsid w:val="4235270E"/>
    <w:rsid w:val="423A3BCC"/>
    <w:rsid w:val="424503FA"/>
    <w:rsid w:val="424E57D2"/>
    <w:rsid w:val="425C47D1"/>
    <w:rsid w:val="426B25D4"/>
    <w:rsid w:val="427E5C8F"/>
    <w:rsid w:val="428025BB"/>
    <w:rsid w:val="42833AC8"/>
    <w:rsid w:val="42892A5A"/>
    <w:rsid w:val="42A94EAA"/>
    <w:rsid w:val="42B26C49"/>
    <w:rsid w:val="42B9333F"/>
    <w:rsid w:val="42BB5BD8"/>
    <w:rsid w:val="42C83582"/>
    <w:rsid w:val="42C92DB7"/>
    <w:rsid w:val="42D02437"/>
    <w:rsid w:val="42DC527F"/>
    <w:rsid w:val="42DE18F7"/>
    <w:rsid w:val="42E5489B"/>
    <w:rsid w:val="42E87780"/>
    <w:rsid w:val="42FE0D52"/>
    <w:rsid w:val="4300412B"/>
    <w:rsid w:val="4303280C"/>
    <w:rsid w:val="43244531"/>
    <w:rsid w:val="43352400"/>
    <w:rsid w:val="433A6FE6"/>
    <w:rsid w:val="433C0C51"/>
    <w:rsid w:val="433E3844"/>
    <w:rsid w:val="43480868"/>
    <w:rsid w:val="434D6338"/>
    <w:rsid w:val="4350713C"/>
    <w:rsid w:val="43535EA6"/>
    <w:rsid w:val="435A2994"/>
    <w:rsid w:val="436653E0"/>
    <w:rsid w:val="4375369E"/>
    <w:rsid w:val="4389790E"/>
    <w:rsid w:val="438A4BDD"/>
    <w:rsid w:val="438B7C9A"/>
    <w:rsid w:val="438F22F2"/>
    <w:rsid w:val="438F492D"/>
    <w:rsid w:val="438F797B"/>
    <w:rsid w:val="43AD2778"/>
    <w:rsid w:val="43B139C5"/>
    <w:rsid w:val="43B9736F"/>
    <w:rsid w:val="43C27FD1"/>
    <w:rsid w:val="43C4431A"/>
    <w:rsid w:val="43CF26EE"/>
    <w:rsid w:val="43DC4A8F"/>
    <w:rsid w:val="43DD305D"/>
    <w:rsid w:val="43E23933"/>
    <w:rsid w:val="43EF2E84"/>
    <w:rsid w:val="43F211C3"/>
    <w:rsid w:val="43F42155"/>
    <w:rsid w:val="43F72A9D"/>
    <w:rsid w:val="44053590"/>
    <w:rsid w:val="440E029F"/>
    <w:rsid w:val="44112D07"/>
    <w:rsid w:val="441463D5"/>
    <w:rsid w:val="4421695F"/>
    <w:rsid w:val="443B65BD"/>
    <w:rsid w:val="443D1D4E"/>
    <w:rsid w:val="44421112"/>
    <w:rsid w:val="44473D83"/>
    <w:rsid w:val="444A2712"/>
    <w:rsid w:val="444D0620"/>
    <w:rsid w:val="44546647"/>
    <w:rsid w:val="44564BBE"/>
    <w:rsid w:val="44586A4E"/>
    <w:rsid w:val="44615A3C"/>
    <w:rsid w:val="446C51C1"/>
    <w:rsid w:val="447D4F51"/>
    <w:rsid w:val="44870588"/>
    <w:rsid w:val="44944ABA"/>
    <w:rsid w:val="44996C27"/>
    <w:rsid w:val="449C72E5"/>
    <w:rsid w:val="44A819E0"/>
    <w:rsid w:val="44AB6CB7"/>
    <w:rsid w:val="44B951CC"/>
    <w:rsid w:val="44BF09B5"/>
    <w:rsid w:val="44C4421D"/>
    <w:rsid w:val="44CD14E0"/>
    <w:rsid w:val="44CE1AA2"/>
    <w:rsid w:val="44E54DA5"/>
    <w:rsid w:val="44E804F4"/>
    <w:rsid w:val="44E87F0C"/>
    <w:rsid w:val="44F20B0B"/>
    <w:rsid w:val="44F66A85"/>
    <w:rsid w:val="44FE7E30"/>
    <w:rsid w:val="45081E3C"/>
    <w:rsid w:val="451718D2"/>
    <w:rsid w:val="45181BA1"/>
    <w:rsid w:val="45195F3C"/>
    <w:rsid w:val="451968AA"/>
    <w:rsid w:val="452E5F4C"/>
    <w:rsid w:val="45301BFF"/>
    <w:rsid w:val="453F5652"/>
    <w:rsid w:val="45435142"/>
    <w:rsid w:val="45557AB0"/>
    <w:rsid w:val="45612018"/>
    <w:rsid w:val="45696925"/>
    <w:rsid w:val="456B16B7"/>
    <w:rsid w:val="456F6769"/>
    <w:rsid w:val="45765517"/>
    <w:rsid w:val="4582210E"/>
    <w:rsid w:val="458946E9"/>
    <w:rsid w:val="458A5CD0"/>
    <w:rsid w:val="45921C25"/>
    <w:rsid w:val="459D2FC6"/>
    <w:rsid w:val="45A47C0E"/>
    <w:rsid w:val="45CA72B2"/>
    <w:rsid w:val="45CC15DB"/>
    <w:rsid w:val="45D037C6"/>
    <w:rsid w:val="45DA76F6"/>
    <w:rsid w:val="45E306D3"/>
    <w:rsid w:val="45EB424F"/>
    <w:rsid w:val="461A095E"/>
    <w:rsid w:val="46276812"/>
    <w:rsid w:val="462D713C"/>
    <w:rsid w:val="4634253F"/>
    <w:rsid w:val="46386C71"/>
    <w:rsid w:val="463C0232"/>
    <w:rsid w:val="464356EF"/>
    <w:rsid w:val="46436BD8"/>
    <w:rsid w:val="46492C2C"/>
    <w:rsid w:val="464F7B16"/>
    <w:rsid w:val="46577FD6"/>
    <w:rsid w:val="46642F21"/>
    <w:rsid w:val="468F2FC2"/>
    <w:rsid w:val="46935C55"/>
    <w:rsid w:val="46A64AD2"/>
    <w:rsid w:val="46A936CA"/>
    <w:rsid w:val="46B212AE"/>
    <w:rsid w:val="46B74AA9"/>
    <w:rsid w:val="46BD6D53"/>
    <w:rsid w:val="46C06CD0"/>
    <w:rsid w:val="46C379E8"/>
    <w:rsid w:val="46C823CD"/>
    <w:rsid w:val="46D14327"/>
    <w:rsid w:val="46D178D7"/>
    <w:rsid w:val="46D430CB"/>
    <w:rsid w:val="46D75EBB"/>
    <w:rsid w:val="46D955A7"/>
    <w:rsid w:val="46DA1AD6"/>
    <w:rsid w:val="46E14C12"/>
    <w:rsid w:val="46E717E5"/>
    <w:rsid w:val="46EB6B34"/>
    <w:rsid w:val="46F21A2C"/>
    <w:rsid w:val="46F47F03"/>
    <w:rsid w:val="46F72688"/>
    <w:rsid w:val="46F96139"/>
    <w:rsid w:val="46FC3F7C"/>
    <w:rsid w:val="46FD57C4"/>
    <w:rsid w:val="470159C5"/>
    <w:rsid w:val="47133957"/>
    <w:rsid w:val="47153174"/>
    <w:rsid w:val="4716429C"/>
    <w:rsid w:val="471C7016"/>
    <w:rsid w:val="473A07C7"/>
    <w:rsid w:val="4746716B"/>
    <w:rsid w:val="47475A18"/>
    <w:rsid w:val="47555600"/>
    <w:rsid w:val="47590C4D"/>
    <w:rsid w:val="475D0DE5"/>
    <w:rsid w:val="47600821"/>
    <w:rsid w:val="476115CC"/>
    <w:rsid w:val="4766336A"/>
    <w:rsid w:val="476D294A"/>
    <w:rsid w:val="476F0470"/>
    <w:rsid w:val="47783FB7"/>
    <w:rsid w:val="477C2D1A"/>
    <w:rsid w:val="478A34FC"/>
    <w:rsid w:val="479223B1"/>
    <w:rsid w:val="47973ACF"/>
    <w:rsid w:val="479954ED"/>
    <w:rsid w:val="479F062A"/>
    <w:rsid w:val="47A07E0C"/>
    <w:rsid w:val="47A7326D"/>
    <w:rsid w:val="47B440D5"/>
    <w:rsid w:val="47BE6D02"/>
    <w:rsid w:val="47C84E6A"/>
    <w:rsid w:val="47CD750D"/>
    <w:rsid w:val="47D604EF"/>
    <w:rsid w:val="47EC7D13"/>
    <w:rsid w:val="47F83481"/>
    <w:rsid w:val="47FB489E"/>
    <w:rsid w:val="47FE1A9F"/>
    <w:rsid w:val="48096C2B"/>
    <w:rsid w:val="480E4FF0"/>
    <w:rsid w:val="482D5DE5"/>
    <w:rsid w:val="4842701E"/>
    <w:rsid w:val="484C6A03"/>
    <w:rsid w:val="484F14E5"/>
    <w:rsid w:val="48594ED8"/>
    <w:rsid w:val="48596132"/>
    <w:rsid w:val="48651163"/>
    <w:rsid w:val="486A55B0"/>
    <w:rsid w:val="4870272E"/>
    <w:rsid w:val="487A2200"/>
    <w:rsid w:val="487B4BF3"/>
    <w:rsid w:val="488B752C"/>
    <w:rsid w:val="488F069E"/>
    <w:rsid w:val="48981C49"/>
    <w:rsid w:val="48A459CB"/>
    <w:rsid w:val="48B14AB8"/>
    <w:rsid w:val="48BB76E5"/>
    <w:rsid w:val="48CA3FB2"/>
    <w:rsid w:val="48E628C8"/>
    <w:rsid w:val="48E704DA"/>
    <w:rsid w:val="48EC1FAC"/>
    <w:rsid w:val="48F22448"/>
    <w:rsid w:val="48FB5D34"/>
    <w:rsid w:val="48FC42DF"/>
    <w:rsid w:val="48FD33F2"/>
    <w:rsid w:val="49324A3A"/>
    <w:rsid w:val="49351B44"/>
    <w:rsid w:val="4936071F"/>
    <w:rsid w:val="493B3ABD"/>
    <w:rsid w:val="49430FCD"/>
    <w:rsid w:val="495C728A"/>
    <w:rsid w:val="49643499"/>
    <w:rsid w:val="497E13D0"/>
    <w:rsid w:val="49885819"/>
    <w:rsid w:val="498966DE"/>
    <w:rsid w:val="499248EA"/>
    <w:rsid w:val="49935E76"/>
    <w:rsid w:val="499B509C"/>
    <w:rsid w:val="499C322E"/>
    <w:rsid w:val="49A423D4"/>
    <w:rsid w:val="49B656C8"/>
    <w:rsid w:val="49C64593"/>
    <w:rsid w:val="49CD76D0"/>
    <w:rsid w:val="49D1306C"/>
    <w:rsid w:val="49DC7715"/>
    <w:rsid w:val="49E025C6"/>
    <w:rsid w:val="49E17E23"/>
    <w:rsid w:val="49F92273"/>
    <w:rsid w:val="49F95E39"/>
    <w:rsid w:val="4A023139"/>
    <w:rsid w:val="4A0B01F8"/>
    <w:rsid w:val="4A0F7884"/>
    <w:rsid w:val="4A11635D"/>
    <w:rsid w:val="4A1D0BCF"/>
    <w:rsid w:val="4A2117CA"/>
    <w:rsid w:val="4A2C70DC"/>
    <w:rsid w:val="4A3B0ADD"/>
    <w:rsid w:val="4A4E6A63"/>
    <w:rsid w:val="4A5710FE"/>
    <w:rsid w:val="4A5D5A18"/>
    <w:rsid w:val="4A5D6AB6"/>
    <w:rsid w:val="4A6672E3"/>
    <w:rsid w:val="4A7B576F"/>
    <w:rsid w:val="4A844F82"/>
    <w:rsid w:val="4A8C2351"/>
    <w:rsid w:val="4A9216BB"/>
    <w:rsid w:val="4A993A56"/>
    <w:rsid w:val="4A9D3546"/>
    <w:rsid w:val="4AA907F0"/>
    <w:rsid w:val="4AAA4A8B"/>
    <w:rsid w:val="4AB719C7"/>
    <w:rsid w:val="4AC00FE3"/>
    <w:rsid w:val="4AC37D92"/>
    <w:rsid w:val="4AC42881"/>
    <w:rsid w:val="4AC62A9D"/>
    <w:rsid w:val="4AC77F3D"/>
    <w:rsid w:val="4ACD528D"/>
    <w:rsid w:val="4AD2493D"/>
    <w:rsid w:val="4ADD3454"/>
    <w:rsid w:val="4AF561A9"/>
    <w:rsid w:val="4B021DDA"/>
    <w:rsid w:val="4B094738"/>
    <w:rsid w:val="4B137364"/>
    <w:rsid w:val="4B1C090F"/>
    <w:rsid w:val="4B1F0280"/>
    <w:rsid w:val="4B250B93"/>
    <w:rsid w:val="4B2934C1"/>
    <w:rsid w:val="4B31299F"/>
    <w:rsid w:val="4B313C8F"/>
    <w:rsid w:val="4B3317B5"/>
    <w:rsid w:val="4B331905"/>
    <w:rsid w:val="4B412124"/>
    <w:rsid w:val="4B437247"/>
    <w:rsid w:val="4B4823A0"/>
    <w:rsid w:val="4B582F38"/>
    <w:rsid w:val="4B691887"/>
    <w:rsid w:val="4B6E6C91"/>
    <w:rsid w:val="4B87106E"/>
    <w:rsid w:val="4B9432C3"/>
    <w:rsid w:val="4B9476EB"/>
    <w:rsid w:val="4B9F4F68"/>
    <w:rsid w:val="4BA910FF"/>
    <w:rsid w:val="4BAD1A4B"/>
    <w:rsid w:val="4BC73523"/>
    <w:rsid w:val="4BD1368E"/>
    <w:rsid w:val="4BDE2F96"/>
    <w:rsid w:val="4BE64682"/>
    <w:rsid w:val="4BEB02E1"/>
    <w:rsid w:val="4BEE4F2B"/>
    <w:rsid w:val="4C0F597B"/>
    <w:rsid w:val="4C215AB1"/>
    <w:rsid w:val="4C2F0F0C"/>
    <w:rsid w:val="4C3A1207"/>
    <w:rsid w:val="4C3C53CD"/>
    <w:rsid w:val="4C4579F1"/>
    <w:rsid w:val="4C474CF8"/>
    <w:rsid w:val="4C4A0649"/>
    <w:rsid w:val="4C4C3C50"/>
    <w:rsid w:val="4C5145E8"/>
    <w:rsid w:val="4C5861AE"/>
    <w:rsid w:val="4C5E0AB3"/>
    <w:rsid w:val="4C6F4CB4"/>
    <w:rsid w:val="4C743C7B"/>
    <w:rsid w:val="4C7C7EA6"/>
    <w:rsid w:val="4C7E5ECA"/>
    <w:rsid w:val="4C876AA5"/>
    <w:rsid w:val="4C910E89"/>
    <w:rsid w:val="4C96649F"/>
    <w:rsid w:val="4C9B2A01"/>
    <w:rsid w:val="4CB540D2"/>
    <w:rsid w:val="4CBB5F06"/>
    <w:rsid w:val="4CBB7113"/>
    <w:rsid w:val="4CC03575"/>
    <w:rsid w:val="4CC360D7"/>
    <w:rsid w:val="4CCB3BFB"/>
    <w:rsid w:val="4CD10FE6"/>
    <w:rsid w:val="4CF51418"/>
    <w:rsid w:val="4CFA1020"/>
    <w:rsid w:val="4CFA4C80"/>
    <w:rsid w:val="4D0D2968"/>
    <w:rsid w:val="4D0E00FB"/>
    <w:rsid w:val="4D0F0227"/>
    <w:rsid w:val="4D115B26"/>
    <w:rsid w:val="4D143B3C"/>
    <w:rsid w:val="4D176606"/>
    <w:rsid w:val="4D263A3B"/>
    <w:rsid w:val="4D2A079A"/>
    <w:rsid w:val="4D306AD1"/>
    <w:rsid w:val="4D316D9A"/>
    <w:rsid w:val="4D4C306B"/>
    <w:rsid w:val="4D4E58BB"/>
    <w:rsid w:val="4D551EB6"/>
    <w:rsid w:val="4D5D1643"/>
    <w:rsid w:val="4D673998"/>
    <w:rsid w:val="4D752558"/>
    <w:rsid w:val="4D7C7570"/>
    <w:rsid w:val="4D821D84"/>
    <w:rsid w:val="4D880FB4"/>
    <w:rsid w:val="4D961FE9"/>
    <w:rsid w:val="4DBA61BD"/>
    <w:rsid w:val="4DBE5CAD"/>
    <w:rsid w:val="4DCD5EF0"/>
    <w:rsid w:val="4DEC4FB0"/>
    <w:rsid w:val="4E05233D"/>
    <w:rsid w:val="4E075D8A"/>
    <w:rsid w:val="4E0D453F"/>
    <w:rsid w:val="4E1016F8"/>
    <w:rsid w:val="4E131916"/>
    <w:rsid w:val="4E21623C"/>
    <w:rsid w:val="4E257ADB"/>
    <w:rsid w:val="4E2D6C92"/>
    <w:rsid w:val="4E3027C5"/>
    <w:rsid w:val="4E34336A"/>
    <w:rsid w:val="4E350FF4"/>
    <w:rsid w:val="4E3E0B9C"/>
    <w:rsid w:val="4E465CA3"/>
    <w:rsid w:val="4E5E531F"/>
    <w:rsid w:val="4E66506C"/>
    <w:rsid w:val="4E6B61D2"/>
    <w:rsid w:val="4E742810"/>
    <w:rsid w:val="4E806A52"/>
    <w:rsid w:val="4E842AFA"/>
    <w:rsid w:val="4E8B45BF"/>
    <w:rsid w:val="4E8E2842"/>
    <w:rsid w:val="4E922C96"/>
    <w:rsid w:val="4E9253DB"/>
    <w:rsid w:val="4E973B06"/>
    <w:rsid w:val="4EA46C01"/>
    <w:rsid w:val="4EA50C1B"/>
    <w:rsid w:val="4EBC7D13"/>
    <w:rsid w:val="4EC00FAD"/>
    <w:rsid w:val="4EC34E8A"/>
    <w:rsid w:val="4ED21656"/>
    <w:rsid w:val="4ED35FB1"/>
    <w:rsid w:val="4EDC52B5"/>
    <w:rsid w:val="4EDE5BC3"/>
    <w:rsid w:val="4EDE7885"/>
    <w:rsid w:val="4EE86068"/>
    <w:rsid w:val="4EEF1CFC"/>
    <w:rsid w:val="4EF53F8D"/>
    <w:rsid w:val="4F012831"/>
    <w:rsid w:val="4F047B17"/>
    <w:rsid w:val="4F075FBA"/>
    <w:rsid w:val="4F133DD7"/>
    <w:rsid w:val="4F146F89"/>
    <w:rsid w:val="4F2325A9"/>
    <w:rsid w:val="4F2359E4"/>
    <w:rsid w:val="4F251D5C"/>
    <w:rsid w:val="4F2B756B"/>
    <w:rsid w:val="4F2D041A"/>
    <w:rsid w:val="4F356BD3"/>
    <w:rsid w:val="4F457287"/>
    <w:rsid w:val="4F460D73"/>
    <w:rsid w:val="4F552641"/>
    <w:rsid w:val="4F597DE0"/>
    <w:rsid w:val="4F5E1C8E"/>
    <w:rsid w:val="4F6F1987"/>
    <w:rsid w:val="4F74499E"/>
    <w:rsid w:val="4F7F2660"/>
    <w:rsid w:val="4F824AB9"/>
    <w:rsid w:val="4F8F581A"/>
    <w:rsid w:val="4F935C93"/>
    <w:rsid w:val="4F9843DC"/>
    <w:rsid w:val="4FA179DB"/>
    <w:rsid w:val="4FA80708"/>
    <w:rsid w:val="4FAB2261"/>
    <w:rsid w:val="4FB21842"/>
    <w:rsid w:val="4FB5359A"/>
    <w:rsid w:val="4FB56C3C"/>
    <w:rsid w:val="4FB70C06"/>
    <w:rsid w:val="4FB758F2"/>
    <w:rsid w:val="4FBD3DCF"/>
    <w:rsid w:val="4FC62A8C"/>
    <w:rsid w:val="4FCD667C"/>
    <w:rsid w:val="4FD35BDF"/>
    <w:rsid w:val="4FDC2AFF"/>
    <w:rsid w:val="4FE20F0D"/>
    <w:rsid w:val="4FE30908"/>
    <w:rsid w:val="4FE51552"/>
    <w:rsid w:val="4FE70635"/>
    <w:rsid w:val="4FE81D44"/>
    <w:rsid w:val="4FE93850"/>
    <w:rsid w:val="4FEC79B3"/>
    <w:rsid w:val="4FF013A4"/>
    <w:rsid w:val="4FFB5D87"/>
    <w:rsid w:val="4FFE3FA0"/>
    <w:rsid w:val="500148F5"/>
    <w:rsid w:val="501855CF"/>
    <w:rsid w:val="50382FA5"/>
    <w:rsid w:val="503904DA"/>
    <w:rsid w:val="504636A1"/>
    <w:rsid w:val="50504C4B"/>
    <w:rsid w:val="505115BC"/>
    <w:rsid w:val="505A5A36"/>
    <w:rsid w:val="505B1B68"/>
    <w:rsid w:val="506F1210"/>
    <w:rsid w:val="50700DB5"/>
    <w:rsid w:val="50762B1F"/>
    <w:rsid w:val="508F11E2"/>
    <w:rsid w:val="509C6E7C"/>
    <w:rsid w:val="509D6294"/>
    <w:rsid w:val="509E1DC6"/>
    <w:rsid w:val="50A26264"/>
    <w:rsid w:val="50A3118B"/>
    <w:rsid w:val="50B87E7A"/>
    <w:rsid w:val="50B909AE"/>
    <w:rsid w:val="50CF1F80"/>
    <w:rsid w:val="50D62444"/>
    <w:rsid w:val="50D70E34"/>
    <w:rsid w:val="50DD28EE"/>
    <w:rsid w:val="50E960C0"/>
    <w:rsid w:val="50EC0D83"/>
    <w:rsid w:val="50ED124F"/>
    <w:rsid w:val="50FC4BB4"/>
    <w:rsid w:val="5100482F"/>
    <w:rsid w:val="51021035"/>
    <w:rsid w:val="51053BF3"/>
    <w:rsid w:val="5107796B"/>
    <w:rsid w:val="51212427"/>
    <w:rsid w:val="51257BC8"/>
    <w:rsid w:val="51280258"/>
    <w:rsid w:val="512F6EC2"/>
    <w:rsid w:val="51344E1D"/>
    <w:rsid w:val="513D65D6"/>
    <w:rsid w:val="513E2C61"/>
    <w:rsid w:val="513F7105"/>
    <w:rsid w:val="51473F4C"/>
    <w:rsid w:val="514A5AAA"/>
    <w:rsid w:val="51521511"/>
    <w:rsid w:val="51547D5C"/>
    <w:rsid w:val="51557614"/>
    <w:rsid w:val="5159425D"/>
    <w:rsid w:val="5162104E"/>
    <w:rsid w:val="516755A3"/>
    <w:rsid w:val="51735001"/>
    <w:rsid w:val="5176064D"/>
    <w:rsid w:val="518045A2"/>
    <w:rsid w:val="51830828"/>
    <w:rsid w:val="5183760E"/>
    <w:rsid w:val="51870AAC"/>
    <w:rsid w:val="518965D2"/>
    <w:rsid w:val="518C1C1F"/>
    <w:rsid w:val="518E714C"/>
    <w:rsid w:val="519F5DF6"/>
    <w:rsid w:val="51A0391C"/>
    <w:rsid w:val="51A90A23"/>
    <w:rsid w:val="51B06109"/>
    <w:rsid w:val="51BC767A"/>
    <w:rsid w:val="51C352D3"/>
    <w:rsid w:val="51C55131"/>
    <w:rsid w:val="51D23371"/>
    <w:rsid w:val="51E23F34"/>
    <w:rsid w:val="51E25CE3"/>
    <w:rsid w:val="51E41A5B"/>
    <w:rsid w:val="51E7154B"/>
    <w:rsid w:val="51E84588"/>
    <w:rsid w:val="51E97071"/>
    <w:rsid w:val="51F609BC"/>
    <w:rsid w:val="51FA2B0C"/>
    <w:rsid w:val="520204BF"/>
    <w:rsid w:val="52063FB7"/>
    <w:rsid w:val="52195BA8"/>
    <w:rsid w:val="52287B99"/>
    <w:rsid w:val="52440D81"/>
    <w:rsid w:val="524D6DE4"/>
    <w:rsid w:val="52513808"/>
    <w:rsid w:val="525540CC"/>
    <w:rsid w:val="52561F2C"/>
    <w:rsid w:val="52567651"/>
    <w:rsid w:val="52587229"/>
    <w:rsid w:val="525D0B7C"/>
    <w:rsid w:val="525F1677"/>
    <w:rsid w:val="5274622A"/>
    <w:rsid w:val="527728CF"/>
    <w:rsid w:val="5277371D"/>
    <w:rsid w:val="527A2A72"/>
    <w:rsid w:val="527A37D2"/>
    <w:rsid w:val="52800B40"/>
    <w:rsid w:val="528D5C4E"/>
    <w:rsid w:val="528F2959"/>
    <w:rsid w:val="528F5E6A"/>
    <w:rsid w:val="52971338"/>
    <w:rsid w:val="52A0350F"/>
    <w:rsid w:val="52A7651D"/>
    <w:rsid w:val="52A82A88"/>
    <w:rsid w:val="52AC116A"/>
    <w:rsid w:val="52C8312A"/>
    <w:rsid w:val="52E448CC"/>
    <w:rsid w:val="531A2098"/>
    <w:rsid w:val="531D3476"/>
    <w:rsid w:val="531E38DF"/>
    <w:rsid w:val="53202F66"/>
    <w:rsid w:val="53330B58"/>
    <w:rsid w:val="53332C9A"/>
    <w:rsid w:val="53407165"/>
    <w:rsid w:val="53446E80"/>
    <w:rsid w:val="53560736"/>
    <w:rsid w:val="53760DD8"/>
    <w:rsid w:val="537961D3"/>
    <w:rsid w:val="53861910"/>
    <w:rsid w:val="53966D85"/>
    <w:rsid w:val="53984AFF"/>
    <w:rsid w:val="53A039CC"/>
    <w:rsid w:val="53A1505A"/>
    <w:rsid w:val="53B212BA"/>
    <w:rsid w:val="53B2326A"/>
    <w:rsid w:val="53B611D5"/>
    <w:rsid w:val="53C402D2"/>
    <w:rsid w:val="53C9715A"/>
    <w:rsid w:val="53E7166F"/>
    <w:rsid w:val="53EB3A8C"/>
    <w:rsid w:val="53EB70D0"/>
    <w:rsid w:val="53EF2075"/>
    <w:rsid w:val="53F51CFD"/>
    <w:rsid w:val="53FC3E0F"/>
    <w:rsid w:val="540208BE"/>
    <w:rsid w:val="54063E08"/>
    <w:rsid w:val="5408687A"/>
    <w:rsid w:val="54102FDB"/>
    <w:rsid w:val="54104D89"/>
    <w:rsid w:val="5410626F"/>
    <w:rsid w:val="54136627"/>
    <w:rsid w:val="54163CB6"/>
    <w:rsid w:val="54316AAD"/>
    <w:rsid w:val="543437E8"/>
    <w:rsid w:val="543F6C4E"/>
    <w:rsid w:val="544428ED"/>
    <w:rsid w:val="5458228C"/>
    <w:rsid w:val="545B5F53"/>
    <w:rsid w:val="54686FE7"/>
    <w:rsid w:val="546C42E8"/>
    <w:rsid w:val="547B120B"/>
    <w:rsid w:val="5484445C"/>
    <w:rsid w:val="549B3372"/>
    <w:rsid w:val="54A159E1"/>
    <w:rsid w:val="54B239C1"/>
    <w:rsid w:val="54BC281B"/>
    <w:rsid w:val="54DE2983"/>
    <w:rsid w:val="54E318A4"/>
    <w:rsid w:val="54F40207"/>
    <w:rsid w:val="54F73313"/>
    <w:rsid w:val="54F80955"/>
    <w:rsid w:val="54FF02B0"/>
    <w:rsid w:val="54FF4326"/>
    <w:rsid w:val="55012924"/>
    <w:rsid w:val="550541C2"/>
    <w:rsid w:val="550913B9"/>
    <w:rsid w:val="551B449E"/>
    <w:rsid w:val="55222FC6"/>
    <w:rsid w:val="5525735A"/>
    <w:rsid w:val="552C2A1F"/>
    <w:rsid w:val="55340586"/>
    <w:rsid w:val="553B1614"/>
    <w:rsid w:val="553D6FE1"/>
    <w:rsid w:val="554B2B28"/>
    <w:rsid w:val="554E7BE7"/>
    <w:rsid w:val="555142DE"/>
    <w:rsid w:val="555170A7"/>
    <w:rsid w:val="555939FA"/>
    <w:rsid w:val="556204AD"/>
    <w:rsid w:val="55684BE4"/>
    <w:rsid w:val="556A2277"/>
    <w:rsid w:val="556F1F83"/>
    <w:rsid w:val="5587536D"/>
    <w:rsid w:val="558C043F"/>
    <w:rsid w:val="559317CE"/>
    <w:rsid w:val="559A7000"/>
    <w:rsid w:val="559B174B"/>
    <w:rsid w:val="559D43FA"/>
    <w:rsid w:val="55A3444E"/>
    <w:rsid w:val="55CC2F32"/>
    <w:rsid w:val="55CE0CF4"/>
    <w:rsid w:val="55D35304"/>
    <w:rsid w:val="55D50038"/>
    <w:rsid w:val="55D87B28"/>
    <w:rsid w:val="55F71479"/>
    <w:rsid w:val="56014761"/>
    <w:rsid w:val="5618155C"/>
    <w:rsid w:val="561C60A4"/>
    <w:rsid w:val="56206DD9"/>
    <w:rsid w:val="56290384"/>
    <w:rsid w:val="56307C04"/>
    <w:rsid w:val="563B4D94"/>
    <w:rsid w:val="563F54B2"/>
    <w:rsid w:val="56625644"/>
    <w:rsid w:val="5662572B"/>
    <w:rsid w:val="56757125"/>
    <w:rsid w:val="56837A94"/>
    <w:rsid w:val="568D0913"/>
    <w:rsid w:val="568E4AEE"/>
    <w:rsid w:val="56961F73"/>
    <w:rsid w:val="569A3030"/>
    <w:rsid w:val="56B22A9C"/>
    <w:rsid w:val="56B97EDA"/>
    <w:rsid w:val="56BD398F"/>
    <w:rsid w:val="56BF6179"/>
    <w:rsid w:val="56C358D0"/>
    <w:rsid w:val="56D35134"/>
    <w:rsid w:val="56E04EE6"/>
    <w:rsid w:val="56F37B59"/>
    <w:rsid w:val="56F444EE"/>
    <w:rsid w:val="571378BA"/>
    <w:rsid w:val="57174680"/>
    <w:rsid w:val="57212E09"/>
    <w:rsid w:val="57222857"/>
    <w:rsid w:val="57252BC9"/>
    <w:rsid w:val="5726041F"/>
    <w:rsid w:val="572E5D8E"/>
    <w:rsid w:val="57323268"/>
    <w:rsid w:val="573E7309"/>
    <w:rsid w:val="57452F9B"/>
    <w:rsid w:val="577613A7"/>
    <w:rsid w:val="577E6C63"/>
    <w:rsid w:val="578515EA"/>
    <w:rsid w:val="5789732C"/>
    <w:rsid w:val="57966E83"/>
    <w:rsid w:val="579F12EB"/>
    <w:rsid w:val="57A23017"/>
    <w:rsid w:val="57A37CC2"/>
    <w:rsid w:val="57AC560A"/>
    <w:rsid w:val="57B72A76"/>
    <w:rsid w:val="57C14CCB"/>
    <w:rsid w:val="57C22E0F"/>
    <w:rsid w:val="57C3426C"/>
    <w:rsid w:val="57CE1F93"/>
    <w:rsid w:val="57CF0316"/>
    <w:rsid w:val="57D17C19"/>
    <w:rsid w:val="57DF5708"/>
    <w:rsid w:val="57F329F7"/>
    <w:rsid w:val="57F95B34"/>
    <w:rsid w:val="581004A3"/>
    <w:rsid w:val="5813073F"/>
    <w:rsid w:val="58133B49"/>
    <w:rsid w:val="581537D7"/>
    <w:rsid w:val="58172812"/>
    <w:rsid w:val="582726A1"/>
    <w:rsid w:val="583074EB"/>
    <w:rsid w:val="583628E4"/>
    <w:rsid w:val="583A2C85"/>
    <w:rsid w:val="583A6878"/>
    <w:rsid w:val="583E6A29"/>
    <w:rsid w:val="58492617"/>
    <w:rsid w:val="58532532"/>
    <w:rsid w:val="58687727"/>
    <w:rsid w:val="586C6306"/>
    <w:rsid w:val="58714B22"/>
    <w:rsid w:val="58727DC0"/>
    <w:rsid w:val="58773629"/>
    <w:rsid w:val="587753D7"/>
    <w:rsid w:val="58810003"/>
    <w:rsid w:val="588743D1"/>
    <w:rsid w:val="5887701A"/>
    <w:rsid w:val="589908B0"/>
    <w:rsid w:val="589C4E3D"/>
    <w:rsid w:val="58A46944"/>
    <w:rsid w:val="58B23A2B"/>
    <w:rsid w:val="58B63D67"/>
    <w:rsid w:val="58B8779D"/>
    <w:rsid w:val="58B97119"/>
    <w:rsid w:val="58BC4257"/>
    <w:rsid w:val="58C47EF0"/>
    <w:rsid w:val="58C75206"/>
    <w:rsid w:val="58D16E92"/>
    <w:rsid w:val="58E660B8"/>
    <w:rsid w:val="58EB36CF"/>
    <w:rsid w:val="58EB7C2E"/>
    <w:rsid w:val="58FD66CC"/>
    <w:rsid w:val="59011144"/>
    <w:rsid w:val="59016B7B"/>
    <w:rsid w:val="590649AC"/>
    <w:rsid w:val="590B694D"/>
    <w:rsid w:val="5912192E"/>
    <w:rsid w:val="592869DF"/>
    <w:rsid w:val="592A069B"/>
    <w:rsid w:val="593626CC"/>
    <w:rsid w:val="594004B8"/>
    <w:rsid w:val="594352B9"/>
    <w:rsid w:val="59462FFB"/>
    <w:rsid w:val="59464DA9"/>
    <w:rsid w:val="594828CF"/>
    <w:rsid w:val="595472C7"/>
    <w:rsid w:val="59554FEC"/>
    <w:rsid w:val="59576FB6"/>
    <w:rsid w:val="596D67DA"/>
    <w:rsid w:val="5979041E"/>
    <w:rsid w:val="597A4688"/>
    <w:rsid w:val="598315AA"/>
    <w:rsid w:val="599555BB"/>
    <w:rsid w:val="59986BC5"/>
    <w:rsid w:val="599C3422"/>
    <w:rsid w:val="59B63CDD"/>
    <w:rsid w:val="59B92547"/>
    <w:rsid w:val="59BA0742"/>
    <w:rsid w:val="59BA6938"/>
    <w:rsid w:val="59C0439F"/>
    <w:rsid w:val="59C538B7"/>
    <w:rsid w:val="59C63AA3"/>
    <w:rsid w:val="59D33BC3"/>
    <w:rsid w:val="59D4329C"/>
    <w:rsid w:val="59DF0A6B"/>
    <w:rsid w:val="59F760A3"/>
    <w:rsid w:val="5A004D68"/>
    <w:rsid w:val="5A0A6E74"/>
    <w:rsid w:val="5A1B0261"/>
    <w:rsid w:val="5A202956"/>
    <w:rsid w:val="5A2E2F94"/>
    <w:rsid w:val="5A2F3A8F"/>
    <w:rsid w:val="5A33752B"/>
    <w:rsid w:val="5A352689"/>
    <w:rsid w:val="5A386DE8"/>
    <w:rsid w:val="5A3F63B2"/>
    <w:rsid w:val="5A41494F"/>
    <w:rsid w:val="5A420ACE"/>
    <w:rsid w:val="5A4C63EF"/>
    <w:rsid w:val="5A4C7052"/>
    <w:rsid w:val="5A511C57"/>
    <w:rsid w:val="5A63252C"/>
    <w:rsid w:val="5A821E11"/>
    <w:rsid w:val="5A937FAD"/>
    <w:rsid w:val="5A95048F"/>
    <w:rsid w:val="5AA158D0"/>
    <w:rsid w:val="5AA86949"/>
    <w:rsid w:val="5AB239AE"/>
    <w:rsid w:val="5AB5668E"/>
    <w:rsid w:val="5AB80791"/>
    <w:rsid w:val="5AB97BDF"/>
    <w:rsid w:val="5ABE2233"/>
    <w:rsid w:val="5ACF082B"/>
    <w:rsid w:val="5AE150BC"/>
    <w:rsid w:val="5AE343C0"/>
    <w:rsid w:val="5AE42ACB"/>
    <w:rsid w:val="5AEA0248"/>
    <w:rsid w:val="5AEC47B8"/>
    <w:rsid w:val="5B075C0B"/>
    <w:rsid w:val="5B084D83"/>
    <w:rsid w:val="5B123195"/>
    <w:rsid w:val="5B1A6300"/>
    <w:rsid w:val="5B266C40"/>
    <w:rsid w:val="5B352978"/>
    <w:rsid w:val="5B3D71E8"/>
    <w:rsid w:val="5B447C4C"/>
    <w:rsid w:val="5B4902E9"/>
    <w:rsid w:val="5B590DC3"/>
    <w:rsid w:val="5B6854AA"/>
    <w:rsid w:val="5B6E19CE"/>
    <w:rsid w:val="5B873095"/>
    <w:rsid w:val="5B995664"/>
    <w:rsid w:val="5BAF1FDD"/>
    <w:rsid w:val="5BB029AE"/>
    <w:rsid w:val="5BB02E6A"/>
    <w:rsid w:val="5BB704E6"/>
    <w:rsid w:val="5BBB7CD0"/>
    <w:rsid w:val="5BBD389F"/>
    <w:rsid w:val="5BCD65DB"/>
    <w:rsid w:val="5BD20B76"/>
    <w:rsid w:val="5BDF5D95"/>
    <w:rsid w:val="5BE014E5"/>
    <w:rsid w:val="5BF6102F"/>
    <w:rsid w:val="5BFE7528"/>
    <w:rsid w:val="5C064328"/>
    <w:rsid w:val="5C0E5CE8"/>
    <w:rsid w:val="5C101C61"/>
    <w:rsid w:val="5C1D5425"/>
    <w:rsid w:val="5C312704"/>
    <w:rsid w:val="5C3435DF"/>
    <w:rsid w:val="5C3F5736"/>
    <w:rsid w:val="5C437350"/>
    <w:rsid w:val="5C49708A"/>
    <w:rsid w:val="5C4C0928"/>
    <w:rsid w:val="5C52018D"/>
    <w:rsid w:val="5C58525A"/>
    <w:rsid w:val="5C6306C5"/>
    <w:rsid w:val="5C677510"/>
    <w:rsid w:val="5C6E2DE7"/>
    <w:rsid w:val="5C7066A6"/>
    <w:rsid w:val="5C797243"/>
    <w:rsid w:val="5C7C24A3"/>
    <w:rsid w:val="5C855BE8"/>
    <w:rsid w:val="5C9B6C7F"/>
    <w:rsid w:val="5CA72002"/>
    <w:rsid w:val="5CA75504"/>
    <w:rsid w:val="5CAC7619"/>
    <w:rsid w:val="5CB80522"/>
    <w:rsid w:val="5CC93D27"/>
    <w:rsid w:val="5CCF5BFA"/>
    <w:rsid w:val="5CDC7BBA"/>
    <w:rsid w:val="5D1D4073"/>
    <w:rsid w:val="5D372417"/>
    <w:rsid w:val="5D376466"/>
    <w:rsid w:val="5D3C6BEF"/>
    <w:rsid w:val="5D3E209D"/>
    <w:rsid w:val="5D416C13"/>
    <w:rsid w:val="5D521B96"/>
    <w:rsid w:val="5D5932FD"/>
    <w:rsid w:val="5D5D7C0F"/>
    <w:rsid w:val="5D5E0913"/>
    <w:rsid w:val="5D844188"/>
    <w:rsid w:val="5D870AB5"/>
    <w:rsid w:val="5D8A795A"/>
    <w:rsid w:val="5D8D3BCE"/>
    <w:rsid w:val="5D8F31C2"/>
    <w:rsid w:val="5D8F4F70"/>
    <w:rsid w:val="5D92680F"/>
    <w:rsid w:val="5D9E1657"/>
    <w:rsid w:val="5DA56542"/>
    <w:rsid w:val="5DAB167E"/>
    <w:rsid w:val="5DB04EE7"/>
    <w:rsid w:val="5DB1138B"/>
    <w:rsid w:val="5DB70023"/>
    <w:rsid w:val="5DBC7F26"/>
    <w:rsid w:val="5DC45D90"/>
    <w:rsid w:val="5DC73375"/>
    <w:rsid w:val="5DCA244C"/>
    <w:rsid w:val="5DD611EF"/>
    <w:rsid w:val="5DDC3F2E"/>
    <w:rsid w:val="5DE0757A"/>
    <w:rsid w:val="5DE3706A"/>
    <w:rsid w:val="5E0454F9"/>
    <w:rsid w:val="5E17165D"/>
    <w:rsid w:val="5E17595B"/>
    <w:rsid w:val="5E2467F1"/>
    <w:rsid w:val="5E337FF2"/>
    <w:rsid w:val="5E357F5B"/>
    <w:rsid w:val="5E366720"/>
    <w:rsid w:val="5E3A0918"/>
    <w:rsid w:val="5E4B59FB"/>
    <w:rsid w:val="5E6B713E"/>
    <w:rsid w:val="5E723056"/>
    <w:rsid w:val="5E767EDE"/>
    <w:rsid w:val="5E7E5A19"/>
    <w:rsid w:val="5E806603"/>
    <w:rsid w:val="5E840A6B"/>
    <w:rsid w:val="5E8C0B20"/>
    <w:rsid w:val="5E8E34C7"/>
    <w:rsid w:val="5E9335CC"/>
    <w:rsid w:val="5E9359E6"/>
    <w:rsid w:val="5E9465B6"/>
    <w:rsid w:val="5E983525"/>
    <w:rsid w:val="5E9B5FD6"/>
    <w:rsid w:val="5EA02B74"/>
    <w:rsid w:val="5EB10F16"/>
    <w:rsid w:val="5EBF24B2"/>
    <w:rsid w:val="5EC3531A"/>
    <w:rsid w:val="5EC647D8"/>
    <w:rsid w:val="5EDD61AF"/>
    <w:rsid w:val="5EE4309A"/>
    <w:rsid w:val="5EF77271"/>
    <w:rsid w:val="5F073896"/>
    <w:rsid w:val="5F0B4ACB"/>
    <w:rsid w:val="5F1020E1"/>
    <w:rsid w:val="5F1635B9"/>
    <w:rsid w:val="5F1A2B43"/>
    <w:rsid w:val="5F356267"/>
    <w:rsid w:val="5F3B0491"/>
    <w:rsid w:val="5F41229A"/>
    <w:rsid w:val="5F423084"/>
    <w:rsid w:val="5F426D85"/>
    <w:rsid w:val="5F4F2AC9"/>
    <w:rsid w:val="5F5A70D3"/>
    <w:rsid w:val="5F5E2A25"/>
    <w:rsid w:val="5F64347F"/>
    <w:rsid w:val="5F653630"/>
    <w:rsid w:val="5F72576D"/>
    <w:rsid w:val="5F750196"/>
    <w:rsid w:val="5F7F2F41"/>
    <w:rsid w:val="5F8F18FD"/>
    <w:rsid w:val="5F905D84"/>
    <w:rsid w:val="5F9237C1"/>
    <w:rsid w:val="5F9745B0"/>
    <w:rsid w:val="5F9F3704"/>
    <w:rsid w:val="5FA10F8B"/>
    <w:rsid w:val="5FA16A85"/>
    <w:rsid w:val="5FA8056B"/>
    <w:rsid w:val="5FAD16DE"/>
    <w:rsid w:val="5FB567E4"/>
    <w:rsid w:val="5FB837BB"/>
    <w:rsid w:val="5FCA761F"/>
    <w:rsid w:val="5FCD1D80"/>
    <w:rsid w:val="5FD73C16"/>
    <w:rsid w:val="5FE62E42"/>
    <w:rsid w:val="5FE87052"/>
    <w:rsid w:val="5FF1413F"/>
    <w:rsid w:val="5FF44E22"/>
    <w:rsid w:val="5FFE018B"/>
    <w:rsid w:val="5FFE7B2A"/>
    <w:rsid w:val="5FFF7352"/>
    <w:rsid w:val="60051104"/>
    <w:rsid w:val="601856F1"/>
    <w:rsid w:val="601B2AEB"/>
    <w:rsid w:val="602120CC"/>
    <w:rsid w:val="6036162A"/>
    <w:rsid w:val="604322B3"/>
    <w:rsid w:val="60483AFC"/>
    <w:rsid w:val="604922D6"/>
    <w:rsid w:val="604A1623"/>
    <w:rsid w:val="604A33D1"/>
    <w:rsid w:val="605129B1"/>
    <w:rsid w:val="6051650D"/>
    <w:rsid w:val="60545FFD"/>
    <w:rsid w:val="605504C0"/>
    <w:rsid w:val="605778A3"/>
    <w:rsid w:val="606A0DF2"/>
    <w:rsid w:val="606F2BE4"/>
    <w:rsid w:val="607E12CC"/>
    <w:rsid w:val="6084355F"/>
    <w:rsid w:val="608C5EF7"/>
    <w:rsid w:val="609C0E11"/>
    <w:rsid w:val="609F48DD"/>
    <w:rsid w:val="60AA3E6F"/>
    <w:rsid w:val="60B90D20"/>
    <w:rsid w:val="60C54D2D"/>
    <w:rsid w:val="60C95DD2"/>
    <w:rsid w:val="60CC405A"/>
    <w:rsid w:val="60D4713E"/>
    <w:rsid w:val="60EA0710"/>
    <w:rsid w:val="610652A7"/>
    <w:rsid w:val="610F0176"/>
    <w:rsid w:val="61144C15"/>
    <w:rsid w:val="611B6B1B"/>
    <w:rsid w:val="613434EE"/>
    <w:rsid w:val="613D6F59"/>
    <w:rsid w:val="615A7643"/>
    <w:rsid w:val="615C785F"/>
    <w:rsid w:val="617050B9"/>
    <w:rsid w:val="61750921"/>
    <w:rsid w:val="618B1EF3"/>
    <w:rsid w:val="619E0031"/>
    <w:rsid w:val="619F7A9A"/>
    <w:rsid w:val="61A66D2C"/>
    <w:rsid w:val="61AA5990"/>
    <w:rsid w:val="61AD0F3A"/>
    <w:rsid w:val="61AD560A"/>
    <w:rsid w:val="61AE18F8"/>
    <w:rsid w:val="61BC20AC"/>
    <w:rsid w:val="61D6059D"/>
    <w:rsid w:val="61E035F1"/>
    <w:rsid w:val="61E215D8"/>
    <w:rsid w:val="61E648C2"/>
    <w:rsid w:val="61F0322B"/>
    <w:rsid w:val="61FD55E3"/>
    <w:rsid w:val="6200468F"/>
    <w:rsid w:val="62077066"/>
    <w:rsid w:val="620A3A3E"/>
    <w:rsid w:val="621B3775"/>
    <w:rsid w:val="622D5395"/>
    <w:rsid w:val="62325FD7"/>
    <w:rsid w:val="62326865"/>
    <w:rsid w:val="62337FA7"/>
    <w:rsid w:val="62364782"/>
    <w:rsid w:val="6243248E"/>
    <w:rsid w:val="624D4699"/>
    <w:rsid w:val="625910E2"/>
    <w:rsid w:val="625B277B"/>
    <w:rsid w:val="625F25AC"/>
    <w:rsid w:val="62670F7A"/>
    <w:rsid w:val="62812605"/>
    <w:rsid w:val="62845D97"/>
    <w:rsid w:val="62916510"/>
    <w:rsid w:val="629923ED"/>
    <w:rsid w:val="62AD66EE"/>
    <w:rsid w:val="62B63F99"/>
    <w:rsid w:val="62D5074C"/>
    <w:rsid w:val="62E01DCA"/>
    <w:rsid w:val="62E80C7F"/>
    <w:rsid w:val="62F50135"/>
    <w:rsid w:val="62FB092D"/>
    <w:rsid w:val="62FD5918"/>
    <w:rsid w:val="63041BFB"/>
    <w:rsid w:val="63084A2C"/>
    <w:rsid w:val="630A112A"/>
    <w:rsid w:val="63204972"/>
    <w:rsid w:val="63442359"/>
    <w:rsid w:val="634F64AE"/>
    <w:rsid w:val="63616086"/>
    <w:rsid w:val="63711163"/>
    <w:rsid w:val="637C201B"/>
    <w:rsid w:val="638F6898"/>
    <w:rsid w:val="63936E3D"/>
    <w:rsid w:val="6394356A"/>
    <w:rsid w:val="639A6746"/>
    <w:rsid w:val="63A03284"/>
    <w:rsid w:val="63A7575F"/>
    <w:rsid w:val="63A92638"/>
    <w:rsid w:val="63AC1E7E"/>
    <w:rsid w:val="63AE011A"/>
    <w:rsid w:val="63BE12D4"/>
    <w:rsid w:val="63C61B2C"/>
    <w:rsid w:val="63C74D38"/>
    <w:rsid w:val="63D40BE9"/>
    <w:rsid w:val="63F13E7A"/>
    <w:rsid w:val="63FA478F"/>
    <w:rsid w:val="640F0BB9"/>
    <w:rsid w:val="640F6E0B"/>
    <w:rsid w:val="64102431"/>
    <w:rsid w:val="64153CF6"/>
    <w:rsid w:val="641946C5"/>
    <w:rsid w:val="642B4F60"/>
    <w:rsid w:val="64324A0E"/>
    <w:rsid w:val="64393E88"/>
    <w:rsid w:val="64491339"/>
    <w:rsid w:val="644D15A0"/>
    <w:rsid w:val="645130C6"/>
    <w:rsid w:val="64550E8F"/>
    <w:rsid w:val="64850E7B"/>
    <w:rsid w:val="649135D8"/>
    <w:rsid w:val="64964E36"/>
    <w:rsid w:val="64970BAF"/>
    <w:rsid w:val="649E04A3"/>
    <w:rsid w:val="64A16CEF"/>
    <w:rsid w:val="64A5243A"/>
    <w:rsid w:val="64A65181"/>
    <w:rsid w:val="64A81EA1"/>
    <w:rsid w:val="64A905D0"/>
    <w:rsid w:val="64AE26C6"/>
    <w:rsid w:val="64B14E8B"/>
    <w:rsid w:val="64BE25DF"/>
    <w:rsid w:val="64C0300A"/>
    <w:rsid w:val="64D46B2D"/>
    <w:rsid w:val="64E2007C"/>
    <w:rsid w:val="64F21A29"/>
    <w:rsid w:val="64F531DE"/>
    <w:rsid w:val="64F61D79"/>
    <w:rsid w:val="64F8789F"/>
    <w:rsid w:val="64FC5F3B"/>
    <w:rsid w:val="64FF40E0"/>
    <w:rsid w:val="65003DFF"/>
    <w:rsid w:val="650A1176"/>
    <w:rsid w:val="65204293"/>
    <w:rsid w:val="652B26DC"/>
    <w:rsid w:val="652F0DE7"/>
    <w:rsid w:val="65373578"/>
    <w:rsid w:val="65387C9C"/>
    <w:rsid w:val="65393A14"/>
    <w:rsid w:val="653B5B9C"/>
    <w:rsid w:val="65426D6C"/>
    <w:rsid w:val="6546685C"/>
    <w:rsid w:val="654A7FB9"/>
    <w:rsid w:val="654F1F0D"/>
    <w:rsid w:val="65516136"/>
    <w:rsid w:val="6562740E"/>
    <w:rsid w:val="6564174C"/>
    <w:rsid w:val="65767CBF"/>
    <w:rsid w:val="65770474"/>
    <w:rsid w:val="657B0485"/>
    <w:rsid w:val="657E2B98"/>
    <w:rsid w:val="657E511E"/>
    <w:rsid w:val="658253BB"/>
    <w:rsid w:val="65901886"/>
    <w:rsid w:val="65A049CB"/>
    <w:rsid w:val="65A508ED"/>
    <w:rsid w:val="65AD462D"/>
    <w:rsid w:val="65AF7D19"/>
    <w:rsid w:val="65BA7EDD"/>
    <w:rsid w:val="65BF216B"/>
    <w:rsid w:val="65C71EEA"/>
    <w:rsid w:val="65C94D98"/>
    <w:rsid w:val="65E40361"/>
    <w:rsid w:val="65E5269E"/>
    <w:rsid w:val="65E640DC"/>
    <w:rsid w:val="65EA3164"/>
    <w:rsid w:val="65EF1BFE"/>
    <w:rsid w:val="65F06A93"/>
    <w:rsid w:val="6603024D"/>
    <w:rsid w:val="660808FD"/>
    <w:rsid w:val="66124991"/>
    <w:rsid w:val="66275276"/>
    <w:rsid w:val="66284851"/>
    <w:rsid w:val="662F72F1"/>
    <w:rsid w:val="663C37BC"/>
    <w:rsid w:val="66467922"/>
    <w:rsid w:val="665B5D36"/>
    <w:rsid w:val="665E3732"/>
    <w:rsid w:val="6663343E"/>
    <w:rsid w:val="666D3DDE"/>
    <w:rsid w:val="66714E70"/>
    <w:rsid w:val="66742F55"/>
    <w:rsid w:val="6683461B"/>
    <w:rsid w:val="66884C53"/>
    <w:rsid w:val="668F6E62"/>
    <w:rsid w:val="66920015"/>
    <w:rsid w:val="66990C0E"/>
    <w:rsid w:val="66997A54"/>
    <w:rsid w:val="669E6224"/>
    <w:rsid w:val="66AA4BC9"/>
    <w:rsid w:val="66B45A48"/>
    <w:rsid w:val="66CC0FE3"/>
    <w:rsid w:val="66CD6B09"/>
    <w:rsid w:val="66D518EA"/>
    <w:rsid w:val="66DD3000"/>
    <w:rsid w:val="66E55C01"/>
    <w:rsid w:val="66ED0339"/>
    <w:rsid w:val="6705371C"/>
    <w:rsid w:val="67054255"/>
    <w:rsid w:val="670B3B7E"/>
    <w:rsid w:val="671309C0"/>
    <w:rsid w:val="67133C1D"/>
    <w:rsid w:val="67191D4F"/>
    <w:rsid w:val="671C609B"/>
    <w:rsid w:val="671F124A"/>
    <w:rsid w:val="67232726"/>
    <w:rsid w:val="67236729"/>
    <w:rsid w:val="672A3F5C"/>
    <w:rsid w:val="6744421C"/>
    <w:rsid w:val="674B74EC"/>
    <w:rsid w:val="675608AD"/>
    <w:rsid w:val="67594C24"/>
    <w:rsid w:val="675A50EC"/>
    <w:rsid w:val="676D7368"/>
    <w:rsid w:val="67757EFE"/>
    <w:rsid w:val="677671A1"/>
    <w:rsid w:val="677A33C6"/>
    <w:rsid w:val="677F0BC3"/>
    <w:rsid w:val="678371C8"/>
    <w:rsid w:val="679A66DB"/>
    <w:rsid w:val="67A05FCC"/>
    <w:rsid w:val="67A310BE"/>
    <w:rsid w:val="67A41618"/>
    <w:rsid w:val="67B57CC9"/>
    <w:rsid w:val="67C63C85"/>
    <w:rsid w:val="67DD04C2"/>
    <w:rsid w:val="67DF473A"/>
    <w:rsid w:val="67E67E83"/>
    <w:rsid w:val="67E96042"/>
    <w:rsid w:val="67E97973"/>
    <w:rsid w:val="67F43E08"/>
    <w:rsid w:val="67F74DC6"/>
    <w:rsid w:val="680B0AB8"/>
    <w:rsid w:val="68106CAE"/>
    <w:rsid w:val="681F6961"/>
    <w:rsid w:val="6821232A"/>
    <w:rsid w:val="6823785E"/>
    <w:rsid w:val="682575C3"/>
    <w:rsid w:val="682E2004"/>
    <w:rsid w:val="6845288F"/>
    <w:rsid w:val="68490412"/>
    <w:rsid w:val="684921C0"/>
    <w:rsid w:val="684C3EF9"/>
    <w:rsid w:val="684C74FC"/>
    <w:rsid w:val="68610A2F"/>
    <w:rsid w:val="68660FC4"/>
    <w:rsid w:val="686B2D87"/>
    <w:rsid w:val="686C3C89"/>
    <w:rsid w:val="68736986"/>
    <w:rsid w:val="68737434"/>
    <w:rsid w:val="68747A93"/>
    <w:rsid w:val="68791974"/>
    <w:rsid w:val="68794883"/>
    <w:rsid w:val="68805514"/>
    <w:rsid w:val="688A2400"/>
    <w:rsid w:val="688B707E"/>
    <w:rsid w:val="688D5EFE"/>
    <w:rsid w:val="68975621"/>
    <w:rsid w:val="68A7162E"/>
    <w:rsid w:val="68AD274F"/>
    <w:rsid w:val="68B05B70"/>
    <w:rsid w:val="68BC67E4"/>
    <w:rsid w:val="68C14F06"/>
    <w:rsid w:val="68C92F07"/>
    <w:rsid w:val="68CA50AF"/>
    <w:rsid w:val="68D756E5"/>
    <w:rsid w:val="68D8109E"/>
    <w:rsid w:val="68E72104"/>
    <w:rsid w:val="68F12404"/>
    <w:rsid w:val="68F930C3"/>
    <w:rsid w:val="68F93BE6"/>
    <w:rsid w:val="68FB795E"/>
    <w:rsid w:val="68FD36B9"/>
    <w:rsid w:val="69013042"/>
    <w:rsid w:val="690507DD"/>
    <w:rsid w:val="69112CDD"/>
    <w:rsid w:val="69194288"/>
    <w:rsid w:val="691F0A12"/>
    <w:rsid w:val="69316E2F"/>
    <w:rsid w:val="69335730"/>
    <w:rsid w:val="6948324A"/>
    <w:rsid w:val="694E2071"/>
    <w:rsid w:val="694F3806"/>
    <w:rsid w:val="695157D0"/>
    <w:rsid w:val="69624A44"/>
    <w:rsid w:val="6969654F"/>
    <w:rsid w:val="697049B5"/>
    <w:rsid w:val="69766163"/>
    <w:rsid w:val="697A3B33"/>
    <w:rsid w:val="698B7D0D"/>
    <w:rsid w:val="699A469F"/>
    <w:rsid w:val="699B020D"/>
    <w:rsid w:val="699D0A15"/>
    <w:rsid w:val="699E791A"/>
    <w:rsid w:val="69A06435"/>
    <w:rsid w:val="69A701B6"/>
    <w:rsid w:val="69B33D95"/>
    <w:rsid w:val="69B638E1"/>
    <w:rsid w:val="69C935B8"/>
    <w:rsid w:val="69D13157"/>
    <w:rsid w:val="69D44760"/>
    <w:rsid w:val="69DA3E11"/>
    <w:rsid w:val="69E46644"/>
    <w:rsid w:val="69E47D45"/>
    <w:rsid w:val="69E55F18"/>
    <w:rsid w:val="69E76134"/>
    <w:rsid w:val="69F224AE"/>
    <w:rsid w:val="69F50BDF"/>
    <w:rsid w:val="69FD3E0F"/>
    <w:rsid w:val="6A061C99"/>
    <w:rsid w:val="6A0C01E1"/>
    <w:rsid w:val="6A1057C9"/>
    <w:rsid w:val="6A1C5DDE"/>
    <w:rsid w:val="6A261640"/>
    <w:rsid w:val="6A2C23C6"/>
    <w:rsid w:val="6A353B0B"/>
    <w:rsid w:val="6A3E7378"/>
    <w:rsid w:val="6A520EC7"/>
    <w:rsid w:val="6A611A43"/>
    <w:rsid w:val="6A7774B8"/>
    <w:rsid w:val="6A843983"/>
    <w:rsid w:val="6A89513B"/>
    <w:rsid w:val="6A8C0165"/>
    <w:rsid w:val="6AA349A9"/>
    <w:rsid w:val="6AA87B5B"/>
    <w:rsid w:val="6AB9362D"/>
    <w:rsid w:val="6AD87BC9"/>
    <w:rsid w:val="6ADC731B"/>
    <w:rsid w:val="6AF24234"/>
    <w:rsid w:val="6AF26B3F"/>
    <w:rsid w:val="6AF87E20"/>
    <w:rsid w:val="6AFB1E97"/>
    <w:rsid w:val="6B0B19AE"/>
    <w:rsid w:val="6B2111EB"/>
    <w:rsid w:val="6B237381"/>
    <w:rsid w:val="6B277C61"/>
    <w:rsid w:val="6B282560"/>
    <w:rsid w:val="6B3132FD"/>
    <w:rsid w:val="6B322639"/>
    <w:rsid w:val="6B377327"/>
    <w:rsid w:val="6B547A25"/>
    <w:rsid w:val="6B586E87"/>
    <w:rsid w:val="6B5A006B"/>
    <w:rsid w:val="6B5D66AE"/>
    <w:rsid w:val="6B5E2AD4"/>
    <w:rsid w:val="6B646558"/>
    <w:rsid w:val="6B673089"/>
    <w:rsid w:val="6B6D4417"/>
    <w:rsid w:val="6B741AA5"/>
    <w:rsid w:val="6B851761"/>
    <w:rsid w:val="6B8B73A4"/>
    <w:rsid w:val="6B8C29F7"/>
    <w:rsid w:val="6B900DA7"/>
    <w:rsid w:val="6B940BDE"/>
    <w:rsid w:val="6B9F16F0"/>
    <w:rsid w:val="6BA36AA7"/>
    <w:rsid w:val="6BA374F7"/>
    <w:rsid w:val="6BAC5AA7"/>
    <w:rsid w:val="6BC946AA"/>
    <w:rsid w:val="6BC95AF1"/>
    <w:rsid w:val="6BCE135A"/>
    <w:rsid w:val="6BD30A25"/>
    <w:rsid w:val="6BDB391F"/>
    <w:rsid w:val="6BE02E3B"/>
    <w:rsid w:val="6BE135AF"/>
    <w:rsid w:val="6C012B64"/>
    <w:rsid w:val="6C040D73"/>
    <w:rsid w:val="6C0F54CE"/>
    <w:rsid w:val="6C11464E"/>
    <w:rsid w:val="6C116E88"/>
    <w:rsid w:val="6C137E69"/>
    <w:rsid w:val="6C170F17"/>
    <w:rsid w:val="6C2B055A"/>
    <w:rsid w:val="6C317B4C"/>
    <w:rsid w:val="6C4216CB"/>
    <w:rsid w:val="6C487A7F"/>
    <w:rsid w:val="6C517895"/>
    <w:rsid w:val="6C562646"/>
    <w:rsid w:val="6C636C38"/>
    <w:rsid w:val="6C661592"/>
    <w:rsid w:val="6C6B36DB"/>
    <w:rsid w:val="6C6B4DFB"/>
    <w:rsid w:val="6C6F5373"/>
    <w:rsid w:val="6C8758C5"/>
    <w:rsid w:val="6C90660F"/>
    <w:rsid w:val="6C924135"/>
    <w:rsid w:val="6C9625E6"/>
    <w:rsid w:val="6C9D0D2C"/>
    <w:rsid w:val="6CA43E69"/>
    <w:rsid w:val="6CAF0068"/>
    <w:rsid w:val="6CB70040"/>
    <w:rsid w:val="6CB72043"/>
    <w:rsid w:val="6CB80121"/>
    <w:rsid w:val="6CBD592D"/>
    <w:rsid w:val="6CDA3D2E"/>
    <w:rsid w:val="6CDE3F74"/>
    <w:rsid w:val="6CE15496"/>
    <w:rsid w:val="6CE4695B"/>
    <w:rsid w:val="6CE72790"/>
    <w:rsid w:val="6CEC59F0"/>
    <w:rsid w:val="6D027840"/>
    <w:rsid w:val="6D063BC3"/>
    <w:rsid w:val="6D1160C5"/>
    <w:rsid w:val="6D1E3C1B"/>
    <w:rsid w:val="6D203E37"/>
    <w:rsid w:val="6D2154B9"/>
    <w:rsid w:val="6D235E4E"/>
    <w:rsid w:val="6D3056A3"/>
    <w:rsid w:val="6D3E42BD"/>
    <w:rsid w:val="6D433F44"/>
    <w:rsid w:val="6D452F59"/>
    <w:rsid w:val="6D4660B4"/>
    <w:rsid w:val="6D5664EB"/>
    <w:rsid w:val="6D57537F"/>
    <w:rsid w:val="6D577117"/>
    <w:rsid w:val="6D601BEC"/>
    <w:rsid w:val="6D6261FE"/>
    <w:rsid w:val="6D723F67"/>
    <w:rsid w:val="6D745957"/>
    <w:rsid w:val="6D747CDF"/>
    <w:rsid w:val="6D7558DE"/>
    <w:rsid w:val="6D7A45CC"/>
    <w:rsid w:val="6D806684"/>
    <w:rsid w:val="6D9E4D5C"/>
    <w:rsid w:val="6DA069FD"/>
    <w:rsid w:val="6DA24D0A"/>
    <w:rsid w:val="6DAE4BF6"/>
    <w:rsid w:val="6DB34098"/>
    <w:rsid w:val="6DB545B6"/>
    <w:rsid w:val="6DBD272B"/>
    <w:rsid w:val="6DD8554D"/>
    <w:rsid w:val="6DDA6F9D"/>
    <w:rsid w:val="6DDC24EF"/>
    <w:rsid w:val="6DE02FB4"/>
    <w:rsid w:val="6DE67D5C"/>
    <w:rsid w:val="6DEB284F"/>
    <w:rsid w:val="6DF61003"/>
    <w:rsid w:val="6DFD4528"/>
    <w:rsid w:val="6E0252EB"/>
    <w:rsid w:val="6E0D4619"/>
    <w:rsid w:val="6E0E4F46"/>
    <w:rsid w:val="6E153F18"/>
    <w:rsid w:val="6E3914B9"/>
    <w:rsid w:val="6E414065"/>
    <w:rsid w:val="6E4B5EBB"/>
    <w:rsid w:val="6E4B778A"/>
    <w:rsid w:val="6E514CED"/>
    <w:rsid w:val="6E521560"/>
    <w:rsid w:val="6E5A444D"/>
    <w:rsid w:val="6E5D69C5"/>
    <w:rsid w:val="6E5F4F77"/>
    <w:rsid w:val="6E6C4E5A"/>
    <w:rsid w:val="6E712470"/>
    <w:rsid w:val="6E753D0F"/>
    <w:rsid w:val="6E7837FF"/>
    <w:rsid w:val="6E873A42"/>
    <w:rsid w:val="6E8D068D"/>
    <w:rsid w:val="6E903F0A"/>
    <w:rsid w:val="6E91666F"/>
    <w:rsid w:val="6E9601AB"/>
    <w:rsid w:val="6EA45E4F"/>
    <w:rsid w:val="6EA52B80"/>
    <w:rsid w:val="6EB563D5"/>
    <w:rsid w:val="6ED609FA"/>
    <w:rsid w:val="6ED924EF"/>
    <w:rsid w:val="6ED92677"/>
    <w:rsid w:val="6EE64DCA"/>
    <w:rsid w:val="6EF70BC7"/>
    <w:rsid w:val="6F01020B"/>
    <w:rsid w:val="6F0D3F47"/>
    <w:rsid w:val="6F1C062E"/>
    <w:rsid w:val="6F225983"/>
    <w:rsid w:val="6F235519"/>
    <w:rsid w:val="6F393E21"/>
    <w:rsid w:val="6F4436E1"/>
    <w:rsid w:val="6F467459"/>
    <w:rsid w:val="6F4831D1"/>
    <w:rsid w:val="6F546C48"/>
    <w:rsid w:val="6F59623C"/>
    <w:rsid w:val="6F5A2F04"/>
    <w:rsid w:val="6F690802"/>
    <w:rsid w:val="6F6A3147"/>
    <w:rsid w:val="6F6F4206"/>
    <w:rsid w:val="6F7264A0"/>
    <w:rsid w:val="6F737B3E"/>
    <w:rsid w:val="6F814266"/>
    <w:rsid w:val="6F851451"/>
    <w:rsid w:val="6FA83C70"/>
    <w:rsid w:val="6FAC19B2"/>
    <w:rsid w:val="6FAF4CC4"/>
    <w:rsid w:val="6FCA493D"/>
    <w:rsid w:val="6FCA62DC"/>
    <w:rsid w:val="6FCC5E1C"/>
    <w:rsid w:val="6FCD7E17"/>
    <w:rsid w:val="6FCE7B7A"/>
    <w:rsid w:val="6FCF38F2"/>
    <w:rsid w:val="6FD42057"/>
    <w:rsid w:val="6FD727E0"/>
    <w:rsid w:val="6FF15617"/>
    <w:rsid w:val="6FF5085C"/>
    <w:rsid w:val="6FFC5590"/>
    <w:rsid w:val="700417EE"/>
    <w:rsid w:val="700A66D9"/>
    <w:rsid w:val="70163003"/>
    <w:rsid w:val="7019691C"/>
    <w:rsid w:val="70207CAA"/>
    <w:rsid w:val="702365E9"/>
    <w:rsid w:val="702C35EF"/>
    <w:rsid w:val="702F4391"/>
    <w:rsid w:val="70347BD8"/>
    <w:rsid w:val="703B0F88"/>
    <w:rsid w:val="70441BEA"/>
    <w:rsid w:val="70507BCB"/>
    <w:rsid w:val="70540B9B"/>
    <w:rsid w:val="70595450"/>
    <w:rsid w:val="7064403B"/>
    <w:rsid w:val="706D1DD0"/>
    <w:rsid w:val="70856B87"/>
    <w:rsid w:val="709135AB"/>
    <w:rsid w:val="70981D26"/>
    <w:rsid w:val="70A156F7"/>
    <w:rsid w:val="70A30263"/>
    <w:rsid w:val="70A64653"/>
    <w:rsid w:val="70B36227"/>
    <w:rsid w:val="70B60AD1"/>
    <w:rsid w:val="70B623BC"/>
    <w:rsid w:val="70C25205"/>
    <w:rsid w:val="70C25E58"/>
    <w:rsid w:val="70D527EE"/>
    <w:rsid w:val="70D54263"/>
    <w:rsid w:val="70D63FBF"/>
    <w:rsid w:val="70E13E53"/>
    <w:rsid w:val="70E707C8"/>
    <w:rsid w:val="70E7554D"/>
    <w:rsid w:val="70E92792"/>
    <w:rsid w:val="70EC04F5"/>
    <w:rsid w:val="70EC3B78"/>
    <w:rsid w:val="70F16B4D"/>
    <w:rsid w:val="710B283E"/>
    <w:rsid w:val="71203A24"/>
    <w:rsid w:val="7125140C"/>
    <w:rsid w:val="712D267F"/>
    <w:rsid w:val="71381AD5"/>
    <w:rsid w:val="713E488C"/>
    <w:rsid w:val="713F1B7D"/>
    <w:rsid w:val="71402A48"/>
    <w:rsid w:val="71454C52"/>
    <w:rsid w:val="714C3A28"/>
    <w:rsid w:val="71504107"/>
    <w:rsid w:val="71523C65"/>
    <w:rsid w:val="715B5300"/>
    <w:rsid w:val="71662034"/>
    <w:rsid w:val="716C1906"/>
    <w:rsid w:val="717464FF"/>
    <w:rsid w:val="71774472"/>
    <w:rsid w:val="717C53B4"/>
    <w:rsid w:val="7185465B"/>
    <w:rsid w:val="719459D5"/>
    <w:rsid w:val="71A05546"/>
    <w:rsid w:val="71A53B16"/>
    <w:rsid w:val="71B7463E"/>
    <w:rsid w:val="71CF3564"/>
    <w:rsid w:val="71CF3736"/>
    <w:rsid w:val="71D27F8A"/>
    <w:rsid w:val="71D42CD8"/>
    <w:rsid w:val="71D94C5C"/>
    <w:rsid w:val="71DC5A42"/>
    <w:rsid w:val="71EC078C"/>
    <w:rsid w:val="71F83A64"/>
    <w:rsid w:val="71FE0535"/>
    <w:rsid w:val="721D0D40"/>
    <w:rsid w:val="721F6C37"/>
    <w:rsid w:val="72352E01"/>
    <w:rsid w:val="7238752D"/>
    <w:rsid w:val="723A4D5F"/>
    <w:rsid w:val="724C79C6"/>
    <w:rsid w:val="724F0D1A"/>
    <w:rsid w:val="72553024"/>
    <w:rsid w:val="725B2B9B"/>
    <w:rsid w:val="72653986"/>
    <w:rsid w:val="72693B8A"/>
    <w:rsid w:val="726E11A1"/>
    <w:rsid w:val="727662A7"/>
    <w:rsid w:val="728D259F"/>
    <w:rsid w:val="728F571E"/>
    <w:rsid w:val="72901088"/>
    <w:rsid w:val="729A6B53"/>
    <w:rsid w:val="72A42E14"/>
    <w:rsid w:val="72A916D5"/>
    <w:rsid w:val="72AD1143"/>
    <w:rsid w:val="72C361E6"/>
    <w:rsid w:val="72C9003B"/>
    <w:rsid w:val="72D4387A"/>
    <w:rsid w:val="72DD6326"/>
    <w:rsid w:val="72E179E1"/>
    <w:rsid w:val="73122968"/>
    <w:rsid w:val="731358A4"/>
    <w:rsid w:val="73171838"/>
    <w:rsid w:val="731E38AE"/>
    <w:rsid w:val="731F5D5E"/>
    <w:rsid w:val="73252DE2"/>
    <w:rsid w:val="732A74A2"/>
    <w:rsid w:val="732D281B"/>
    <w:rsid w:val="733927FB"/>
    <w:rsid w:val="73397CB9"/>
    <w:rsid w:val="733C129F"/>
    <w:rsid w:val="73405A23"/>
    <w:rsid w:val="734B0C60"/>
    <w:rsid w:val="734E5915"/>
    <w:rsid w:val="73552361"/>
    <w:rsid w:val="7355410F"/>
    <w:rsid w:val="7356030F"/>
    <w:rsid w:val="735760D9"/>
    <w:rsid w:val="735859AD"/>
    <w:rsid w:val="7358775B"/>
    <w:rsid w:val="735C724B"/>
    <w:rsid w:val="735E0012"/>
    <w:rsid w:val="73630E37"/>
    <w:rsid w:val="73741484"/>
    <w:rsid w:val="737667AB"/>
    <w:rsid w:val="73905147"/>
    <w:rsid w:val="73994B66"/>
    <w:rsid w:val="739E0321"/>
    <w:rsid w:val="73A12A69"/>
    <w:rsid w:val="73B8751B"/>
    <w:rsid w:val="73BF6963"/>
    <w:rsid w:val="73C42EA7"/>
    <w:rsid w:val="73C51AD5"/>
    <w:rsid w:val="73EB1D99"/>
    <w:rsid w:val="73F43927"/>
    <w:rsid w:val="73FA6DEF"/>
    <w:rsid w:val="73FD13CE"/>
    <w:rsid w:val="74082494"/>
    <w:rsid w:val="74143082"/>
    <w:rsid w:val="741620D6"/>
    <w:rsid w:val="741E793C"/>
    <w:rsid w:val="74237D69"/>
    <w:rsid w:val="7426636E"/>
    <w:rsid w:val="743268FD"/>
    <w:rsid w:val="74424693"/>
    <w:rsid w:val="74477EFB"/>
    <w:rsid w:val="74485111"/>
    <w:rsid w:val="744E128A"/>
    <w:rsid w:val="744F0B5E"/>
    <w:rsid w:val="745E3944"/>
    <w:rsid w:val="74627D2C"/>
    <w:rsid w:val="746A5998"/>
    <w:rsid w:val="748E29BF"/>
    <w:rsid w:val="74A964C0"/>
    <w:rsid w:val="74AA3A14"/>
    <w:rsid w:val="74AA48C7"/>
    <w:rsid w:val="74AD389A"/>
    <w:rsid w:val="74C94DB4"/>
    <w:rsid w:val="74CE180C"/>
    <w:rsid w:val="74D04767"/>
    <w:rsid w:val="74D06143"/>
    <w:rsid w:val="74D66294"/>
    <w:rsid w:val="74D86DA5"/>
    <w:rsid w:val="74EE729D"/>
    <w:rsid w:val="74F00B7D"/>
    <w:rsid w:val="74FC36F5"/>
    <w:rsid w:val="75022074"/>
    <w:rsid w:val="751122B7"/>
    <w:rsid w:val="75273B78"/>
    <w:rsid w:val="752C70F1"/>
    <w:rsid w:val="754362A5"/>
    <w:rsid w:val="75450CC9"/>
    <w:rsid w:val="754C32EF"/>
    <w:rsid w:val="75501031"/>
    <w:rsid w:val="755D3BFC"/>
    <w:rsid w:val="75697F4B"/>
    <w:rsid w:val="756F62E3"/>
    <w:rsid w:val="758F7CD1"/>
    <w:rsid w:val="75940DE4"/>
    <w:rsid w:val="759D502B"/>
    <w:rsid w:val="75A4312B"/>
    <w:rsid w:val="75AA496E"/>
    <w:rsid w:val="75B45B1C"/>
    <w:rsid w:val="75B62C52"/>
    <w:rsid w:val="75BF2830"/>
    <w:rsid w:val="75CC1C53"/>
    <w:rsid w:val="75DB4D9F"/>
    <w:rsid w:val="75F06CF9"/>
    <w:rsid w:val="75F20D0D"/>
    <w:rsid w:val="75F714AD"/>
    <w:rsid w:val="75F75951"/>
    <w:rsid w:val="75FA535A"/>
    <w:rsid w:val="76065B94"/>
    <w:rsid w:val="760A7432"/>
    <w:rsid w:val="761539EF"/>
    <w:rsid w:val="761F761F"/>
    <w:rsid w:val="76307196"/>
    <w:rsid w:val="76321393"/>
    <w:rsid w:val="7635099D"/>
    <w:rsid w:val="76391AC6"/>
    <w:rsid w:val="764A5A81"/>
    <w:rsid w:val="765F26D7"/>
    <w:rsid w:val="7669021E"/>
    <w:rsid w:val="766962DF"/>
    <w:rsid w:val="76825BE3"/>
    <w:rsid w:val="768F4A08"/>
    <w:rsid w:val="768F7938"/>
    <w:rsid w:val="769823D1"/>
    <w:rsid w:val="769F738A"/>
    <w:rsid w:val="76A871D8"/>
    <w:rsid w:val="76B8746C"/>
    <w:rsid w:val="76B949B4"/>
    <w:rsid w:val="76C04EC7"/>
    <w:rsid w:val="76CD5994"/>
    <w:rsid w:val="76D04266"/>
    <w:rsid w:val="76DC4D0E"/>
    <w:rsid w:val="76F266C7"/>
    <w:rsid w:val="76F346C7"/>
    <w:rsid w:val="76F5662B"/>
    <w:rsid w:val="770A5210"/>
    <w:rsid w:val="772764B2"/>
    <w:rsid w:val="772B3B04"/>
    <w:rsid w:val="773329B9"/>
    <w:rsid w:val="773A79A0"/>
    <w:rsid w:val="77547303"/>
    <w:rsid w:val="77626FF9"/>
    <w:rsid w:val="776C6DDF"/>
    <w:rsid w:val="77753F29"/>
    <w:rsid w:val="77762421"/>
    <w:rsid w:val="77767E66"/>
    <w:rsid w:val="77862AE9"/>
    <w:rsid w:val="779A2A38"/>
    <w:rsid w:val="779D6084"/>
    <w:rsid w:val="77AF5D6F"/>
    <w:rsid w:val="77B25E6F"/>
    <w:rsid w:val="77B56B1F"/>
    <w:rsid w:val="77B70EF4"/>
    <w:rsid w:val="77B77146"/>
    <w:rsid w:val="77B84C6C"/>
    <w:rsid w:val="77CF345E"/>
    <w:rsid w:val="77D34D6A"/>
    <w:rsid w:val="77D81767"/>
    <w:rsid w:val="77DC7992"/>
    <w:rsid w:val="77E14773"/>
    <w:rsid w:val="77EA245A"/>
    <w:rsid w:val="77EF3A4D"/>
    <w:rsid w:val="77F44B1B"/>
    <w:rsid w:val="77FA71F1"/>
    <w:rsid w:val="780A371A"/>
    <w:rsid w:val="780F09F4"/>
    <w:rsid w:val="78174DFD"/>
    <w:rsid w:val="781B76D2"/>
    <w:rsid w:val="781F6250"/>
    <w:rsid w:val="7826692E"/>
    <w:rsid w:val="78280044"/>
    <w:rsid w:val="782B7FAE"/>
    <w:rsid w:val="783234B8"/>
    <w:rsid w:val="78486CF0"/>
    <w:rsid w:val="784A0BB7"/>
    <w:rsid w:val="784F3822"/>
    <w:rsid w:val="78673398"/>
    <w:rsid w:val="786A065C"/>
    <w:rsid w:val="788A03B6"/>
    <w:rsid w:val="78973B1C"/>
    <w:rsid w:val="78994A9D"/>
    <w:rsid w:val="78A10F2F"/>
    <w:rsid w:val="78A90480"/>
    <w:rsid w:val="78A945A2"/>
    <w:rsid w:val="78AA0824"/>
    <w:rsid w:val="78BB6124"/>
    <w:rsid w:val="78BF3746"/>
    <w:rsid w:val="78C94E7E"/>
    <w:rsid w:val="78CC1A5B"/>
    <w:rsid w:val="78CE0BEB"/>
    <w:rsid w:val="78D0647E"/>
    <w:rsid w:val="78D40723"/>
    <w:rsid w:val="78D50C3F"/>
    <w:rsid w:val="78D92E36"/>
    <w:rsid w:val="78DA4DCA"/>
    <w:rsid w:val="78E55F35"/>
    <w:rsid w:val="78E91D42"/>
    <w:rsid w:val="78FF1193"/>
    <w:rsid w:val="790470C8"/>
    <w:rsid w:val="79110AD8"/>
    <w:rsid w:val="7911631A"/>
    <w:rsid w:val="791505C8"/>
    <w:rsid w:val="793217C8"/>
    <w:rsid w:val="79367339"/>
    <w:rsid w:val="79450781"/>
    <w:rsid w:val="794B2BBC"/>
    <w:rsid w:val="794C5FB4"/>
    <w:rsid w:val="7958309E"/>
    <w:rsid w:val="7961411E"/>
    <w:rsid w:val="796724B7"/>
    <w:rsid w:val="796C3F60"/>
    <w:rsid w:val="79747D50"/>
    <w:rsid w:val="79817A2A"/>
    <w:rsid w:val="79833CBC"/>
    <w:rsid w:val="798555D1"/>
    <w:rsid w:val="79A13C0A"/>
    <w:rsid w:val="79AA16B5"/>
    <w:rsid w:val="79AE27CB"/>
    <w:rsid w:val="79B0553A"/>
    <w:rsid w:val="79C11199"/>
    <w:rsid w:val="79C41C6E"/>
    <w:rsid w:val="79C5070F"/>
    <w:rsid w:val="79CD2C51"/>
    <w:rsid w:val="79D44033"/>
    <w:rsid w:val="79D63E73"/>
    <w:rsid w:val="79D833A4"/>
    <w:rsid w:val="79DD0380"/>
    <w:rsid w:val="79F15D4A"/>
    <w:rsid w:val="79FA7B08"/>
    <w:rsid w:val="79FC0E4A"/>
    <w:rsid w:val="7A066163"/>
    <w:rsid w:val="7A0B7F39"/>
    <w:rsid w:val="7A144E4D"/>
    <w:rsid w:val="7A202DD3"/>
    <w:rsid w:val="7A210555"/>
    <w:rsid w:val="7A326F58"/>
    <w:rsid w:val="7A364017"/>
    <w:rsid w:val="7A375479"/>
    <w:rsid w:val="7A454EDD"/>
    <w:rsid w:val="7A4C65EF"/>
    <w:rsid w:val="7A585E07"/>
    <w:rsid w:val="7A587814"/>
    <w:rsid w:val="7A7C21AF"/>
    <w:rsid w:val="7A8265E1"/>
    <w:rsid w:val="7A8772A3"/>
    <w:rsid w:val="7A9279F6"/>
    <w:rsid w:val="7A994EB0"/>
    <w:rsid w:val="7A9D2DEF"/>
    <w:rsid w:val="7A9E4034"/>
    <w:rsid w:val="7AA677D5"/>
    <w:rsid w:val="7AB43E11"/>
    <w:rsid w:val="7AB456A9"/>
    <w:rsid w:val="7AB63A8D"/>
    <w:rsid w:val="7ADB139D"/>
    <w:rsid w:val="7AE915E2"/>
    <w:rsid w:val="7B1A0057"/>
    <w:rsid w:val="7B220D7A"/>
    <w:rsid w:val="7B2405A4"/>
    <w:rsid w:val="7B242D44"/>
    <w:rsid w:val="7B261270"/>
    <w:rsid w:val="7B2D76E2"/>
    <w:rsid w:val="7B2F5245"/>
    <w:rsid w:val="7B332F87"/>
    <w:rsid w:val="7B340AAD"/>
    <w:rsid w:val="7B354F51"/>
    <w:rsid w:val="7B3F6659"/>
    <w:rsid w:val="7B542B3B"/>
    <w:rsid w:val="7B5631B6"/>
    <w:rsid w:val="7B6206FE"/>
    <w:rsid w:val="7B646970"/>
    <w:rsid w:val="7B680E80"/>
    <w:rsid w:val="7B686D42"/>
    <w:rsid w:val="7B6E0463"/>
    <w:rsid w:val="7B6F6A98"/>
    <w:rsid w:val="7B74123B"/>
    <w:rsid w:val="7B7E3EFC"/>
    <w:rsid w:val="7B841746"/>
    <w:rsid w:val="7B841E01"/>
    <w:rsid w:val="7B8632CC"/>
    <w:rsid w:val="7B871525"/>
    <w:rsid w:val="7B8C08E9"/>
    <w:rsid w:val="7B920669"/>
    <w:rsid w:val="7B98728E"/>
    <w:rsid w:val="7B9A6B62"/>
    <w:rsid w:val="7B9F47D4"/>
    <w:rsid w:val="7BA03B27"/>
    <w:rsid w:val="7BA976EA"/>
    <w:rsid w:val="7BAA7792"/>
    <w:rsid w:val="7BC8252C"/>
    <w:rsid w:val="7BCE4A5E"/>
    <w:rsid w:val="7BCE6362"/>
    <w:rsid w:val="7BE129E3"/>
    <w:rsid w:val="7BE81BC2"/>
    <w:rsid w:val="7BEC3554"/>
    <w:rsid w:val="7C01332B"/>
    <w:rsid w:val="7C016BE2"/>
    <w:rsid w:val="7C082C8F"/>
    <w:rsid w:val="7C183F2B"/>
    <w:rsid w:val="7C1A3A23"/>
    <w:rsid w:val="7C2823C0"/>
    <w:rsid w:val="7C340014"/>
    <w:rsid w:val="7C426AF6"/>
    <w:rsid w:val="7C4E7C0B"/>
    <w:rsid w:val="7C55517F"/>
    <w:rsid w:val="7C68003A"/>
    <w:rsid w:val="7C6C5AC7"/>
    <w:rsid w:val="7C6E4577"/>
    <w:rsid w:val="7C7E51B8"/>
    <w:rsid w:val="7C835849"/>
    <w:rsid w:val="7C8617DD"/>
    <w:rsid w:val="7C8B200A"/>
    <w:rsid w:val="7C921F30"/>
    <w:rsid w:val="7CA84DE5"/>
    <w:rsid w:val="7CAE0FAB"/>
    <w:rsid w:val="7CAF663E"/>
    <w:rsid w:val="7CB05DBA"/>
    <w:rsid w:val="7CB2612E"/>
    <w:rsid w:val="7CBA5AF1"/>
    <w:rsid w:val="7CC6544B"/>
    <w:rsid w:val="7CC85951"/>
    <w:rsid w:val="7CD073F6"/>
    <w:rsid w:val="7CD332C0"/>
    <w:rsid w:val="7CE17291"/>
    <w:rsid w:val="7CE37C5E"/>
    <w:rsid w:val="7CE9559C"/>
    <w:rsid w:val="7CF026D2"/>
    <w:rsid w:val="7D01345C"/>
    <w:rsid w:val="7D0239FF"/>
    <w:rsid w:val="7D0746CC"/>
    <w:rsid w:val="7D0E0B8E"/>
    <w:rsid w:val="7D133E20"/>
    <w:rsid w:val="7D1F7ECB"/>
    <w:rsid w:val="7D230DDA"/>
    <w:rsid w:val="7D267364"/>
    <w:rsid w:val="7D2E0DCB"/>
    <w:rsid w:val="7D2E7875"/>
    <w:rsid w:val="7D407BDD"/>
    <w:rsid w:val="7D511DEB"/>
    <w:rsid w:val="7D5E40CD"/>
    <w:rsid w:val="7D6835E6"/>
    <w:rsid w:val="7D835294"/>
    <w:rsid w:val="7D8C61A3"/>
    <w:rsid w:val="7D8F55EB"/>
    <w:rsid w:val="7D913F95"/>
    <w:rsid w:val="7D917194"/>
    <w:rsid w:val="7D9352D0"/>
    <w:rsid w:val="7D936DD9"/>
    <w:rsid w:val="7D976E56"/>
    <w:rsid w:val="7D9B4E14"/>
    <w:rsid w:val="7DA57A41"/>
    <w:rsid w:val="7DAB14F7"/>
    <w:rsid w:val="7DAC7021"/>
    <w:rsid w:val="7DB31EED"/>
    <w:rsid w:val="7DB33770"/>
    <w:rsid w:val="7DC46119"/>
    <w:rsid w:val="7DCD56F2"/>
    <w:rsid w:val="7DCF725D"/>
    <w:rsid w:val="7DD42BCE"/>
    <w:rsid w:val="7DE762AB"/>
    <w:rsid w:val="7DED1DDC"/>
    <w:rsid w:val="7DF80AF8"/>
    <w:rsid w:val="7DFF1847"/>
    <w:rsid w:val="7E076C3F"/>
    <w:rsid w:val="7E0B3D48"/>
    <w:rsid w:val="7E0E0D3E"/>
    <w:rsid w:val="7E150DDC"/>
    <w:rsid w:val="7E152E18"/>
    <w:rsid w:val="7E1C78D1"/>
    <w:rsid w:val="7E1D0A2A"/>
    <w:rsid w:val="7E2A03F9"/>
    <w:rsid w:val="7E2B3D8E"/>
    <w:rsid w:val="7E357016"/>
    <w:rsid w:val="7E3D578C"/>
    <w:rsid w:val="7E4159BB"/>
    <w:rsid w:val="7E494630"/>
    <w:rsid w:val="7E4D45D9"/>
    <w:rsid w:val="7E5A06B1"/>
    <w:rsid w:val="7E5D539B"/>
    <w:rsid w:val="7E5E4287"/>
    <w:rsid w:val="7E5F5E41"/>
    <w:rsid w:val="7E6C7D49"/>
    <w:rsid w:val="7E755FEB"/>
    <w:rsid w:val="7E7C69F3"/>
    <w:rsid w:val="7E81225C"/>
    <w:rsid w:val="7E896090"/>
    <w:rsid w:val="7E9755DB"/>
    <w:rsid w:val="7EBB136F"/>
    <w:rsid w:val="7EBC3294"/>
    <w:rsid w:val="7EC04F46"/>
    <w:rsid w:val="7EC41B72"/>
    <w:rsid w:val="7ECD2C13"/>
    <w:rsid w:val="7ECD54A1"/>
    <w:rsid w:val="7ED93E46"/>
    <w:rsid w:val="7EDE1E7C"/>
    <w:rsid w:val="7EF4500A"/>
    <w:rsid w:val="7F001CE7"/>
    <w:rsid w:val="7F037115"/>
    <w:rsid w:val="7F0A04A3"/>
    <w:rsid w:val="7F134B28"/>
    <w:rsid w:val="7F146553"/>
    <w:rsid w:val="7F155595"/>
    <w:rsid w:val="7F1906E6"/>
    <w:rsid w:val="7F1E09AF"/>
    <w:rsid w:val="7F203823"/>
    <w:rsid w:val="7F355E7C"/>
    <w:rsid w:val="7F384D6F"/>
    <w:rsid w:val="7F4219EB"/>
    <w:rsid w:val="7F4B4088"/>
    <w:rsid w:val="7F4F65A9"/>
    <w:rsid w:val="7F6A22E7"/>
    <w:rsid w:val="7F730652"/>
    <w:rsid w:val="7F7B2EF8"/>
    <w:rsid w:val="7F877D3D"/>
    <w:rsid w:val="7F88248A"/>
    <w:rsid w:val="7F8C617A"/>
    <w:rsid w:val="7F9E20FB"/>
    <w:rsid w:val="7FA858A6"/>
    <w:rsid w:val="7FA97E04"/>
    <w:rsid w:val="7FB04457"/>
    <w:rsid w:val="7FC76394"/>
    <w:rsid w:val="7FCD4F70"/>
    <w:rsid w:val="7FCE14D1"/>
    <w:rsid w:val="7FD652C9"/>
    <w:rsid w:val="7FD91C23"/>
    <w:rsid w:val="7FD95146"/>
    <w:rsid w:val="7FE066CF"/>
    <w:rsid w:val="7FE47E50"/>
    <w:rsid w:val="7FF50E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qFormat="1" w:unhideWhenUsed="0" w:uiPriority="99"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5">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paragraph" w:styleId="6">
    <w:name w:val="heading 3"/>
    <w:basedOn w:val="1"/>
    <w:next w:val="1"/>
    <w:qFormat/>
    <w:uiPriority w:val="0"/>
    <w:pPr>
      <w:keepNext/>
      <w:keepLines/>
      <w:spacing w:after="40" w:line="360" w:lineRule="auto"/>
      <w:ind w:firstLine="0" w:firstLineChars="0"/>
      <w:outlineLvl w:val="2"/>
    </w:pPr>
    <w:rPr>
      <w:b/>
      <w:bCs/>
      <w:sz w:val="28"/>
      <w:szCs w:val="32"/>
    </w:rPr>
  </w:style>
  <w:style w:type="paragraph" w:styleId="7">
    <w:name w:val="heading 4"/>
    <w:basedOn w:val="1"/>
    <w:next w:val="1"/>
    <w:qFormat/>
    <w:uiPriority w:val="0"/>
    <w:pPr>
      <w:keepNext/>
      <w:keepLines/>
      <w:spacing w:before="280" w:after="290" w:line="376" w:lineRule="auto"/>
      <w:outlineLvl w:val="3"/>
    </w:pPr>
    <w:rPr>
      <w:rFonts w:ascii="Cambria" w:hAnsi="Cambria"/>
      <w:b/>
      <w:bCs/>
      <w:sz w:val="28"/>
      <w:szCs w:val="28"/>
    </w:rPr>
  </w:style>
  <w:style w:type="character" w:default="1" w:styleId="28">
    <w:name w:val="Default Paragraph Font"/>
    <w:unhideWhenUsed/>
    <w:qFormat/>
    <w:uiPriority w:val="1"/>
  </w:style>
  <w:style w:type="table" w:default="1" w:styleId="26">
    <w:name w:val="Normal Table"/>
    <w:unhideWhenUsed/>
    <w:qFormat/>
    <w:uiPriority w:val="99"/>
    <w:tblPr>
      <w:tblCellMar>
        <w:top w:w="0" w:type="dxa"/>
        <w:left w:w="108" w:type="dxa"/>
        <w:bottom w:w="0" w:type="dxa"/>
        <w:right w:w="108" w:type="dxa"/>
      </w:tblCellMar>
    </w:tblPr>
  </w:style>
  <w:style w:type="paragraph" w:styleId="2">
    <w:name w:val="Body Text First Indent 2"/>
    <w:basedOn w:val="1"/>
    <w:next w:val="1"/>
    <w:qFormat/>
    <w:uiPriority w:val="0"/>
    <w:pPr>
      <w:ind w:firstLine="420" w:firstLineChars="200"/>
    </w:pPr>
    <w:rPr>
      <w:kern w:val="2"/>
    </w:rPr>
  </w:style>
  <w:style w:type="paragraph" w:styleId="3">
    <w:name w:val="macro"/>
    <w:qFormat/>
    <w:uiPriority w:val="9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sz w:val="24"/>
      <w:lang w:val="en-US" w:eastAsia="zh-CN" w:bidi="ar-SA"/>
    </w:rPr>
  </w:style>
  <w:style w:type="paragraph" w:styleId="8">
    <w:name w:val="Note Heading"/>
    <w:basedOn w:val="1"/>
    <w:next w:val="1"/>
    <w:qFormat/>
    <w:uiPriority w:val="0"/>
    <w:pPr>
      <w:spacing w:line="360" w:lineRule="auto"/>
      <w:jc w:val="center"/>
    </w:pPr>
    <w:rPr>
      <w:sz w:val="24"/>
    </w:rPr>
  </w:style>
  <w:style w:type="paragraph" w:styleId="9">
    <w:name w:val="Normal Indent"/>
    <w:basedOn w:val="1"/>
    <w:next w:val="1"/>
    <w:qFormat/>
    <w:uiPriority w:val="0"/>
    <w:pPr>
      <w:ind w:firstLine="420"/>
    </w:pPr>
    <w:rPr>
      <w:szCs w:val="20"/>
    </w:rPr>
  </w:style>
  <w:style w:type="paragraph" w:styleId="10">
    <w:name w:val="caption"/>
    <w:basedOn w:val="1"/>
    <w:next w:val="1"/>
    <w:qFormat/>
    <w:uiPriority w:val="0"/>
    <w:pPr>
      <w:keepNext/>
      <w:spacing w:line="360" w:lineRule="auto"/>
      <w:ind w:firstLine="200" w:firstLineChars="200"/>
      <w:jc w:val="center"/>
    </w:pPr>
    <w:rPr>
      <w:rFonts w:ascii="Cambria" w:hAnsi="Cambria" w:eastAsia="黑体"/>
      <w:sz w:val="24"/>
      <w:szCs w:val="20"/>
    </w:rPr>
  </w:style>
  <w:style w:type="paragraph" w:styleId="11">
    <w:name w:val="Document Map"/>
    <w:basedOn w:val="1"/>
    <w:link w:val="39"/>
    <w:qFormat/>
    <w:uiPriority w:val="0"/>
    <w:rPr>
      <w:rFonts w:ascii="宋体"/>
      <w:sz w:val="18"/>
      <w:szCs w:val="18"/>
    </w:rPr>
  </w:style>
  <w:style w:type="paragraph" w:styleId="12">
    <w:name w:val="annotation text"/>
    <w:basedOn w:val="1"/>
    <w:link w:val="37"/>
    <w:semiHidden/>
    <w:qFormat/>
    <w:uiPriority w:val="0"/>
    <w:pPr>
      <w:jc w:val="left"/>
    </w:pPr>
    <w:rPr>
      <w:kern w:val="0"/>
      <w:sz w:val="24"/>
      <w:szCs w:val="20"/>
    </w:rPr>
  </w:style>
  <w:style w:type="paragraph" w:styleId="13">
    <w:name w:val="Body Text"/>
    <w:basedOn w:val="1"/>
    <w:next w:val="14"/>
    <w:link w:val="50"/>
    <w:qFormat/>
    <w:uiPriority w:val="0"/>
    <w:pPr>
      <w:widowControl/>
      <w:snapToGrid w:val="0"/>
      <w:spacing w:before="60" w:after="160" w:line="259" w:lineRule="auto"/>
      <w:ind w:right="113"/>
    </w:pPr>
    <w:rPr>
      <w:kern w:val="0"/>
      <w:sz w:val="18"/>
      <w:szCs w:val="20"/>
    </w:rPr>
  </w:style>
  <w:style w:type="paragraph" w:styleId="14">
    <w:name w:val="Body Text 2"/>
    <w:basedOn w:val="1"/>
    <w:qFormat/>
    <w:uiPriority w:val="0"/>
    <w:pPr>
      <w:spacing w:after="120" w:line="480" w:lineRule="auto"/>
    </w:pPr>
  </w:style>
  <w:style w:type="paragraph" w:styleId="15">
    <w:name w:val="Body Text Indent"/>
    <w:basedOn w:val="1"/>
    <w:next w:val="13"/>
    <w:link w:val="47"/>
    <w:qFormat/>
    <w:uiPriority w:val="0"/>
    <w:pPr>
      <w:spacing w:after="120"/>
      <w:ind w:left="420" w:leftChars="200"/>
    </w:pPr>
    <w:rPr>
      <w:kern w:val="0"/>
      <w:sz w:val="24"/>
      <w:szCs w:val="20"/>
    </w:rPr>
  </w:style>
  <w:style w:type="paragraph" w:styleId="16">
    <w:name w:val="Block Text"/>
    <w:basedOn w:val="1"/>
    <w:next w:val="1"/>
    <w:qFormat/>
    <w:uiPriority w:val="0"/>
    <w:pPr>
      <w:autoSpaceDE w:val="0"/>
      <w:autoSpaceDN w:val="0"/>
      <w:adjustRightInd w:val="0"/>
      <w:spacing w:before="1" w:line="537" w:lineRule="exact"/>
      <w:ind w:left="88" w:right="6"/>
    </w:pPr>
    <w:rPr>
      <w:kern w:val="0"/>
      <w:sz w:val="28"/>
      <w:szCs w:val="20"/>
    </w:rPr>
  </w:style>
  <w:style w:type="paragraph" w:styleId="17">
    <w:name w:val="Plain Text"/>
    <w:basedOn w:val="1"/>
    <w:qFormat/>
    <w:uiPriority w:val="0"/>
    <w:pPr>
      <w:spacing w:line="240" w:lineRule="atLeast"/>
    </w:pPr>
    <w:rPr>
      <w:rFonts w:ascii="宋体" w:hAnsi="Courier New"/>
      <w:sz w:val="28"/>
    </w:rPr>
  </w:style>
  <w:style w:type="paragraph" w:styleId="18">
    <w:name w:val="Date"/>
    <w:basedOn w:val="1"/>
    <w:next w:val="1"/>
    <w:link w:val="41"/>
    <w:qFormat/>
    <w:uiPriority w:val="0"/>
    <w:pPr>
      <w:ind w:left="100" w:leftChars="2500"/>
    </w:pPr>
    <w:rPr>
      <w:kern w:val="0"/>
      <w:sz w:val="24"/>
      <w:szCs w:val="20"/>
    </w:rPr>
  </w:style>
  <w:style w:type="paragraph" w:styleId="19">
    <w:name w:val="Body Text Indent 2"/>
    <w:basedOn w:val="1"/>
    <w:qFormat/>
    <w:uiPriority w:val="0"/>
    <w:pPr>
      <w:spacing w:after="120" w:line="480" w:lineRule="auto"/>
      <w:ind w:left="420" w:leftChars="200"/>
    </w:pPr>
  </w:style>
  <w:style w:type="paragraph" w:styleId="20">
    <w:name w:val="Balloon Text"/>
    <w:basedOn w:val="1"/>
    <w:link w:val="38"/>
    <w:semiHidden/>
    <w:qFormat/>
    <w:uiPriority w:val="0"/>
    <w:rPr>
      <w:kern w:val="0"/>
      <w:sz w:val="18"/>
      <w:szCs w:val="20"/>
    </w:rPr>
  </w:style>
  <w:style w:type="paragraph" w:styleId="21">
    <w:name w:val="footer"/>
    <w:basedOn w:val="1"/>
    <w:link w:val="52"/>
    <w:qFormat/>
    <w:uiPriority w:val="99"/>
    <w:pPr>
      <w:tabs>
        <w:tab w:val="center" w:pos="4153"/>
        <w:tab w:val="right" w:pos="8306"/>
      </w:tabs>
      <w:snapToGrid w:val="0"/>
      <w:jc w:val="left"/>
    </w:pPr>
    <w:rPr>
      <w:kern w:val="0"/>
      <w:sz w:val="18"/>
      <w:szCs w:val="20"/>
    </w:rPr>
  </w:style>
  <w:style w:type="paragraph" w:styleId="22">
    <w:name w:val="header"/>
    <w:basedOn w:val="1"/>
    <w:link w:val="43"/>
    <w:qFormat/>
    <w:uiPriority w:val="0"/>
    <w:pPr>
      <w:pBdr>
        <w:bottom w:val="single" w:color="auto" w:sz="6" w:space="1"/>
      </w:pBdr>
      <w:tabs>
        <w:tab w:val="center" w:pos="4153"/>
        <w:tab w:val="right" w:pos="8306"/>
      </w:tabs>
      <w:snapToGrid w:val="0"/>
      <w:jc w:val="center"/>
    </w:pPr>
    <w:rPr>
      <w:kern w:val="0"/>
      <w:sz w:val="18"/>
      <w:szCs w:val="20"/>
    </w:rPr>
  </w:style>
  <w:style w:type="paragraph" w:styleId="23">
    <w:name w:val="Normal (Web)"/>
    <w:basedOn w:val="1"/>
    <w:link w:val="51"/>
    <w:qFormat/>
    <w:uiPriority w:val="0"/>
    <w:pPr>
      <w:widowControl/>
      <w:spacing w:before="100" w:beforeAutospacing="1" w:after="100" w:afterAutospacing="1"/>
      <w:jc w:val="left"/>
    </w:pPr>
    <w:rPr>
      <w:rFonts w:ascii="宋体" w:hAnsi="宋体"/>
      <w:kern w:val="0"/>
      <w:sz w:val="24"/>
      <w:szCs w:val="20"/>
    </w:rPr>
  </w:style>
  <w:style w:type="paragraph" w:styleId="24">
    <w:name w:val="annotation subject"/>
    <w:basedOn w:val="12"/>
    <w:next w:val="12"/>
    <w:link w:val="49"/>
    <w:semiHidden/>
    <w:qFormat/>
    <w:uiPriority w:val="0"/>
    <w:rPr>
      <w:b/>
      <w:kern w:val="2"/>
    </w:rPr>
  </w:style>
  <w:style w:type="paragraph" w:styleId="25">
    <w:name w:val="Body Text First Indent"/>
    <w:basedOn w:val="13"/>
    <w:qFormat/>
    <w:uiPriority w:val="0"/>
    <w:pPr>
      <w:widowControl w:val="0"/>
      <w:spacing w:after="120"/>
      <w:ind w:firstLine="420" w:firstLineChars="100"/>
    </w:pPr>
    <w:rPr>
      <w:kern w:val="2"/>
      <w:sz w:val="21"/>
      <w:szCs w:val="24"/>
    </w:rPr>
  </w:style>
  <w:style w:type="table" w:styleId="27">
    <w:name w:val="Table Grid"/>
    <w:basedOn w:val="2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9">
    <w:name w:val="Strong"/>
    <w:basedOn w:val="28"/>
    <w:qFormat/>
    <w:uiPriority w:val="0"/>
    <w:rPr>
      <w:b/>
    </w:rPr>
  </w:style>
  <w:style w:type="character" w:styleId="30">
    <w:name w:val="page number"/>
    <w:basedOn w:val="28"/>
    <w:qFormat/>
    <w:uiPriority w:val="0"/>
  </w:style>
  <w:style w:type="character" w:styleId="31">
    <w:name w:val="Emphasis"/>
    <w:basedOn w:val="28"/>
    <w:qFormat/>
    <w:uiPriority w:val="0"/>
    <w:rPr>
      <w:i/>
    </w:rPr>
  </w:style>
  <w:style w:type="character" w:styleId="32">
    <w:name w:val="Hyperlink"/>
    <w:basedOn w:val="28"/>
    <w:qFormat/>
    <w:uiPriority w:val="0"/>
    <w:rPr>
      <w:color w:val="0000FF"/>
      <w:u w:val="single"/>
    </w:rPr>
  </w:style>
  <w:style w:type="character" w:styleId="33">
    <w:name w:val="annotation reference"/>
    <w:semiHidden/>
    <w:qFormat/>
    <w:uiPriority w:val="0"/>
    <w:rPr>
      <w:sz w:val="21"/>
    </w:rPr>
  </w:style>
  <w:style w:type="paragraph" w:customStyle="1" w:styleId="34">
    <w:name w:val="Default"/>
    <w:basedOn w:val="35"/>
    <w:next w:val="36"/>
    <w:unhideWhenUsed/>
    <w:qFormat/>
    <w:uiPriority w:val="99"/>
    <w:pPr>
      <w:widowControl w:val="0"/>
      <w:autoSpaceDE w:val="0"/>
      <w:autoSpaceDN w:val="0"/>
      <w:adjustRightInd w:val="0"/>
    </w:pPr>
    <w:rPr>
      <w:rFonts w:hint="eastAsia" w:ascii="Times New Roman" w:hAnsi="Times New Roman" w:eastAsia="Times New Roman" w:cs="Times New Roman"/>
      <w:color w:val="000000"/>
      <w:sz w:val="24"/>
      <w:lang w:val="en-US" w:eastAsia="zh-CN" w:bidi="ar-SA"/>
    </w:rPr>
  </w:style>
  <w:style w:type="paragraph" w:customStyle="1" w:styleId="35">
    <w:name w:val="纯文本1"/>
    <w:basedOn w:val="1"/>
    <w:qFormat/>
    <w:uiPriority w:val="0"/>
    <w:pPr>
      <w:adjustRightInd w:val="0"/>
    </w:pPr>
    <w:rPr>
      <w:rFonts w:ascii="宋体" w:hAnsi="Courier New"/>
    </w:rPr>
  </w:style>
  <w:style w:type="paragraph" w:customStyle="1" w:styleId="36">
    <w:name w:val="正文文字 6"/>
    <w:next w:val="1"/>
    <w:qFormat/>
    <w:uiPriority w:val="0"/>
    <w:pPr>
      <w:widowControl w:val="0"/>
      <w:ind w:left="240"/>
      <w:jc w:val="both"/>
    </w:pPr>
    <w:rPr>
      <w:rFonts w:ascii="宋体" w:hAnsi="Times New Roman" w:eastAsia="宋体" w:cs="Times New Roman"/>
      <w:b/>
      <w:bCs/>
      <w:kern w:val="2"/>
      <w:sz w:val="32"/>
      <w:szCs w:val="32"/>
      <w:lang w:val="en-US" w:eastAsia="zh-CN" w:bidi="ar-SA"/>
    </w:rPr>
  </w:style>
  <w:style w:type="character" w:customStyle="1" w:styleId="37">
    <w:name w:val="批注文字 Char"/>
    <w:link w:val="12"/>
    <w:qFormat/>
    <w:uiPriority w:val="0"/>
    <w:rPr>
      <w:rFonts w:ascii="Times New Roman" w:hAnsi="Times New Roman" w:eastAsia="宋体"/>
      <w:sz w:val="24"/>
    </w:rPr>
  </w:style>
  <w:style w:type="character" w:customStyle="1" w:styleId="38">
    <w:name w:val="批注框文本 Char"/>
    <w:link w:val="20"/>
    <w:semiHidden/>
    <w:qFormat/>
    <w:uiPriority w:val="0"/>
    <w:rPr>
      <w:rFonts w:ascii="Times New Roman" w:hAnsi="Times New Roman" w:eastAsia="宋体"/>
      <w:sz w:val="18"/>
    </w:rPr>
  </w:style>
  <w:style w:type="character" w:customStyle="1" w:styleId="39">
    <w:name w:val="文档结构图 Char"/>
    <w:link w:val="11"/>
    <w:qFormat/>
    <w:uiPriority w:val="0"/>
    <w:rPr>
      <w:rFonts w:ascii="宋体"/>
      <w:kern w:val="2"/>
      <w:sz w:val="18"/>
      <w:szCs w:val="18"/>
    </w:rPr>
  </w:style>
  <w:style w:type="character" w:customStyle="1" w:styleId="40">
    <w:name w:val="日期 字符"/>
    <w:semiHidden/>
    <w:qFormat/>
    <w:uiPriority w:val="0"/>
    <w:rPr>
      <w:rFonts w:ascii="Times New Roman" w:hAnsi="Times New Roman" w:eastAsia="宋体"/>
      <w:sz w:val="24"/>
    </w:rPr>
  </w:style>
  <w:style w:type="character" w:customStyle="1" w:styleId="41">
    <w:name w:val="日期 Char"/>
    <w:link w:val="18"/>
    <w:qFormat/>
    <w:uiPriority w:val="0"/>
    <w:rPr>
      <w:rFonts w:ascii="Times New Roman" w:hAnsi="Times New Roman" w:eastAsia="宋体"/>
      <w:sz w:val="24"/>
    </w:rPr>
  </w:style>
  <w:style w:type="character" w:customStyle="1" w:styleId="42">
    <w:name w:val="页脚 字符"/>
    <w:basedOn w:val="28"/>
    <w:qFormat/>
    <w:uiPriority w:val="99"/>
  </w:style>
  <w:style w:type="character" w:customStyle="1" w:styleId="43">
    <w:name w:val="页眉 Char"/>
    <w:link w:val="22"/>
    <w:qFormat/>
    <w:uiPriority w:val="0"/>
    <w:rPr>
      <w:sz w:val="18"/>
    </w:rPr>
  </w:style>
  <w:style w:type="character" w:customStyle="1" w:styleId="44">
    <w:name w:val="表格 Char"/>
    <w:link w:val="45"/>
    <w:qFormat/>
    <w:uiPriority w:val="0"/>
    <w:rPr>
      <w:rFonts w:ascii="宋体"/>
      <w:sz w:val="21"/>
    </w:rPr>
  </w:style>
  <w:style w:type="paragraph" w:customStyle="1" w:styleId="45">
    <w:name w:val="表格"/>
    <w:basedOn w:val="1"/>
    <w:next w:val="1"/>
    <w:link w:val="44"/>
    <w:qFormat/>
    <w:uiPriority w:val="0"/>
    <w:pPr>
      <w:adjustRightInd w:val="0"/>
      <w:snapToGrid w:val="0"/>
      <w:spacing w:beforeLines="10" w:afterLines="10" w:line="259" w:lineRule="auto"/>
      <w:jc w:val="center"/>
    </w:pPr>
    <w:rPr>
      <w:rFonts w:ascii="宋体"/>
      <w:kern w:val="0"/>
      <w:szCs w:val="20"/>
    </w:rPr>
  </w:style>
  <w:style w:type="character" w:customStyle="1" w:styleId="46">
    <w:name w:val="批注文字 字符1"/>
    <w:semiHidden/>
    <w:qFormat/>
    <w:uiPriority w:val="0"/>
    <w:rPr>
      <w:rFonts w:ascii="Times New Roman" w:hAnsi="Times New Roman" w:eastAsia="宋体"/>
      <w:sz w:val="24"/>
    </w:rPr>
  </w:style>
  <w:style w:type="character" w:customStyle="1" w:styleId="47">
    <w:name w:val="正文文本缩进 Char"/>
    <w:link w:val="15"/>
    <w:semiHidden/>
    <w:qFormat/>
    <w:uiPriority w:val="0"/>
    <w:rPr>
      <w:rFonts w:ascii="Times New Roman" w:hAnsi="Times New Roman" w:eastAsia="宋体"/>
      <w:sz w:val="24"/>
    </w:rPr>
  </w:style>
  <w:style w:type="character" w:customStyle="1" w:styleId="48">
    <w:name w:val="正文文本 字符1"/>
    <w:semiHidden/>
    <w:qFormat/>
    <w:uiPriority w:val="0"/>
    <w:rPr>
      <w:rFonts w:ascii="Times New Roman" w:hAnsi="Times New Roman" w:eastAsia="宋体"/>
      <w:sz w:val="24"/>
    </w:rPr>
  </w:style>
  <w:style w:type="character" w:customStyle="1" w:styleId="49">
    <w:name w:val="批注主题 Char"/>
    <w:link w:val="24"/>
    <w:semiHidden/>
    <w:qFormat/>
    <w:uiPriority w:val="0"/>
    <w:rPr>
      <w:rFonts w:ascii="Times New Roman" w:hAnsi="Times New Roman" w:eastAsia="宋体"/>
      <w:b/>
      <w:kern w:val="2"/>
      <w:sz w:val="24"/>
    </w:rPr>
  </w:style>
  <w:style w:type="character" w:customStyle="1" w:styleId="50">
    <w:name w:val="正文文本 Char"/>
    <w:link w:val="13"/>
    <w:qFormat/>
    <w:uiPriority w:val="0"/>
    <w:rPr>
      <w:sz w:val="18"/>
    </w:rPr>
  </w:style>
  <w:style w:type="character" w:customStyle="1" w:styleId="51">
    <w:name w:val="普通(网站) Char"/>
    <w:link w:val="23"/>
    <w:qFormat/>
    <w:uiPriority w:val="0"/>
    <w:rPr>
      <w:rFonts w:ascii="宋体" w:hAnsi="宋体" w:eastAsia="宋体"/>
      <w:sz w:val="24"/>
    </w:rPr>
  </w:style>
  <w:style w:type="character" w:customStyle="1" w:styleId="52">
    <w:name w:val="页脚 Char"/>
    <w:link w:val="21"/>
    <w:qFormat/>
    <w:uiPriority w:val="99"/>
    <w:rPr>
      <w:sz w:val="18"/>
    </w:rPr>
  </w:style>
  <w:style w:type="paragraph" w:customStyle="1" w:styleId="53">
    <w:name w:val="图表"/>
    <w:basedOn w:val="1"/>
    <w:qFormat/>
    <w:uiPriority w:val="0"/>
    <w:pPr>
      <w:tabs>
        <w:tab w:val="left" w:pos="1322"/>
        <w:tab w:val="center" w:pos="4635"/>
      </w:tabs>
      <w:adjustRightInd w:val="0"/>
      <w:snapToGrid w:val="0"/>
      <w:jc w:val="center"/>
      <w:outlineLvl w:val="1"/>
    </w:pPr>
    <w:rPr>
      <w:rFonts w:eastAsia="黑体"/>
      <w:b/>
      <w:snapToGrid w:val="0"/>
      <w:kern w:val="0"/>
      <w:sz w:val="22"/>
      <w:szCs w:val="22"/>
    </w:rPr>
  </w:style>
  <w:style w:type="paragraph" w:customStyle="1" w:styleId="54">
    <w:name w:val="样式 表中文字 +"/>
    <w:basedOn w:val="1"/>
    <w:qFormat/>
    <w:uiPriority w:val="0"/>
    <w:pPr>
      <w:adjustRightInd w:val="0"/>
      <w:snapToGrid w:val="0"/>
      <w:spacing w:line="0" w:lineRule="atLeast"/>
      <w:jc w:val="center"/>
    </w:pPr>
    <w:rPr>
      <w:rFonts w:hAnsi="宋体"/>
      <w:bCs/>
      <w:color w:val="000000"/>
      <w:kern w:val="0"/>
      <w:szCs w:val="21"/>
    </w:rPr>
  </w:style>
  <w:style w:type="paragraph" w:customStyle="1" w:styleId="55">
    <w:name w:val="表格内容"/>
    <w:basedOn w:val="1"/>
    <w:qFormat/>
    <w:uiPriority w:val="0"/>
    <w:pPr>
      <w:spacing w:line="288" w:lineRule="auto"/>
      <w:jc w:val="center"/>
    </w:pPr>
  </w:style>
  <w:style w:type="paragraph" w:customStyle="1" w:styleId="56">
    <w:name w:val="样式2"/>
    <w:basedOn w:val="1"/>
    <w:next w:val="13"/>
    <w:unhideWhenUsed/>
    <w:qFormat/>
    <w:uiPriority w:val="0"/>
    <w:pPr>
      <w:spacing w:line="520" w:lineRule="exact"/>
      <w:ind w:firstLine="480" w:firstLineChars="200"/>
    </w:pPr>
    <w:rPr>
      <w:rFonts w:hint="eastAsia"/>
      <w:sz w:val="24"/>
    </w:rPr>
  </w:style>
  <w:style w:type="paragraph" w:customStyle="1" w:styleId="57">
    <w:name w:val="表内 定"/>
    <w:basedOn w:val="1"/>
    <w:qFormat/>
    <w:uiPriority w:val="0"/>
    <w:pPr>
      <w:snapToGrid w:val="0"/>
      <w:jc w:val="left"/>
    </w:pPr>
    <w:rPr>
      <w:rFonts w:eastAsia="仿宋"/>
      <w:color w:val="000000"/>
      <w:kern w:val="0"/>
      <w:sz w:val="20"/>
      <w:szCs w:val="22"/>
    </w:rPr>
  </w:style>
  <w:style w:type="paragraph" w:customStyle="1" w:styleId="58">
    <w:name w:val="00"/>
    <w:basedOn w:val="1"/>
    <w:next w:val="3"/>
    <w:qFormat/>
    <w:uiPriority w:val="0"/>
    <w:pPr>
      <w:spacing w:line="520" w:lineRule="exact"/>
      <w:ind w:firstLine="200" w:firstLineChars="200"/>
    </w:pPr>
    <w:rPr>
      <w:rFonts w:ascii="宋体" w:hAnsi="宋体"/>
      <w:sz w:val="24"/>
      <w:szCs w:val="20"/>
    </w:rPr>
  </w:style>
  <w:style w:type="paragraph" w:customStyle="1" w:styleId="59">
    <w:name w:val="p0"/>
    <w:basedOn w:val="1"/>
    <w:qFormat/>
    <w:uiPriority w:val="0"/>
    <w:pPr>
      <w:widowControl/>
    </w:pPr>
    <w:rPr>
      <w:kern w:val="0"/>
      <w:szCs w:val="21"/>
    </w:rPr>
  </w:style>
  <w:style w:type="paragraph" w:customStyle="1" w:styleId="60">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61">
    <w:name w:val="报告正文"/>
    <w:basedOn w:val="1"/>
    <w:qFormat/>
    <w:uiPriority w:val="0"/>
    <w:pPr>
      <w:spacing w:line="480" w:lineRule="exact"/>
      <w:ind w:firstLine="200" w:firstLineChars="200"/>
    </w:pPr>
    <w:rPr>
      <w:color w:val="000000"/>
      <w:sz w:val="24"/>
    </w:rPr>
  </w:style>
  <w:style w:type="paragraph" w:customStyle="1" w:styleId="62">
    <w:name w:val="正文文本缩进 31"/>
    <w:basedOn w:val="1"/>
    <w:qFormat/>
    <w:uiPriority w:val="0"/>
    <w:pPr>
      <w:spacing w:line="500" w:lineRule="atLeast"/>
      <w:ind w:left="-105" w:firstLine="585"/>
    </w:pPr>
    <w:rPr>
      <w:rFonts w:ascii="宋体"/>
      <w:sz w:val="24"/>
      <w:szCs w:val="20"/>
    </w:rPr>
  </w:style>
  <w:style w:type="paragraph" w:customStyle="1" w:styleId="63">
    <w:name w:val="样式1"/>
    <w:basedOn w:val="4"/>
    <w:next w:val="13"/>
    <w:unhideWhenUsed/>
    <w:qFormat/>
    <w:uiPriority w:val="0"/>
    <w:pPr>
      <w:spacing w:before="240" w:after="240" w:line="520" w:lineRule="exact"/>
    </w:pPr>
    <w:rPr>
      <w:rFonts w:hint="eastAsia"/>
      <w:sz w:val="28"/>
    </w:rPr>
  </w:style>
  <w:style w:type="paragraph" w:customStyle="1" w:styleId="64">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65">
    <w:name w:val="3级标题"/>
    <w:basedOn w:val="1"/>
    <w:qFormat/>
    <w:uiPriority w:val="0"/>
    <w:pPr>
      <w:spacing w:line="500" w:lineRule="exact"/>
      <w:outlineLvl w:val="2"/>
    </w:pPr>
    <w:rPr>
      <w:rFonts w:ascii="楷体_GB2312" w:eastAsia="楷体_GB2312"/>
      <w:sz w:val="28"/>
    </w:rPr>
  </w:style>
  <w:style w:type="paragraph" w:customStyle="1" w:styleId="66">
    <w:name w:val="表头"/>
    <w:basedOn w:val="1"/>
    <w:next w:val="1"/>
    <w:qFormat/>
    <w:uiPriority w:val="0"/>
    <w:pPr>
      <w:jc w:val="center"/>
    </w:pPr>
    <w:rPr>
      <w:b/>
    </w:rPr>
  </w:style>
  <w:style w:type="paragraph" w:customStyle="1" w:styleId="67">
    <w:name w:val="新格式表"/>
    <w:basedOn w:val="1"/>
    <w:qFormat/>
    <w:uiPriority w:val="0"/>
    <w:pPr>
      <w:adjustRightInd w:val="0"/>
      <w:snapToGrid w:val="0"/>
      <w:spacing w:line="0" w:lineRule="atLeast"/>
      <w:jc w:val="center"/>
    </w:pPr>
    <w:rPr>
      <w:kern w:val="0"/>
      <w:szCs w:val="21"/>
    </w:rPr>
  </w:style>
  <w:style w:type="paragraph" w:customStyle="1" w:styleId="68">
    <w:name w:val="报告书"/>
    <w:basedOn w:val="1"/>
    <w:qFormat/>
    <w:uiPriority w:val="0"/>
    <w:pPr>
      <w:adjustRightInd w:val="0"/>
      <w:snapToGrid w:val="0"/>
      <w:spacing w:line="440" w:lineRule="atLeast"/>
      <w:ind w:firstLine="482"/>
      <w:textAlignment w:val="baseline"/>
    </w:pPr>
    <w:rPr>
      <w:rFonts w:ascii="宋体"/>
      <w:kern w:val="24"/>
      <w:sz w:val="24"/>
      <w:szCs w:val="20"/>
    </w:rPr>
  </w:style>
  <w:style w:type="paragraph" w:customStyle="1" w:styleId="69">
    <w:name w:val="正文标题"/>
    <w:qFormat/>
    <w:uiPriority w:val="0"/>
    <w:pPr>
      <w:spacing w:line="480" w:lineRule="exact"/>
      <w:jc w:val="both"/>
    </w:pPr>
    <w:rPr>
      <w:rFonts w:ascii="Times New Roman" w:hAnsi="Times New Roman" w:eastAsia="黑体" w:cs="Times New Roman"/>
      <w:kern w:val="2"/>
      <w:sz w:val="24"/>
      <w:lang w:val="en-US" w:eastAsia="zh-CN" w:bidi="ar-SA"/>
    </w:rPr>
  </w:style>
  <w:style w:type="paragraph" w:customStyle="1" w:styleId="70">
    <w:name w:val="p16"/>
    <w:basedOn w:val="1"/>
    <w:qFormat/>
    <w:uiPriority w:val="0"/>
    <w:pPr>
      <w:widowControl/>
      <w:spacing w:after="120"/>
    </w:pPr>
    <w:rPr>
      <w:kern w:val="0"/>
      <w:szCs w:val="21"/>
    </w:rPr>
  </w:style>
  <w:style w:type="paragraph" w:customStyle="1" w:styleId="71">
    <w:name w:val="Table Paragraph"/>
    <w:basedOn w:val="1"/>
    <w:qFormat/>
    <w:uiPriority w:val="1"/>
    <w:pPr>
      <w:autoSpaceDE w:val="0"/>
      <w:autoSpaceDN w:val="0"/>
      <w:adjustRightInd w:val="0"/>
      <w:jc w:val="left"/>
    </w:pPr>
    <w:rPr>
      <w:kern w:val="0"/>
      <w:sz w:val="24"/>
    </w:rPr>
  </w:style>
  <w:style w:type="character" w:customStyle="1" w:styleId="72">
    <w:name w:val="占位符文本1"/>
    <w:basedOn w:val="28"/>
    <w:unhideWhenUsed/>
    <w:qFormat/>
    <w:uiPriority w:val="99"/>
    <w:rPr>
      <w:color w:val="808080"/>
    </w:rPr>
  </w:style>
  <w:style w:type="paragraph" w:customStyle="1" w:styleId="73">
    <w:name w:val="样式3"/>
    <w:basedOn w:val="56"/>
    <w:unhideWhenUsed/>
    <w:qFormat/>
    <w:uiPriority w:val="0"/>
    <w:pPr>
      <w:spacing w:after="50" w:afterLines="50"/>
      <w:ind w:firstLine="0" w:firstLineChars="0"/>
      <w:outlineLvl w:val="1"/>
    </w:pPr>
    <w:rPr>
      <w:b/>
      <w:sz w:val="28"/>
    </w:rPr>
  </w:style>
  <w:style w:type="paragraph" w:customStyle="1" w:styleId="74">
    <w:name w:val="样式 正文文本缩进 + 行距: 1.5 倍行距"/>
    <w:basedOn w:val="1"/>
    <w:qFormat/>
    <w:uiPriority w:val="0"/>
    <w:pPr>
      <w:spacing w:after="120" w:line="360" w:lineRule="auto"/>
      <w:ind w:left="90" w:leftChars="32" w:firstLine="560" w:firstLineChars="200"/>
    </w:pPr>
    <w:rPr>
      <w:rFonts w:cs="宋体"/>
      <w:sz w:val="24"/>
      <w:szCs w:val="20"/>
    </w:rPr>
  </w:style>
  <w:style w:type="paragraph" w:customStyle="1" w:styleId="75">
    <w:name w:val="文本块11"/>
    <w:basedOn w:val="1"/>
    <w:qFormat/>
    <w:uiPriority w:val="0"/>
    <w:pPr>
      <w:autoSpaceDE w:val="0"/>
      <w:autoSpaceDN w:val="0"/>
      <w:adjustRightInd w:val="0"/>
      <w:spacing w:before="100" w:beforeAutospacing="1" w:after="100" w:afterAutospacing="1" w:line="537" w:lineRule="exact"/>
      <w:ind w:left="88" w:right="6"/>
    </w:pPr>
    <w:rPr>
      <w:rFonts w:ascii="Calibri" w:hAnsi="Calibri" w:cs="黑体"/>
      <w:kern w:val="0"/>
      <w:sz w:val="28"/>
      <w:szCs w:val="28"/>
    </w:rPr>
  </w:style>
  <w:style w:type="paragraph" w:customStyle="1" w:styleId="76">
    <w:name w:val="M正文"/>
    <w:basedOn w:val="1"/>
    <w:qFormat/>
    <w:uiPriority w:val="0"/>
    <w:pPr>
      <w:spacing w:line="520" w:lineRule="exact"/>
      <w:ind w:firstLine="200" w:firstLineChars="200"/>
    </w:pPr>
    <w:rPr>
      <w:sz w:val="24"/>
      <w:szCs w:val="21"/>
    </w:rPr>
  </w:style>
  <w:style w:type="paragraph" w:customStyle="1" w:styleId="77">
    <w:name w:val="5表格内容"/>
    <w:next w:val="1"/>
    <w:qFormat/>
    <w:uiPriority w:val="0"/>
    <w:pPr>
      <w:widowControl w:val="0"/>
      <w:spacing w:line="320" w:lineRule="exact"/>
      <w:jc w:val="center"/>
    </w:pPr>
    <w:rPr>
      <w:rFonts w:ascii="Times New Roman" w:hAnsi="Times New Roman" w:eastAsia="宋体" w:cs="Times New Roman"/>
      <w:kern w:val="2"/>
      <w:sz w:val="21"/>
      <w:szCs w:val="24"/>
      <w:lang w:val="en-US" w:eastAsia="zh-CN" w:bidi="ar-SA"/>
    </w:rPr>
  </w:style>
  <w:style w:type="paragraph" w:customStyle="1" w:styleId="78">
    <w:name w:val="正文_19"/>
    <w:qFormat/>
    <w:uiPriority w:val="0"/>
    <w:pPr>
      <w:widowControl w:val="0"/>
      <w:jc w:val="both"/>
    </w:pPr>
    <w:rPr>
      <w:rFonts w:ascii="Calibri" w:hAnsi="Calibri" w:eastAsia="宋体" w:cs="Times New Roman"/>
      <w:kern w:val="2"/>
      <w:sz w:val="21"/>
      <w:lang w:val="en-US" w:eastAsia="zh-CN" w:bidi="ar-SA"/>
    </w:rPr>
  </w:style>
  <w:style w:type="paragraph" w:customStyle="1" w:styleId="79">
    <w:name w:val="正文_13"/>
    <w:qFormat/>
    <w:uiPriority w:val="0"/>
    <w:pPr>
      <w:widowControl w:val="0"/>
      <w:jc w:val="both"/>
    </w:pPr>
    <w:rPr>
      <w:rFonts w:ascii="Calibri" w:hAnsi="Calibri" w:eastAsia="宋体" w:cs="Times New Roman"/>
      <w:kern w:val="2"/>
      <w:sz w:val="21"/>
      <w:lang w:val="en-US" w:eastAsia="zh-CN" w:bidi="ar-SA"/>
    </w:rPr>
  </w:style>
  <w:style w:type="paragraph" w:customStyle="1" w:styleId="80">
    <w:name w:val="样式 行距: 1.5 倍行距"/>
    <w:basedOn w:val="1"/>
    <w:qFormat/>
    <w:uiPriority w:val="0"/>
    <w:pPr>
      <w:spacing w:line="360" w:lineRule="auto"/>
      <w:ind w:firstLine="420" w:firstLineChars="200"/>
    </w:pPr>
    <w:rPr>
      <w:rFonts w:cs="宋体"/>
      <w:sz w:val="24"/>
      <w:szCs w:val="20"/>
    </w:rPr>
  </w:style>
  <w:style w:type="character" w:customStyle="1" w:styleId="81">
    <w:name w:val="font11"/>
    <w:basedOn w:val="28"/>
    <w:qFormat/>
    <w:uiPriority w:val="0"/>
    <w:rPr>
      <w:rFonts w:hint="eastAsia" w:ascii="宋体" w:hAnsi="宋体" w:eastAsia="宋体" w:cs="宋体"/>
      <w:color w:val="000000"/>
      <w:sz w:val="21"/>
      <w:szCs w:val="21"/>
      <w:u w:val="none"/>
    </w:rPr>
  </w:style>
  <w:style w:type="character" w:customStyle="1" w:styleId="82">
    <w:name w:val="font21"/>
    <w:basedOn w:val="28"/>
    <w:qFormat/>
    <w:uiPriority w:val="0"/>
    <w:rPr>
      <w:rFonts w:hint="default" w:ascii="Times New Roman" w:hAnsi="Times New Roman" w:cs="Times New Roman"/>
      <w:color w:val="000000"/>
      <w:sz w:val="21"/>
      <w:szCs w:val="21"/>
      <w:u w:val="none"/>
    </w:rPr>
  </w:style>
  <w:style w:type="character" w:customStyle="1" w:styleId="83">
    <w:name w:val="font41"/>
    <w:basedOn w:val="28"/>
    <w:qFormat/>
    <w:uiPriority w:val="0"/>
    <w:rPr>
      <w:rFonts w:hint="default" w:ascii="Calibri" w:hAnsi="Calibri" w:cs="Calibri"/>
      <w:color w:val="000000"/>
      <w:sz w:val="22"/>
      <w:szCs w:val="22"/>
      <w:u w:val="none"/>
    </w:rPr>
  </w:style>
  <w:style w:type="character" w:customStyle="1" w:styleId="84">
    <w:name w:val="style11"/>
    <w:basedOn w:val="28"/>
    <w:qFormat/>
    <w:uiPriority w:val="0"/>
    <w:rPr>
      <w:rFonts w:hint="eastAsia" w:ascii="宋体" w:hAnsi="宋体" w:eastAsia="宋体" w:cs="Times New Roman"/>
      <w:color w:val="000000"/>
      <w:sz w:val="20"/>
      <w:szCs w:val="20"/>
      <w:u w:val="none"/>
    </w:rPr>
  </w:style>
  <w:style w:type="paragraph" w:customStyle="1" w:styleId="85">
    <w:name w:val="000"/>
    <w:basedOn w:val="1"/>
    <w:qFormat/>
    <w:uiPriority w:val="0"/>
    <w:pPr>
      <w:snapToGrid w:val="0"/>
      <w:spacing w:line="520" w:lineRule="exact"/>
      <w:ind w:firstLine="200" w:firstLineChars="200"/>
    </w:pPr>
    <w:rPr>
      <w:rFonts w:ascii="宋体" w:hAnsi="宋体" w:cs="宋体"/>
      <w:sz w:val="24"/>
    </w:rPr>
  </w:style>
  <w:style w:type="paragraph" w:customStyle="1" w:styleId="86">
    <w:name w:val="21"/>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87">
    <w:name w:val="中文报告书样式"/>
    <w:basedOn w:val="1"/>
    <w:qFormat/>
    <w:uiPriority w:val="0"/>
    <w:pPr>
      <w:adjustRightInd w:val="0"/>
      <w:spacing w:line="480" w:lineRule="atLeast"/>
      <w:ind w:firstLine="482"/>
      <w:textAlignment w:val="baseline"/>
    </w:pPr>
    <w:rPr>
      <w:kern w:val="24"/>
      <w:sz w:val="24"/>
      <w:szCs w:val="20"/>
    </w:rPr>
  </w:style>
  <w:style w:type="paragraph" w:customStyle="1" w:styleId="88">
    <w:name w:val="表格2"/>
    <w:basedOn w:val="1"/>
    <w:semiHidden/>
    <w:qFormat/>
    <w:uiPriority w:val="0"/>
    <w:pPr>
      <w:adjustRightInd w:val="0"/>
      <w:snapToGrid w:val="0"/>
      <w:jc w:val="center"/>
    </w:pPr>
    <w:rPr>
      <w:rFonts w:ascii="Calibri" w:hAnsi="Calibri" w:eastAsia="Times New Roman"/>
      <w:bCs/>
      <w:szCs w:val="21"/>
    </w:rPr>
  </w:style>
  <w:style w:type="paragraph" w:customStyle="1" w:styleId="89">
    <w:name w:val="段落"/>
    <w:basedOn w:val="1"/>
    <w:qFormat/>
    <w:uiPriority w:val="0"/>
    <w:pPr>
      <w:tabs>
        <w:tab w:val="left" w:pos="1021"/>
      </w:tabs>
    </w:pPr>
    <w:rPr>
      <w:rFonts w:ascii="Arial" w:hAnsi="Arial" w:cs="宋体"/>
      <w:kern w:val="1"/>
      <w:szCs w:val="21"/>
      <w:lang w:val="zh-CN"/>
    </w:rPr>
  </w:style>
  <w:style w:type="character" w:customStyle="1" w:styleId="90">
    <w:name w:val="fontstyle01"/>
    <w:basedOn w:val="28"/>
    <w:qFormat/>
    <w:uiPriority w:val="0"/>
    <w:rPr>
      <w:rFonts w:ascii="FZFSK--GBK1-0" w:hAnsi="FZFSK--GBK1-0" w:eastAsia="FZFSK--GBK1-0" w:cs="FZFSK--GBK1-0"/>
      <w:color w:val="000000"/>
      <w:sz w:val="32"/>
      <w:szCs w:val="32"/>
    </w:rPr>
  </w:style>
  <w:style w:type="character" w:customStyle="1" w:styleId="91">
    <w:name w:val="fontstyle11"/>
    <w:basedOn w:val="28"/>
    <w:qFormat/>
    <w:uiPriority w:val="0"/>
    <w:rPr>
      <w:rFonts w:ascii="TimesNewRomanPSMT" w:hAnsi="TimesNewRomanPSMT" w:eastAsia="TimesNewRomanPSMT" w:cs="TimesNewRomanPSMT"/>
      <w:color w:val="000000"/>
      <w:sz w:val="32"/>
      <w:szCs w:val="32"/>
    </w:rPr>
  </w:style>
  <w:style w:type="character" w:customStyle="1" w:styleId="92">
    <w:name w:val="fontstyle21"/>
    <w:basedOn w:val="28"/>
    <w:qFormat/>
    <w:uiPriority w:val="0"/>
    <w:rPr>
      <w:rFonts w:ascii="FZFSK--GBK1-0" w:hAnsi="FZFSK--GBK1-0" w:eastAsia="FZFSK--GBK1-0" w:cs="FZFSK--GBK1-0"/>
      <w:color w:val="000000"/>
      <w:sz w:val="32"/>
      <w:szCs w:val="32"/>
    </w:rPr>
  </w:style>
  <w:style w:type="character" w:customStyle="1" w:styleId="93">
    <w:name w:val="fontstyle31"/>
    <w:basedOn w:val="28"/>
    <w:qFormat/>
    <w:uiPriority w:val="0"/>
    <w:rPr>
      <w:rFonts w:ascii="TimesNewRomanPSMT" w:hAnsi="TimesNewRomanPSMT" w:eastAsia="TimesNewRomanPSMT" w:cs="TimesNewRomanPSMT"/>
      <w:color w:val="000000"/>
      <w:sz w:val="32"/>
      <w:szCs w:val="32"/>
    </w:rPr>
  </w:style>
  <w:style w:type="paragraph" w:customStyle="1" w:styleId="94">
    <w:name w:val="Table Text"/>
    <w:basedOn w:val="1"/>
    <w:semiHidden/>
    <w:qFormat/>
    <w:uiPriority w:val="0"/>
    <w:rPr>
      <w:rFonts w:ascii="宋体" w:hAnsi="宋体" w:eastAsia="宋体" w:cs="宋体"/>
      <w:sz w:val="20"/>
      <w:szCs w:val="20"/>
      <w:lang w:val="en-US" w:eastAsia="en-US" w:bidi="ar-SA"/>
    </w:rPr>
  </w:style>
  <w:style w:type="table" w:customStyle="1" w:styleId="95">
    <w:name w:val="Table Normal"/>
    <w:semiHidden/>
    <w:unhideWhenUsed/>
    <w:qFormat/>
    <w:uiPriority w:val="0"/>
    <w:tblPr>
      <w:tblCellMar>
        <w:top w:w="0" w:type="dxa"/>
        <w:left w:w="0" w:type="dxa"/>
        <w:bottom w:w="0" w:type="dxa"/>
        <w:right w:w="0" w:type="dxa"/>
      </w:tblCellMar>
    </w:tblPr>
  </w:style>
  <w:style w:type="table" w:customStyle="1" w:styleId="96">
    <w:name w:val="表格123"/>
    <w:basedOn w:val="26"/>
    <w:qFormat/>
    <w:uiPriority w:val="99"/>
    <w:rPr>
      <w:rFonts w:eastAsia="Times New Roman"/>
    </w:rPr>
    <w:tblPr>
      <w:jc w:val="center"/>
      <w:tblBorders>
        <w:top w:val="single" w:color="auto" w:sz="12" w:space="0"/>
        <w:bottom w:val="single" w:color="auto" w:sz="12" w:space="0"/>
        <w:insideH w:val="single" w:color="auto" w:sz="4" w:space="0"/>
        <w:insideV w:val="single" w:color="auto" w:sz="4" w:space="0"/>
      </w:tblBorders>
      <w:tblCellMar>
        <w:left w:w="28" w:type="dxa"/>
        <w:right w:w="28" w:type="dxa"/>
      </w:tblCellMar>
    </w:tblPr>
    <w:trPr>
      <w:jc w:val="center"/>
    </w:trPr>
    <w:tcPr>
      <w:vAlign w:val="center"/>
    </w:tcPr>
  </w:style>
  <w:style w:type="paragraph" w:customStyle="1" w:styleId="97">
    <w:name w:val="内正文"/>
    <w:basedOn w:val="1"/>
    <w:qFormat/>
    <w:uiPriority w:val="0"/>
    <w:pPr>
      <w:spacing w:line="520" w:lineRule="exact"/>
      <w:ind w:firstLine="720" w:firstLineChars="200"/>
      <w:jc w:val="left"/>
    </w:pPr>
    <w:rPr>
      <w:rFonts w:cs="宋体"/>
      <w:szCs w:val="21"/>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2.emf"/><Relationship Id="rId7" Type="http://schemas.openxmlformats.org/officeDocument/2006/relationships/oleObject" Target="embeddings/oleObject1.bin"/><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emf"/><Relationship Id="rId11" Type="http://schemas.openxmlformats.org/officeDocument/2006/relationships/oleObject" Target="embeddings/oleObject3.bin"/><Relationship Id="rId10" Type="http://schemas.openxmlformats.org/officeDocument/2006/relationships/image" Target="media/image3.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94A697F-1CC2-4DD0-B3F9-195CAD416DCE}">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79</Pages>
  <Words>47213</Words>
  <Characters>53646</Characters>
  <Lines>377</Lines>
  <Paragraphs>106</Paragraphs>
  <TotalTime>2</TotalTime>
  <ScaleCrop>false</ScaleCrop>
  <LinksUpToDate>false</LinksUpToDate>
  <CharactersWithSpaces>54036</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2021-07-29T07:22:00Z</dcterms:created>
  <dc:creator>lhj</dc:creator>
  <cp:lastModifiedBy>小汤圆</cp:lastModifiedBy>
  <cp:lastPrinted>2023-05-08T07:22:00Z</cp:lastPrinted>
  <dcterms:modified xsi:type="dcterms:W3CDTF">2023-12-26T20:40:09Z</dcterms:modified>
  <dc:title>附件2</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2804E26BD2CC402CB79156D7C4D0467B</vt:lpwstr>
  </property>
</Properties>
</file>