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0227" w:type="dxa"/>
        <w:jc w:val="center"/>
        <w:tblLayout w:type="fixed"/>
        <w:tblCellMar>
          <w:top w:w="0" w:type="dxa"/>
          <w:left w:w="108" w:type="dxa"/>
          <w:bottom w:w="0" w:type="dxa"/>
          <w:right w:w="108" w:type="dxa"/>
        </w:tblCellMar>
      </w:tblPr>
      <w:tblGrid>
        <w:gridCol w:w="10227"/>
      </w:tblGrid>
      <w:tr>
        <w:tblPrEx>
          <w:tblCellMar>
            <w:top w:w="0" w:type="dxa"/>
            <w:left w:w="108" w:type="dxa"/>
            <w:bottom w:w="0" w:type="dxa"/>
            <w:right w:w="108" w:type="dxa"/>
          </w:tblCellMar>
        </w:tblPrEx>
        <w:trPr>
          <w:trHeight w:val="4662" w:hRule="atLeast"/>
          <w:jc w:val="center"/>
        </w:trPr>
        <w:tc>
          <w:tcPr>
            <w:tcW w:w="10227" w:type="dxa"/>
            <w:tcBorders>
              <w:top w:val="nil"/>
              <w:left w:val="nil"/>
              <w:bottom w:val="nil"/>
              <w:right w:val="nil"/>
            </w:tcBorders>
            <w:noWrap w:val="0"/>
            <w:vAlign w:val="top"/>
          </w:tcPr>
          <w:p>
            <w:pPr>
              <w:spacing w:line="360" w:lineRule="auto"/>
              <w:jc w:val="center"/>
              <w:rPr>
                <w:rFonts w:ascii="方正小标宋简体" w:hAnsi="方正小标宋简体" w:eastAsia="方正小标宋简体"/>
                <w:sz w:val="44"/>
              </w:rPr>
            </w:pPr>
          </w:p>
        </w:tc>
      </w:tr>
    </w:tbl>
    <w:p>
      <w:pPr>
        <w:spacing w:line="600" w:lineRule="exact"/>
        <w:jc w:val="center"/>
        <w:rPr>
          <w:rFonts w:hint="eastAsia" w:ascii="方正小标宋简体" w:hAnsi="方正小标宋简体" w:eastAsia="方正小标宋简体" w:cs="方正小标宋简体"/>
          <w:szCs w:val="21"/>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202</w:t>
      </w:r>
      <w:r>
        <w:rPr>
          <w:rFonts w:hint="eastAsia" w:ascii="仿宋_GB2312" w:hAnsi="仿宋_GB2312" w:eastAsia="仿宋_GB2312"/>
          <w:sz w:val="32"/>
          <w:lang w:val="en-US" w:eastAsia="zh-CN"/>
        </w:rPr>
        <w:t>2</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34</w:t>
      </w:r>
    </w:p>
    <w:p>
      <w:pPr>
        <w:jc w:val="both"/>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jc w:val="center"/>
        <w:textAlignment w:val="auto"/>
        <w:rPr>
          <w:rFonts w:hint="eastAsia" w:ascii="方正小标宋_GBK" w:hAnsi="黑体" w:eastAsia="方正小标宋_GBK" w:cs="????"/>
          <w:sz w:val="44"/>
          <w:szCs w:val="44"/>
        </w:rPr>
      </w:pPr>
      <w:r>
        <w:rPr>
          <w:rFonts w:hint="eastAsia" w:ascii="方正小标宋_GBK" w:hAnsi="黑体" w:eastAsia="方正小标宋_GBK" w:cs="????"/>
          <w:sz w:val="44"/>
          <w:szCs w:val="44"/>
        </w:rPr>
        <w:t>关于开展</w:t>
      </w:r>
      <w:r>
        <w:rPr>
          <w:rFonts w:ascii="方正小标宋_GBK" w:hAnsi="黑体" w:eastAsia="方正小标宋_GBK" w:cs="????"/>
          <w:sz w:val="44"/>
          <w:szCs w:val="44"/>
        </w:rPr>
        <w:t>2022</w:t>
      </w:r>
      <w:r>
        <w:rPr>
          <w:rFonts w:hint="eastAsia" w:ascii="方正小标宋_GBK" w:hAnsi="黑体" w:eastAsia="方正小标宋_GBK" w:cs="????"/>
          <w:sz w:val="44"/>
          <w:szCs w:val="44"/>
        </w:rPr>
        <w:t>年</w:t>
      </w:r>
      <w:r>
        <w:rPr>
          <w:rFonts w:hint="eastAsia" w:ascii="方正小标宋_GBK" w:hAnsi="黑体" w:eastAsia="方正小标宋_GBK" w:cs="????"/>
          <w:sz w:val="44"/>
          <w:szCs w:val="44"/>
          <w:lang w:val="en-US" w:eastAsia="zh-CN"/>
        </w:rPr>
        <w:t>鲁山县</w:t>
      </w:r>
      <w:r>
        <w:rPr>
          <w:rFonts w:hint="eastAsia" w:ascii="方正小标宋_GBK" w:hAnsi="黑体" w:eastAsia="方正小标宋_GBK" w:cs="????"/>
          <w:sz w:val="44"/>
          <w:szCs w:val="44"/>
        </w:rPr>
        <w:t>“安全生产月”</w:t>
      </w: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jc w:val="center"/>
        <w:textAlignment w:val="auto"/>
        <w:rPr>
          <w:rFonts w:ascii="方正小标宋_GBK" w:hAnsi="黑体" w:eastAsia="方正小标宋_GBK" w:cs="????"/>
          <w:sz w:val="44"/>
          <w:szCs w:val="44"/>
        </w:rPr>
      </w:pPr>
      <w:r>
        <w:rPr>
          <w:rFonts w:hint="eastAsia" w:ascii="方正小标宋_GBK" w:hAnsi="黑体" w:eastAsia="方正小标宋_GBK" w:cs="????"/>
          <w:sz w:val="44"/>
          <w:szCs w:val="44"/>
        </w:rPr>
        <w:t>活动的通知</w:t>
      </w:r>
    </w:p>
    <w:p>
      <w:pPr>
        <w:pageBreakBefore w:val="0"/>
        <w:kinsoku/>
        <w:wordWrap/>
        <w:overflowPunct/>
        <w:topLinePunct w:val="0"/>
        <w:autoSpaceDE/>
        <w:autoSpaceDN/>
        <w:bidi w:val="0"/>
        <w:adjustRightInd/>
        <w:snapToGrid/>
        <w:spacing w:beforeAutospacing="0" w:afterAutospacing="0" w:line="360" w:lineRule="auto"/>
        <w:jc w:val="both"/>
        <w:textAlignment w:val="auto"/>
        <w:rPr>
          <w:rFonts w:ascii="仿宋" w:hAnsi="仿宋" w:eastAsia="仿宋"/>
          <w:sz w:val="32"/>
          <w:szCs w:val="32"/>
        </w:rPr>
      </w:pPr>
    </w:p>
    <w:p>
      <w:pPr>
        <w:pageBreakBefore w:val="0"/>
        <w:kinsoku/>
        <w:wordWrap/>
        <w:overflowPunct/>
        <w:topLinePunct w:val="0"/>
        <w:autoSpaceDE/>
        <w:autoSpaceDN/>
        <w:bidi w:val="0"/>
        <w:adjustRightInd/>
        <w:snapToGrid/>
        <w:spacing w:beforeAutospacing="0" w:afterAutospacing="0"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县安委会成员单位、土门办事处、各重点企业：</w:t>
      </w:r>
    </w:p>
    <w:p>
      <w:pPr>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今年6月是全国第21个“安全生产月”，根据《河南省安全生产委员会办公室关于开展2022年河南省“安全生产月”活动的通知》（豫安委办〔2022〕59号），结合我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安全生产工作实际，现将2022年全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“安全生产月”活动有关事项通知如下：</w:t>
      </w:r>
    </w:p>
    <w:p>
      <w:pPr>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一、总体要求</w:t>
      </w:r>
      <w:r>
        <w:rPr>
          <w:rFonts w:ascii="黑体" w:hAnsi="黑体" w:eastAsia="黑体" w:cs="黑体"/>
          <w:color w:val="000000"/>
          <w:kern w:val="0"/>
          <w:sz w:val="32"/>
          <w:szCs w:val="32"/>
        </w:rPr>
        <w:t xml:space="preserve"> </w:t>
      </w:r>
    </w:p>
    <w:p>
      <w:pPr>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kern w:val="0"/>
          <w:sz w:val="32"/>
          <w:szCs w:val="32"/>
        </w:rPr>
        <w:t>以习近平新时代中国特色社会主义思想为指导，深入学习宣传习近平总书记关于安全生产重要论述精神，</w:t>
      </w:r>
      <w:r>
        <w:rPr>
          <w:rFonts w:hint="eastAsia" w:ascii="仿宋_GB2312" w:hAnsi="仿宋_GB2312" w:eastAsia="仿宋_GB2312" w:cs="仿宋_GB2312"/>
          <w:sz w:val="32"/>
          <w:szCs w:val="32"/>
        </w:rPr>
        <w:t>紧紧围绕</w:t>
      </w:r>
      <w:r>
        <w:rPr>
          <w:rFonts w:hint="eastAsia" w:ascii="仿宋_GB2312" w:hAnsi="仿宋_GB2312" w:eastAsia="仿宋_GB2312" w:cs="仿宋_GB2312"/>
          <w:color w:val="000000"/>
          <w:kern w:val="0"/>
          <w:sz w:val="32"/>
          <w:szCs w:val="32"/>
        </w:rPr>
        <w:t>省、市</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县</w:t>
      </w:r>
      <w:r>
        <w:rPr>
          <w:rFonts w:hint="eastAsia" w:ascii="仿宋_GB2312" w:hAnsi="仿宋_GB2312" w:eastAsia="仿宋_GB2312" w:cs="仿宋_GB2312"/>
          <w:color w:val="000000"/>
          <w:kern w:val="0"/>
          <w:sz w:val="32"/>
          <w:szCs w:val="32"/>
        </w:rPr>
        <w:t>关于安全生产工作</w:t>
      </w:r>
      <w:r>
        <w:rPr>
          <w:rFonts w:hint="eastAsia" w:ascii="仿宋_GB2312" w:hAnsi="仿宋_GB2312" w:eastAsia="仿宋_GB2312" w:cs="仿宋_GB2312"/>
          <w:sz w:val="32"/>
          <w:szCs w:val="32"/>
        </w:rPr>
        <w:t>决策部署，</w:t>
      </w:r>
      <w:r>
        <w:rPr>
          <w:rFonts w:hint="eastAsia" w:ascii="仿宋_GB2312" w:hAnsi="仿宋_GB2312" w:eastAsia="仿宋_GB2312" w:cs="仿宋_GB2312"/>
          <w:color w:val="000000"/>
          <w:kern w:val="0"/>
          <w:sz w:val="32"/>
          <w:szCs w:val="32"/>
        </w:rPr>
        <w:t>坚持“人民至上、生命至上”理念，</w:t>
      </w:r>
      <w:r>
        <w:rPr>
          <w:rFonts w:hint="eastAsia" w:ascii="仿宋_GB2312" w:hAnsi="仿宋_GB2312" w:eastAsia="仿宋_GB2312" w:cs="仿宋_GB2312"/>
          <w:color w:val="000000"/>
          <w:kern w:val="0"/>
          <w:sz w:val="32"/>
          <w:szCs w:val="32"/>
          <w:lang w:eastAsia="zh-CN"/>
        </w:rPr>
        <w:t>紧扣“安全生产月”主题</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深化安全生产专项整治三年行动，坚决遏制重特大事故发生，推动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安全生产月</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活动走深走实，</w:t>
      </w:r>
      <w:r>
        <w:rPr>
          <w:rFonts w:hint="eastAsia" w:ascii="仿宋_GB2312" w:hAnsi="仿宋_GB2312" w:eastAsia="仿宋_GB2312" w:cs="仿宋_GB2312"/>
          <w:color w:val="000000"/>
          <w:kern w:val="0"/>
          <w:sz w:val="32"/>
          <w:szCs w:val="32"/>
          <w:lang w:eastAsia="zh-CN"/>
        </w:rPr>
        <w:t>切实提升</w:t>
      </w:r>
      <w:r>
        <w:rPr>
          <w:rFonts w:hint="eastAsia" w:ascii="仿宋_GB2312" w:hAnsi="仿宋_GB2312" w:eastAsia="仿宋_GB2312" w:cs="仿宋_GB2312"/>
          <w:color w:val="000000"/>
          <w:kern w:val="0"/>
          <w:sz w:val="32"/>
          <w:szCs w:val="32"/>
        </w:rPr>
        <w:t>全民安全</w:t>
      </w:r>
      <w:r>
        <w:rPr>
          <w:rFonts w:hint="eastAsia" w:ascii="仿宋_GB2312" w:hAnsi="仿宋_GB2312" w:eastAsia="仿宋_GB2312" w:cs="仿宋_GB2312"/>
          <w:color w:val="000000"/>
          <w:kern w:val="0"/>
          <w:sz w:val="32"/>
          <w:szCs w:val="32"/>
          <w:lang w:eastAsia="zh-CN"/>
        </w:rPr>
        <w:t>素养</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鲁山县</w:t>
      </w:r>
      <w:r>
        <w:rPr>
          <w:rFonts w:hint="eastAsia" w:ascii="仿宋_GB2312" w:hAnsi="仿宋_GB2312" w:eastAsia="仿宋_GB2312" w:cs="仿宋_GB2312"/>
          <w:sz w:val="32"/>
          <w:szCs w:val="32"/>
        </w:rPr>
        <w:t>经济社会高质量发展营造安全环境，以优异成绩迎接党的二十大胜利召开。</w:t>
      </w:r>
    </w:p>
    <w:p>
      <w:pPr>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ascii="黑体" w:hAnsi="黑体" w:eastAsia="黑体"/>
          <w:sz w:val="32"/>
          <w:szCs w:val="32"/>
        </w:rPr>
      </w:pPr>
      <w:r>
        <w:rPr>
          <w:rFonts w:hint="eastAsia" w:ascii="黑体" w:hAnsi="黑体" w:eastAsia="黑体" w:cs="黑体"/>
          <w:color w:val="000000"/>
          <w:kern w:val="0"/>
          <w:sz w:val="32"/>
          <w:szCs w:val="32"/>
        </w:rPr>
        <w:t>二、</w:t>
      </w:r>
      <w:r>
        <w:rPr>
          <w:rFonts w:hint="eastAsia" w:ascii="黑体" w:hAnsi="黑体" w:eastAsia="黑体" w:cs="黑体"/>
          <w:color w:val="000000"/>
          <w:kern w:val="0"/>
          <w:sz w:val="32"/>
          <w:szCs w:val="32"/>
          <w:lang w:eastAsia="zh-CN"/>
        </w:rPr>
        <w:t>“安全生产月”</w:t>
      </w:r>
      <w:r>
        <w:rPr>
          <w:rFonts w:hint="eastAsia" w:ascii="黑体" w:hAnsi="黑体" w:eastAsia="黑体" w:cs="黑体"/>
          <w:color w:val="000000"/>
          <w:kern w:val="0"/>
          <w:sz w:val="32"/>
          <w:szCs w:val="32"/>
        </w:rPr>
        <w:t>主题</w:t>
      </w:r>
      <w:r>
        <w:rPr>
          <w:rFonts w:ascii="黑体" w:hAnsi="黑体" w:eastAsia="黑体" w:cs="黑体"/>
          <w:color w:val="000000"/>
          <w:kern w:val="0"/>
          <w:sz w:val="32"/>
          <w:szCs w:val="32"/>
        </w:rPr>
        <w:t xml:space="preserve"> </w:t>
      </w:r>
    </w:p>
    <w:p>
      <w:pPr>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遵守安全生产法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当好第一责任人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rPr>
        <w:t xml:space="preserve"> </w:t>
      </w:r>
    </w:p>
    <w:p>
      <w:pPr>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ascii="黑体" w:hAnsi="黑体" w:eastAsia="黑体"/>
          <w:sz w:val="32"/>
          <w:szCs w:val="32"/>
        </w:rPr>
      </w:pPr>
      <w:r>
        <w:rPr>
          <w:rFonts w:hint="eastAsia" w:ascii="黑体" w:hAnsi="黑体" w:eastAsia="黑体" w:cs="黑体"/>
          <w:color w:val="000000"/>
          <w:kern w:val="0"/>
          <w:sz w:val="32"/>
          <w:szCs w:val="32"/>
        </w:rPr>
        <w:t>三、活动时间</w:t>
      </w:r>
      <w:r>
        <w:rPr>
          <w:rFonts w:ascii="黑体" w:hAnsi="黑体" w:eastAsia="黑体" w:cs="黑体"/>
          <w:color w:val="000000"/>
          <w:kern w:val="0"/>
          <w:sz w:val="32"/>
          <w:szCs w:val="32"/>
        </w:rPr>
        <w:t xml:space="preserve"> </w:t>
      </w:r>
    </w:p>
    <w:p>
      <w:pPr>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6 月 1 日至 6 月 30 日 </w:t>
      </w:r>
    </w:p>
    <w:p>
      <w:pPr>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ascii="黑体" w:hAnsi="黑体" w:eastAsia="黑体"/>
          <w:sz w:val="32"/>
          <w:szCs w:val="32"/>
        </w:rPr>
      </w:pPr>
      <w:r>
        <w:rPr>
          <w:rFonts w:hint="eastAsia" w:ascii="黑体" w:hAnsi="黑体" w:eastAsia="黑体" w:cs="黑体"/>
          <w:color w:val="000000"/>
          <w:kern w:val="0"/>
          <w:sz w:val="32"/>
          <w:szCs w:val="32"/>
        </w:rPr>
        <w:t>四、活动主要内容</w:t>
      </w:r>
      <w:r>
        <w:rPr>
          <w:rFonts w:ascii="黑体" w:hAnsi="黑体" w:eastAsia="黑体" w:cs="黑体"/>
          <w:color w:val="000000"/>
          <w:kern w:val="0"/>
          <w:sz w:val="32"/>
          <w:szCs w:val="32"/>
        </w:rPr>
        <w:t xml:space="preserve"> </w:t>
      </w:r>
    </w:p>
    <w:p>
      <w:pPr>
        <w:pStyle w:val="4"/>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_GB2312" w:hAnsi="仿宋_GB2312" w:eastAsia="仿宋_GB2312" w:cs="仿宋_GB2312"/>
          <w:sz w:val="32"/>
          <w:szCs w:val="32"/>
        </w:rPr>
      </w:pPr>
      <w:r>
        <w:rPr>
          <w:rFonts w:hint="eastAsia" w:ascii="仿宋" w:hAnsi="仿宋" w:eastAsia="仿宋" w:cs="仿宋"/>
          <w:b/>
          <w:sz w:val="32"/>
          <w:szCs w:val="32"/>
        </w:rPr>
        <w:t>　</w:t>
      </w:r>
      <w:r>
        <w:rPr>
          <w:rFonts w:hint="eastAsia" w:ascii="仿宋" w:hAnsi="仿宋" w:eastAsia="仿宋" w:cs="仿宋"/>
          <w:b/>
          <w:sz w:val="32"/>
          <w:szCs w:val="32"/>
          <w:lang w:val="en-US" w:eastAsia="zh-CN"/>
        </w:rPr>
        <w:t xml:space="preserve"> </w:t>
      </w:r>
      <w:r>
        <w:rPr>
          <w:rFonts w:hint="eastAsia" w:ascii="仿宋_GB2312" w:hAnsi="仿宋_GB2312" w:eastAsia="仿宋_GB2312" w:cs="仿宋_GB2312"/>
          <w:b/>
          <w:sz w:val="32"/>
          <w:szCs w:val="32"/>
        </w:rPr>
        <w:t>（一）</w:t>
      </w:r>
      <w:r>
        <w:rPr>
          <w:rStyle w:val="15"/>
          <w:rFonts w:hint="eastAsia" w:ascii="仿宋_GB2312" w:hAnsi="仿宋_GB2312" w:eastAsia="仿宋_GB2312" w:cs="仿宋_GB2312"/>
          <w:sz w:val="32"/>
          <w:szCs w:val="32"/>
        </w:rPr>
        <w:t>深学深悟重要论述，贯彻落实安全生产决策部署。</w:t>
      </w:r>
      <w:r>
        <w:rPr>
          <w:rFonts w:hint="eastAsia" w:ascii="仿宋_GB2312" w:hAnsi="仿宋_GB2312" w:eastAsia="仿宋_GB2312" w:cs="仿宋_GB2312"/>
          <w:bCs/>
          <w:sz w:val="32"/>
          <w:szCs w:val="32"/>
        </w:rPr>
        <w:t>持续深入学习贯彻习近平总书记关于安全生产重要论述，结合疫情防控</w:t>
      </w:r>
      <w:r>
        <w:rPr>
          <w:rFonts w:hint="eastAsia" w:ascii="仿宋_GB2312" w:hAnsi="仿宋_GB2312" w:eastAsia="仿宋_GB2312" w:cs="仿宋_GB2312"/>
          <w:bCs/>
          <w:sz w:val="32"/>
          <w:szCs w:val="32"/>
          <w:lang w:eastAsia="zh-CN"/>
        </w:rPr>
        <w:t>和</w:t>
      </w:r>
      <w:r>
        <w:rPr>
          <w:rFonts w:hint="eastAsia" w:ascii="仿宋_GB2312" w:hAnsi="仿宋_GB2312" w:eastAsia="仿宋_GB2312" w:cs="仿宋_GB2312"/>
          <w:bCs/>
          <w:sz w:val="32"/>
          <w:szCs w:val="32"/>
        </w:rPr>
        <w:t>单位实际采取“小范围、大面积”方式集中学习观看《生命重于泰山》电视专题片，通过专题研讨、集</w:t>
      </w:r>
      <w:r>
        <w:rPr>
          <w:rFonts w:hint="eastAsia" w:ascii="仿宋_GB2312" w:hAnsi="仿宋_GB2312" w:eastAsia="仿宋_GB2312" w:cs="仿宋_GB2312"/>
          <w:sz w:val="32"/>
          <w:szCs w:val="32"/>
        </w:rPr>
        <w:t>中宣讲、培训辅导等多种形式，推动向乡镇 （街道）党组织和企事业单位延伸。组织宣讲小分队按照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三管三必须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要求，深入企业开展安全生产“公开课”“大家谈”“班组会”等</w:t>
      </w:r>
      <w:r>
        <w:rPr>
          <w:rFonts w:hint="eastAsia" w:ascii="仿宋_GB2312" w:hAnsi="仿宋_GB2312" w:eastAsia="仿宋_GB2312" w:cs="仿宋_GB2312"/>
          <w:sz w:val="32"/>
          <w:szCs w:val="32"/>
          <w:lang w:eastAsia="zh-CN"/>
        </w:rPr>
        <w:t>宣教</w:t>
      </w:r>
      <w:r>
        <w:rPr>
          <w:rFonts w:hint="eastAsia" w:ascii="仿宋_GB2312" w:hAnsi="仿宋_GB2312" w:eastAsia="仿宋_GB2312" w:cs="仿宋_GB2312"/>
          <w:sz w:val="32"/>
          <w:szCs w:val="32"/>
        </w:rPr>
        <w:t>学习活动，党政“一把手”要带头讲安全，企业第一责任人专题讲安全，一线工作者互动讲安全，不断强化安全发展理念，进一步筑牢红线意识及底线思维，提升依法治安能力水平。结合安全生产三年整治专项行动和当前集中开展的安全生产大检查，突出责任落实、源头治理、督查检查、严格执法、打非治违，推动安全生产十五条意见贯彻落实，宣传解读《河南省贯彻落实国务院安委会全面加强安全生产“十五条硬措施”实施意见》，在各大媒体平台深入宣传报道各单位推进举措和工作成效，进一步凝心聚力，全力抓好安全防范工作。</w:t>
      </w:r>
    </w:p>
    <w:p>
      <w:pPr>
        <w:pStyle w:val="4"/>
        <w:pageBreakBefore w:val="0"/>
        <w:widowControl/>
        <w:kinsoku/>
        <w:wordWrap/>
        <w:overflowPunct/>
        <w:topLinePunct w:val="0"/>
        <w:autoSpaceDE/>
        <w:autoSpaceDN/>
        <w:bidi w:val="0"/>
        <w:adjustRightInd/>
        <w:snapToGrid/>
        <w:spacing w:beforeAutospacing="0" w:afterAutospacing="0" w:line="360" w:lineRule="auto"/>
        <w:ind w:firstLine="643" w:firstLineChars="200"/>
        <w:jc w:val="both"/>
        <w:textAlignment w:val="auto"/>
        <w:rPr>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（二）深入宣贯</w:t>
      </w:r>
      <w:r>
        <w:rPr>
          <w:rStyle w:val="15"/>
          <w:rFonts w:hint="eastAsia" w:ascii="仿宋_GB2312" w:hAnsi="仿宋_GB2312" w:eastAsia="仿宋_GB2312" w:cs="仿宋_GB2312"/>
          <w:sz w:val="32"/>
          <w:szCs w:val="32"/>
          <w:lang w:eastAsia="zh-CN"/>
        </w:rPr>
        <w:t>《</w:t>
      </w:r>
      <w:r>
        <w:rPr>
          <w:rStyle w:val="15"/>
          <w:rFonts w:hint="eastAsia" w:ascii="仿宋_GB2312" w:hAnsi="仿宋_GB2312" w:eastAsia="仿宋_GB2312" w:cs="仿宋_GB2312"/>
          <w:sz w:val="32"/>
          <w:szCs w:val="32"/>
        </w:rPr>
        <w:t>安全生产法</w:t>
      </w:r>
      <w:r>
        <w:rPr>
          <w:rStyle w:val="15"/>
          <w:rFonts w:hint="eastAsia" w:ascii="仿宋_GB2312" w:hAnsi="仿宋_GB2312" w:eastAsia="仿宋_GB2312" w:cs="仿宋_GB2312"/>
          <w:sz w:val="32"/>
          <w:szCs w:val="32"/>
          <w:lang w:eastAsia="zh-CN"/>
        </w:rPr>
        <w:t>》</w:t>
      </w:r>
      <w:r>
        <w:rPr>
          <w:rStyle w:val="15"/>
          <w:rFonts w:hint="eastAsia" w:ascii="仿宋_GB2312" w:hAnsi="仿宋_GB2312" w:eastAsia="仿宋_GB2312" w:cs="仿宋_GB2312"/>
          <w:sz w:val="32"/>
          <w:szCs w:val="32"/>
        </w:rPr>
        <w:t>，提升“第一责任人”依法</w:t>
      </w:r>
      <w:r>
        <w:rPr>
          <w:rStyle w:val="15"/>
          <w:rFonts w:hint="eastAsia" w:ascii="仿宋_GB2312" w:hAnsi="仿宋_GB2312" w:eastAsia="仿宋_GB2312" w:cs="仿宋_GB2312"/>
          <w:sz w:val="32"/>
          <w:szCs w:val="32"/>
          <w:lang w:eastAsia="zh-CN"/>
        </w:rPr>
        <w:t>抓安全</w:t>
      </w:r>
      <w:r>
        <w:rPr>
          <w:rStyle w:val="15"/>
          <w:rFonts w:hint="eastAsia" w:ascii="仿宋_GB2312" w:hAnsi="仿宋_GB2312" w:eastAsia="仿宋_GB2312" w:cs="仿宋_GB2312"/>
          <w:sz w:val="32"/>
          <w:szCs w:val="32"/>
        </w:rPr>
        <w:t>能力。</w:t>
      </w:r>
      <w:r>
        <w:rPr>
          <w:rFonts w:hint="eastAsia" w:ascii="仿宋_GB2312" w:hAnsi="仿宋_GB2312" w:eastAsia="仿宋_GB2312" w:cs="仿宋_GB2312"/>
          <w:sz w:val="32"/>
          <w:szCs w:val="32"/>
        </w:rPr>
        <w:t>企业法定代表人、实际控制人、实际负责人是安全生产“第一责任人”，各单位</w:t>
      </w:r>
      <w:r>
        <w:rPr>
          <w:rFonts w:hint="eastAsia" w:ascii="仿宋_GB2312" w:hAnsi="仿宋_GB2312" w:eastAsia="仿宋_GB2312" w:cs="仿宋_GB2312"/>
          <w:sz w:val="32"/>
          <w:szCs w:val="32"/>
          <w:lang w:eastAsia="zh-CN"/>
        </w:rPr>
        <w:t>要通过</w:t>
      </w:r>
      <w:r>
        <w:rPr>
          <w:rStyle w:val="15"/>
          <w:rFonts w:hint="eastAsia" w:ascii="仿宋_GB2312" w:hAnsi="仿宋_GB2312" w:eastAsia="仿宋_GB2312" w:cs="仿宋_GB2312"/>
          <w:b w:val="0"/>
          <w:sz w:val="32"/>
          <w:szCs w:val="32"/>
        </w:rPr>
        <w:t>《安全生</w:t>
      </w:r>
      <w:r>
        <w:rPr>
          <w:rFonts w:hint="eastAsia" w:ascii="仿宋_GB2312" w:hAnsi="仿宋_GB2312" w:eastAsia="仿宋_GB2312" w:cs="仿宋_GB2312"/>
          <w:sz w:val="32"/>
          <w:szCs w:val="32"/>
        </w:rPr>
        <w:t>产法》和《河南省安全生产条例》</w:t>
      </w:r>
      <w:r>
        <w:rPr>
          <w:rStyle w:val="15"/>
          <w:rFonts w:hint="eastAsia" w:ascii="仿宋_GB2312" w:hAnsi="仿宋_GB2312" w:eastAsia="仿宋_GB2312" w:cs="仿宋_GB2312"/>
          <w:b w:val="0"/>
          <w:sz w:val="32"/>
          <w:szCs w:val="32"/>
        </w:rPr>
        <w:t>宣传贯彻</w:t>
      </w:r>
      <w:r>
        <w:rPr>
          <w:rStyle w:val="15"/>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sz w:val="32"/>
          <w:szCs w:val="32"/>
        </w:rPr>
        <w:t>厘清企业经营管理关系，</w:t>
      </w:r>
      <w:r>
        <w:rPr>
          <w:rStyle w:val="15"/>
          <w:rFonts w:hint="eastAsia" w:ascii="仿宋_GB2312" w:hAnsi="仿宋_GB2312" w:eastAsia="仿宋_GB2312" w:cs="仿宋_GB2312"/>
          <w:b w:val="0"/>
          <w:sz w:val="32"/>
          <w:szCs w:val="32"/>
        </w:rPr>
        <w:t>推动“第一责任人”知法明责、守法履责，</w:t>
      </w:r>
      <w:r>
        <w:rPr>
          <w:rStyle w:val="15"/>
          <w:rFonts w:hint="eastAsia" w:ascii="仿宋_GB2312" w:hAnsi="仿宋_GB2312" w:eastAsia="仿宋_GB2312" w:cs="仿宋_GB2312"/>
          <w:b w:val="0"/>
          <w:sz w:val="32"/>
          <w:szCs w:val="32"/>
          <w:lang w:eastAsia="zh-CN"/>
        </w:rPr>
        <w:t>使</w:t>
      </w:r>
      <w:r>
        <w:rPr>
          <w:rFonts w:hint="eastAsia" w:ascii="仿宋_GB2312" w:hAnsi="仿宋_GB2312" w:eastAsia="仿宋_GB2312" w:cs="仿宋_GB2312"/>
          <w:sz w:val="32"/>
          <w:szCs w:val="32"/>
        </w:rPr>
        <w:t>生产经营的实际决策者必须承担安全生产责任。要组织开展企业“第一责任人”法律知识培训，编制发放《安全生产应知应会手册》，确保“第一责任人”知晓权利义务，明白法定职责。加强对“第一责任人”宣传教育和督促引导，推动企业法定代表人、实际控制人、实际负责人自觉把安全放在第一位，贯穿工作全过程各方面，切实担起安全生产管理责任。继续推进“安全生产承诺制”，组织开展企业“安全生产责任书”签订活动和“第一责任人安全倡议书”活动。继续开展安全生产警示曝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期间，要曝光一批企业主体责任落实不到位被实行“一案双罚”的执法案例、安全生产行刑衔接的典型案例，以及因发生生产安全事故构成重大责任事故罪的典型案例，形成舆论声势。落实《河南省安全生产领域举报奖励实施办法》，发挥“12350”举报电话作用，鼓励广大群众特别是企业员工举报重大隐患和违法违规行为，鼓励社会公众举报安全生产重大隐患和违法行为，广泛开展“我是安全吹哨人”“查找身边的隐患”等活动，充分调动企业职工参与企业安全生产监督和主要负责人落实安全生产责任的主动性和自觉性，提升企业生产本质安全水平，助力</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rPr>
        <w:t>经济社会高质量发展。</w:t>
      </w:r>
    </w:p>
    <w:p>
      <w:pPr>
        <w:pStyle w:val="4"/>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（三）</w:t>
      </w:r>
      <w:r>
        <w:rPr>
          <w:rStyle w:val="15"/>
          <w:rFonts w:hint="eastAsia" w:ascii="仿宋_GB2312" w:hAnsi="仿宋_GB2312" w:eastAsia="仿宋_GB2312" w:cs="仿宋_GB2312"/>
          <w:sz w:val="32"/>
          <w:szCs w:val="32"/>
        </w:rPr>
        <w:t>创新宣传方式方法，分层级开展</w:t>
      </w:r>
      <w:r>
        <w:rPr>
          <w:rStyle w:val="15"/>
          <w:rFonts w:hint="eastAsia" w:ascii="仿宋_GB2312" w:hAnsi="仿宋_GB2312" w:eastAsia="仿宋_GB2312" w:cs="仿宋_GB2312"/>
          <w:sz w:val="32"/>
          <w:szCs w:val="32"/>
          <w:lang w:eastAsia="zh-CN"/>
        </w:rPr>
        <w:t>“</w:t>
      </w:r>
      <w:r>
        <w:rPr>
          <w:rStyle w:val="15"/>
          <w:rFonts w:hint="eastAsia" w:ascii="仿宋_GB2312" w:hAnsi="仿宋_GB2312" w:eastAsia="仿宋_GB2312" w:cs="仿宋_GB2312"/>
          <w:sz w:val="32"/>
          <w:szCs w:val="32"/>
        </w:rPr>
        <w:t>安全生产月</w:t>
      </w:r>
      <w:r>
        <w:rPr>
          <w:rStyle w:val="15"/>
          <w:rFonts w:hint="eastAsia" w:ascii="仿宋_GB2312" w:hAnsi="仿宋_GB2312" w:eastAsia="仿宋_GB2312" w:cs="仿宋_GB2312"/>
          <w:sz w:val="32"/>
          <w:szCs w:val="32"/>
          <w:lang w:eastAsia="zh-CN"/>
        </w:rPr>
        <w:t>”</w:t>
      </w:r>
      <w:r>
        <w:rPr>
          <w:rStyle w:val="15"/>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rPr>
        <w:t>今年</w:t>
      </w:r>
      <w:r>
        <w:rPr>
          <w:rFonts w:hint="eastAsia" w:ascii="仿宋_GB2312" w:hAnsi="仿宋_GB2312" w:eastAsia="仿宋_GB2312" w:cs="仿宋_GB2312"/>
          <w:sz w:val="32"/>
          <w:szCs w:val="32"/>
          <w:lang w:eastAsia="zh-CN"/>
        </w:rPr>
        <w:t>“</w:t>
      </w:r>
      <w:r>
        <w:rPr>
          <w:rStyle w:val="15"/>
          <w:rFonts w:hint="eastAsia" w:ascii="仿宋_GB2312" w:hAnsi="仿宋_GB2312" w:eastAsia="仿宋_GB2312" w:cs="仿宋_GB2312"/>
          <w:b w:val="0"/>
          <w:sz w:val="32"/>
          <w:szCs w:val="32"/>
        </w:rPr>
        <w:t>安全生产月</w:t>
      </w:r>
      <w:r>
        <w:rPr>
          <w:rFonts w:hint="eastAsia" w:ascii="仿宋_GB2312" w:hAnsi="仿宋_GB2312" w:eastAsia="仿宋_GB2312" w:cs="仿宋_GB2312"/>
          <w:sz w:val="32"/>
          <w:szCs w:val="32"/>
          <w:lang w:eastAsia="zh-CN"/>
        </w:rPr>
        <w:t>”</w:t>
      </w:r>
      <w:r>
        <w:rPr>
          <w:rStyle w:val="15"/>
          <w:rFonts w:hint="eastAsia" w:ascii="仿宋_GB2312" w:hAnsi="仿宋_GB2312" w:eastAsia="仿宋_GB2312" w:cs="仿宋_GB2312"/>
          <w:b w:val="0"/>
          <w:sz w:val="32"/>
          <w:szCs w:val="32"/>
        </w:rPr>
        <w:t>活动</w:t>
      </w:r>
      <w:r>
        <w:rPr>
          <w:rFonts w:hint="eastAsia" w:ascii="仿宋_GB2312" w:hAnsi="仿宋_GB2312" w:eastAsia="仿宋_GB2312" w:cs="仿宋_GB2312"/>
          <w:sz w:val="32"/>
          <w:szCs w:val="32"/>
        </w:rPr>
        <w:t>以线上宣传活动为主，线下小范围大面积为辅，充分利用双预控信息平台、微信工作群、安全微视频等形式开展宣传活动，</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根据疫情防控和单位具体情况，</w:t>
      </w:r>
      <w:r>
        <w:rPr>
          <w:rFonts w:hint="eastAsia" w:ascii="仿宋_GB2312" w:hAnsi="仿宋_GB2312" w:eastAsia="仿宋_GB2312" w:cs="仿宋_GB2312"/>
          <w:color w:val="000000"/>
          <w:sz w:val="32"/>
          <w:szCs w:val="32"/>
          <w:lang w:eastAsia="zh-CN"/>
        </w:rPr>
        <w:t>分别</w:t>
      </w:r>
      <w:r>
        <w:rPr>
          <w:rFonts w:hint="eastAsia" w:ascii="仿宋_GB2312" w:hAnsi="仿宋_GB2312" w:eastAsia="仿宋_GB2312" w:cs="仿宋_GB2312"/>
          <w:color w:val="000000"/>
          <w:sz w:val="32"/>
          <w:szCs w:val="32"/>
        </w:rPr>
        <w:t>于</w:t>
      </w:r>
      <w:r>
        <w:rPr>
          <w:rFonts w:hint="eastAsia" w:ascii="仿宋_GB2312" w:hAnsi="仿宋_GB2312" w:eastAsia="仿宋_GB2312" w:cs="仿宋_GB2312"/>
          <w:color w:val="333333"/>
          <w:sz w:val="32"/>
          <w:szCs w:val="32"/>
        </w:rPr>
        <w:t>6月1</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lang w:val="en-US" w:eastAsia="zh-CN"/>
        </w:rPr>
        <w:t>16日</w:t>
      </w:r>
      <w:r>
        <w:rPr>
          <w:rFonts w:hint="eastAsia" w:ascii="仿宋_GB2312" w:hAnsi="仿宋_GB2312" w:eastAsia="仿宋_GB2312" w:cs="仿宋_GB2312"/>
          <w:color w:val="000000"/>
          <w:sz w:val="32"/>
          <w:szCs w:val="32"/>
        </w:rPr>
        <w:t>组织开展形式多样的“安全生产月”</w:t>
      </w:r>
      <w:r>
        <w:rPr>
          <w:rFonts w:hint="eastAsia" w:ascii="仿宋_GB2312" w:hAnsi="仿宋_GB2312" w:eastAsia="仿宋_GB2312" w:cs="仿宋_GB2312"/>
          <w:sz w:val="32"/>
          <w:szCs w:val="32"/>
        </w:rPr>
        <w:t>和“宣传咨询日”</w:t>
      </w:r>
      <w:r>
        <w:rPr>
          <w:rFonts w:hint="eastAsia" w:ascii="仿宋_GB2312" w:hAnsi="仿宋_GB2312" w:eastAsia="仿宋_GB2312" w:cs="仿宋_GB2312"/>
          <w:color w:val="000000"/>
          <w:sz w:val="32"/>
          <w:szCs w:val="32"/>
        </w:rPr>
        <w:t>启动仪式</w:t>
      </w:r>
      <w:r>
        <w:rPr>
          <w:rFonts w:hint="eastAsia" w:ascii="仿宋_GB2312" w:hAnsi="仿宋_GB2312" w:eastAsia="仿宋_GB2312" w:cs="仿宋_GB2312"/>
          <w:sz w:val="32"/>
          <w:szCs w:val="32"/>
        </w:rPr>
        <w:t>活动。突出</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主题，把法律普及和日常宣传紧密融合，开展内容丰富、形式多样，方法灵活等群众喜闻乐见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线上线下相结合的安全宣传活动。邀请具有影响的公众人物、行业专家、媒体人员等开展“主播讲安全”“专家远程会诊”“美好生活从安全开始话题征集”“新修订安法知多少”“救援技能趣味测试”等活动。充分利用各传播载体集中推送，精心制作公益广告、宣传海报、安全提醒短视频，在全社会大力营造“关爱生命、关注安全”的浓厚氛围。</w:t>
      </w:r>
    </w:p>
    <w:p>
      <w:pPr>
        <w:pStyle w:val="4"/>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w:t>
      </w:r>
      <w:r>
        <w:rPr>
          <w:rStyle w:val="15"/>
          <w:rFonts w:hint="eastAsia" w:ascii="仿宋_GB2312" w:hAnsi="仿宋_GB2312" w:eastAsia="仿宋_GB2312" w:cs="仿宋_GB2312"/>
          <w:b w:val="0"/>
          <w:sz w:val="32"/>
          <w:szCs w:val="32"/>
        </w:rPr>
        <w:t>四</w:t>
      </w:r>
      <w:r>
        <w:rPr>
          <w:rFonts w:hint="eastAsia" w:ascii="仿宋_GB2312" w:hAnsi="仿宋_GB2312" w:eastAsia="仿宋_GB2312" w:cs="仿宋_GB2312"/>
          <w:b/>
          <w:sz w:val="32"/>
          <w:szCs w:val="32"/>
        </w:rPr>
        <w:t>）</w:t>
      </w:r>
      <w:r>
        <w:rPr>
          <w:rStyle w:val="15"/>
          <w:rFonts w:hint="eastAsia" w:ascii="仿宋_GB2312" w:hAnsi="仿宋_GB2312" w:eastAsia="仿宋_GB2312" w:cs="仿宋_GB2312"/>
          <w:sz w:val="32"/>
          <w:szCs w:val="32"/>
        </w:rPr>
        <w:t>强力推进安全宣传“五进”，切实提升公民安全素养。</w:t>
      </w:r>
      <w:r>
        <w:rPr>
          <w:rFonts w:hint="eastAsia" w:ascii="仿宋_GB2312" w:hAnsi="仿宋_GB2312" w:eastAsia="仿宋_GB2312" w:cs="仿宋_GB2312"/>
          <w:sz w:val="32"/>
          <w:szCs w:val="32"/>
        </w:rPr>
        <w:t>各单位要因地制宜、因时制宜，深入开展安全宣传“五进”活动。开展好第14届河南安全杯安全知识竞赛，组织好省安办举办网上应急安全知识竞赛答题活动。各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要发挥牵头抓总作用，</w:t>
      </w:r>
      <w:r>
        <w:rPr>
          <w:rFonts w:hint="eastAsia" w:ascii="仿宋_GB2312" w:hAnsi="仿宋_GB2312" w:eastAsia="仿宋_GB2312" w:cs="仿宋_GB2312"/>
          <w:sz w:val="32"/>
          <w:szCs w:val="32"/>
          <w:lang w:eastAsia="zh-CN"/>
        </w:rPr>
        <w:t>安排大型广告宣传车到社区、广场、企业开展《生命重于泰山》专题片、警示教育片、安全生产知识等内容循环播放，发放宣传知识手册的同时，</w:t>
      </w:r>
      <w:r>
        <w:rPr>
          <w:rFonts w:hint="eastAsia" w:ascii="仿宋_GB2312" w:hAnsi="仿宋_GB2312" w:eastAsia="仿宋_GB2312" w:cs="仿宋_GB2312"/>
          <w:sz w:val="32"/>
          <w:szCs w:val="32"/>
        </w:rPr>
        <w:t>组织安全监管人员、消防救援人员、灾害信息员、社区网格员、安全劝导员和志愿者等，积极参与“进门入户送安全”“安全志愿者在行动”和各类应急安全体验活动，共同推动安全宣传进企业、进农村、进社区、进学校、进家庭，提升社会公众安全意识和应急处置能力。</w:t>
      </w:r>
    </w:p>
    <w:p>
      <w:pPr>
        <w:pStyle w:val="4"/>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Style w:val="15"/>
          <w:rFonts w:hint="eastAsia" w:ascii="仿宋_GB2312" w:hAnsi="仿宋_GB2312" w:eastAsia="仿宋_GB2312" w:cs="仿宋_GB2312"/>
          <w:sz w:val="32"/>
          <w:szCs w:val="32"/>
        </w:rPr>
        <w:t>五)开展警示教育和应急演练，不断提升本质安全水平。</w:t>
      </w:r>
      <w:r>
        <w:rPr>
          <w:rFonts w:hint="eastAsia" w:ascii="仿宋_GB2312" w:hAnsi="仿宋_GB2312" w:eastAsia="仿宋_GB2312" w:cs="仿宋_GB2312"/>
          <w:sz w:val="32"/>
          <w:szCs w:val="32"/>
        </w:rPr>
        <w:t>各单位结合实际组织观看省安委办下发警示教育片和安全警示微电影，参观事故警示教育展览、学习生产安全事故典型案例,开展安全生产警示教育，</w:t>
      </w:r>
      <w:r>
        <w:rPr>
          <w:rStyle w:val="15"/>
          <w:rFonts w:hint="eastAsia" w:ascii="仿宋_GB2312" w:hAnsi="仿宋_GB2312" w:eastAsia="仿宋_GB2312" w:cs="仿宋_GB2312"/>
          <w:b w:val="0"/>
          <w:sz w:val="32"/>
          <w:szCs w:val="32"/>
        </w:rPr>
        <w:t>以案为鉴警钟长鸣，</w:t>
      </w:r>
      <w:r>
        <w:rPr>
          <w:rFonts w:hint="eastAsia" w:ascii="仿宋_GB2312" w:hAnsi="仿宋_GB2312" w:eastAsia="仿宋_GB2312" w:cs="仿宋_GB2312"/>
          <w:sz w:val="32"/>
          <w:szCs w:val="32"/>
        </w:rPr>
        <w:t>反思大讨论，引导企业广大职工深刻吸取事故教训，树牢安全发展理念，增强抓好安全生产的自觉性主动性。要围绕安全生产重点领域、重点行业、重点企业，深入开展以作业岗位为重点的应急处置演练；各地居民小区、学校、农村等要开展灾害避险逃生演练；人员密集场所加强应急预案管理，有针对性地开展应急疏散演练，切实提高应急救援能力，提升从业人员和广大市民的逃生自救能力和安全意识。</w:t>
      </w:r>
    </w:p>
    <w:p>
      <w:pPr>
        <w:pStyle w:val="4"/>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Style w:val="15"/>
          <w:rFonts w:hint="eastAsia" w:ascii="仿宋_GB2312" w:hAnsi="仿宋_GB2312" w:eastAsia="仿宋_GB2312" w:cs="仿宋_GB2312"/>
          <w:sz w:val="32"/>
          <w:szCs w:val="32"/>
        </w:rPr>
        <w:t>六)开展“安全生产中原行”活动，宣传基层基础安全生产成效经验。</w:t>
      </w:r>
      <w:r>
        <w:rPr>
          <w:rFonts w:hint="eastAsia" w:ascii="仿宋_GB2312" w:hAnsi="仿宋_GB2312" w:eastAsia="仿宋_GB2312" w:cs="仿宋_GB2312"/>
          <w:sz w:val="32"/>
          <w:szCs w:val="32"/>
        </w:rPr>
        <w:t>今年6月至12月，组织开展“安全生产中原行”媒体采风专题行、区域行、网上行等活动，主动与市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主流媒</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沟通协调，加强应急管理和安全生产领域内的新闻宣传，组织媒体记者赴基层工作一线采访，宣传推广各地好的经验做法，畅通监督渠道。深化</w:t>
      </w:r>
      <w:r>
        <w:rPr>
          <w:rFonts w:hint="eastAsia" w:ascii="仿宋_GB2312" w:hAnsi="仿宋_GB2312" w:eastAsia="仿宋_GB2312" w:cs="仿宋_GB2312"/>
          <w:sz w:val="32"/>
          <w:szCs w:val="32"/>
          <w:lang w:val="en-US" w:eastAsia="zh-CN"/>
        </w:rPr>
        <w:t>鲁山县</w:t>
      </w:r>
      <w:r>
        <w:rPr>
          <w:rFonts w:hint="eastAsia" w:ascii="仿宋_GB2312" w:hAnsi="仿宋_GB2312" w:eastAsia="仿宋_GB2312" w:cs="仿宋_GB2312"/>
          <w:sz w:val="32"/>
          <w:szCs w:val="32"/>
        </w:rPr>
        <w:t>安全生产专项整治三年行动，围绕危险化学品、燃气安全“两个集中治理”，以及打击盗采矿产，查处建筑领域违法分包转包、自建房安全，强化水上交通事故追责，严查化工、矿山劳务派遣违规用工等，报道各地打非治违和排查治理进展成效。结合安全生产大检查、安全生产考核巡查、明查暗访，发挥媒体监督作用，集中曝光突出问题。</w:t>
      </w:r>
    </w:p>
    <w:p>
      <w:pPr>
        <w:pStyle w:val="4"/>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ascii="仿宋" w:hAnsi="仿宋" w:eastAsia="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黑体" w:hAnsi="黑体" w:eastAsia="黑体" w:cs="黑体"/>
          <w:color w:val="000000"/>
          <w:kern w:val="0"/>
          <w:sz w:val="32"/>
          <w:szCs w:val="32"/>
          <w:lang w:val="en-US" w:eastAsia="zh-CN" w:bidi="ar-SA"/>
        </w:rPr>
        <w:t xml:space="preserve">五、工作要求 </w:t>
      </w:r>
    </w:p>
    <w:p>
      <w:pPr>
        <w:pageBreakBefore w:val="0"/>
        <w:kinsoku/>
        <w:wordWrap/>
        <w:overflowPunct/>
        <w:topLinePunct w:val="0"/>
        <w:autoSpaceDE/>
        <w:autoSpaceDN/>
        <w:bidi w:val="0"/>
        <w:adjustRightInd/>
        <w:snapToGrid/>
        <w:spacing w:beforeAutospacing="0" w:afterAutospacing="0"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（一）加强组织领导。</w:t>
      </w:r>
      <w:r>
        <w:rPr>
          <w:rFonts w:hint="eastAsia" w:ascii="仿宋_GB2312" w:hAnsi="仿宋_GB2312" w:eastAsia="仿宋_GB2312" w:cs="仿宋_GB2312"/>
          <w:color w:val="000000"/>
          <w:kern w:val="0"/>
          <w:sz w:val="32"/>
          <w:szCs w:val="32"/>
        </w:rPr>
        <w:t>各单位要充分认识开展“安全生产月”活动的重要意义，切实把“安全生产月”活动和当前深化安全生产专项整治三年行动密切结合，积极谋划疫情防控常态化情况下做好安全生产宣传工作的思路和办法，制定方案，细化任务，压实责任，扎实推进，确保活动有力有序有效开展。</w:t>
      </w:r>
    </w:p>
    <w:p>
      <w:pPr>
        <w:pageBreakBefore w:val="0"/>
        <w:widowControl/>
        <w:kinsoku/>
        <w:wordWrap/>
        <w:overflowPunct/>
        <w:topLinePunct w:val="0"/>
        <w:autoSpaceDE/>
        <w:autoSpaceDN/>
        <w:bidi w:val="0"/>
        <w:adjustRightInd/>
        <w:snapToGrid/>
        <w:spacing w:beforeAutospacing="0" w:afterAutospacing="0"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（二）加大宣传力度。</w:t>
      </w:r>
      <w:r>
        <w:rPr>
          <w:rFonts w:hint="eastAsia" w:ascii="仿宋_GB2312" w:hAnsi="仿宋_GB2312" w:eastAsia="仿宋_GB2312" w:cs="仿宋_GB2312"/>
          <w:color w:val="000000"/>
          <w:kern w:val="0"/>
          <w:sz w:val="32"/>
          <w:szCs w:val="32"/>
        </w:rPr>
        <w:t>各单位要充分发挥各类媒体、网站、双微等平台作用，全方位对“安全生产月”系列活动进行宣传，要拓展社会面宣传渠道，在交通枢纽、商业街区、城市社区、广场、公园等公共场所和高速路口等醒目位置，广泛张贴或悬挂安全标语、横幅、挂图等，在交通工具电子显示屏、楼宇广告屏持续滚动播放安全公益广告等，在全社会积极营造关心安全生产、参与安全发展的浓厚舆论氛围。</w:t>
      </w:r>
    </w:p>
    <w:p>
      <w:pPr>
        <w:pageBreakBefore w:val="0"/>
        <w:widowControl/>
        <w:kinsoku/>
        <w:wordWrap/>
        <w:overflowPunct/>
        <w:topLinePunct w:val="0"/>
        <w:autoSpaceDE/>
        <w:autoSpaceDN/>
        <w:bidi w:val="0"/>
        <w:adjustRightInd/>
        <w:snapToGrid/>
        <w:spacing w:beforeAutospacing="0" w:afterAutospacing="0"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（三）确保活动实效。</w:t>
      </w:r>
      <w:r>
        <w:rPr>
          <w:rFonts w:hint="eastAsia" w:ascii="仿宋_GB2312" w:hAnsi="仿宋_GB2312" w:eastAsia="仿宋_GB2312" w:cs="仿宋_GB2312"/>
          <w:color w:val="000000"/>
          <w:kern w:val="0"/>
          <w:sz w:val="32"/>
          <w:szCs w:val="32"/>
        </w:rPr>
        <w:t>各单位</w:t>
      </w:r>
      <w:r>
        <w:rPr>
          <w:rFonts w:hint="eastAsia" w:ascii="仿宋_GB2312" w:hAnsi="仿宋_GB2312" w:eastAsia="仿宋_GB2312" w:cs="仿宋_GB2312"/>
          <w:sz w:val="32"/>
          <w:szCs w:val="32"/>
        </w:rPr>
        <w:t>在严格落实疫情防控措施前提下，以线</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为主线</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辅</w:t>
      </w:r>
      <w:r>
        <w:rPr>
          <w:rFonts w:hint="eastAsia" w:ascii="仿宋_GB2312" w:hAnsi="仿宋_GB2312" w:eastAsia="仿宋_GB2312" w:cs="仿宋_GB2312"/>
          <w:sz w:val="32"/>
          <w:szCs w:val="32"/>
        </w:rPr>
        <w:t>的方式</w:t>
      </w:r>
      <w:r>
        <w:rPr>
          <w:rFonts w:hint="eastAsia" w:ascii="仿宋_GB2312" w:hAnsi="仿宋_GB2312" w:eastAsia="仿宋_GB2312" w:cs="仿宋_GB2312"/>
          <w:color w:val="000000"/>
          <w:kern w:val="0"/>
          <w:sz w:val="32"/>
          <w:szCs w:val="32"/>
        </w:rPr>
        <w:t>把“安全生产月”活动与解决生产中的热点难点问题相结合开展宣传，以活动提站位、以活动强素养、以活动促工作、以活动保安全为主线，全力推动全</w:t>
      </w:r>
      <w:r>
        <w:rPr>
          <w:rFonts w:hint="eastAsia" w:ascii="仿宋_GB2312" w:hAnsi="仿宋_GB2312" w:eastAsia="仿宋_GB2312" w:cs="仿宋_GB2312"/>
          <w:color w:val="000000"/>
          <w:kern w:val="0"/>
          <w:sz w:val="32"/>
          <w:szCs w:val="32"/>
          <w:lang w:val="en-US" w:eastAsia="zh-CN"/>
        </w:rPr>
        <w:t>县</w:t>
      </w:r>
      <w:r>
        <w:rPr>
          <w:rFonts w:hint="eastAsia" w:ascii="仿宋_GB2312" w:hAnsi="仿宋_GB2312" w:eastAsia="仿宋_GB2312" w:cs="仿宋_GB2312"/>
          <w:color w:val="000000"/>
          <w:kern w:val="0"/>
          <w:sz w:val="32"/>
          <w:szCs w:val="32"/>
        </w:rPr>
        <w:t>安全生产形势持续稳定向好。同时，</w:t>
      </w:r>
      <w:r>
        <w:rPr>
          <w:rFonts w:hint="eastAsia" w:ascii="仿宋_GB2312" w:hAnsi="仿宋_GB2312" w:eastAsia="仿宋_GB2312" w:cs="仿宋_GB2312"/>
          <w:color w:val="000000"/>
          <w:kern w:val="0"/>
          <w:sz w:val="32"/>
          <w:szCs w:val="32"/>
          <w:lang w:val="en-US" w:eastAsia="zh-CN"/>
        </w:rPr>
        <w:t>县</w:t>
      </w:r>
      <w:r>
        <w:rPr>
          <w:rFonts w:hint="eastAsia" w:ascii="仿宋_GB2312" w:hAnsi="仿宋_GB2312" w:eastAsia="仿宋_GB2312" w:cs="仿宋_GB2312"/>
          <w:color w:val="000000"/>
          <w:kern w:val="0"/>
          <w:sz w:val="32"/>
          <w:szCs w:val="32"/>
        </w:rPr>
        <w:t>安委办将对</w:t>
      </w:r>
      <w:r>
        <w:rPr>
          <w:rFonts w:hint="eastAsia" w:ascii="仿宋_GB2312" w:hAnsi="仿宋_GB2312" w:eastAsia="仿宋_GB2312" w:cs="仿宋_GB2312"/>
          <w:sz w:val="32"/>
          <w:szCs w:val="32"/>
        </w:rPr>
        <w:t>此次活动开展情况进行督促检查，并</w:t>
      </w:r>
      <w:r>
        <w:rPr>
          <w:rFonts w:hint="eastAsia" w:ascii="仿宋_GB2312" w:hAnsi="仿宋_GB2312" w:eastAsia="仿宋_GB2312" w:cs="仿宋_GB2312"/>
          <w:color w:val="000000"/>
          <w:kern w:val="0"/>
          <w:sz w:val="32"/>
          <w:szCs w:val="32"/>
        </w:rPr>
        <w:t>纳入全</w:t>
      </w:r>
      <w:r>
        <w:rPr>
          <w:rFonts w:hint="eastAsia" w:ascii="仿宋_GB2312" w:hAnsi="仿宋_GB2312" w:eastAsia="仿宋_GB2312" w:cs="仿宋_GB2312"/>
          <w:color w:val="000000"/>
          <w:kern w:val="0"/>
          <w:sz w:val="32"/>
          <w:szCs w:val="32"/>
          <w:lang w:val="en-US" w:eastAsia="zh-CN"/>
        </w:rPr>
        <w:t>县</w:t>
      </w:r>
      <w:r>
        <w:rPr>
          <w:rFonts w:hint="eastAsia" w:ascii="仿宋_GB2312" w:hAnsi="仿宋_GB2312" w:eastAsia="仿宋_GB2312" w:cs="仿宋_GB2312"/>
          <w:color w:val="000000"/>
          <w:kern w:val="0"/>
          <w:sz w:val="32"/>
          <w:szCs w:val="32"/>
        </w:rPr>
        <w:t xml:space="preserve">安全生产年度工作考核。 </w:t>
      </w:r>
    </w:p>
    <w:p>
      <w:pPr>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各单位请于5月</w:t>
      </w:r>
      <w:r>
        <w:rPr>
          <w:rFonts w:hint="eastAsia" w:ascii="仿宋_GB2312" w:hAnsi="仿宋_GB2312" w:eastAsia="仿宋_GB2312" w:cs="仿宋_GB2312"/>
          <w:color w:val="000000"/>
          <w:kern w:val="0"/>
          <w:sz w:val="32"/>
          <w:szCs w:val="32"/>
          <w:lang w:val="en-US" w:eastAsia="zh-CN"/>
        </w:rPr>
        <w:t>31</w:t>
      </w:r>
      <w:r>
        <w:rPr>
          <w:rFonts w:hint="eastAsia" w:ascii="仿宋_GB2312" w:hAnsi="仿宋_GB2312" w:eastAsia="仿宋_GB2312" w:cs="仿宋_GB2312"/>
          <w:color w:val="000000"/>
          <w:kern w:val="0"/>
          <w:sz w:val="32"/>
          <w:szCs w:val="32"/>
        </w:rPr>
        <w:t>日前上报1名联络员，</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27</w:t>
      </w:r>
      <w:r>
        <w:rPr>
          <w:rFonts w:hint="eastAsia" w:ascii="仿宋_GB2312" w:hAnsi="仿宋_GB2312" w:eastAsia="仿宋_GB2312" w:cs="仿宋_GB2312"/>
          <w:color w:val="000000"/>
          <w:kern w:val="0"/>
          <w:sz w:val="32"/>
          <w:szCs w:val="32"/>
        </w:rPr>
        <w:t>日前</w:t>
      </w:r>
      <w:r>
        <w:rPr>
          <w:rFonts w:hint="eastAsia" w:ascii="仿宋_GB2312" w:hAnsi="仿宋_GB2312" w:eastAsia="仿宋_GB2312" w:cs="仿宋_GB2312"/>
          <w:sz w:val="32"/>
          <w:szCs w:val="32"/>
        </w:rPr>
        <w:t>以纸质文件和电子文本两种方式</w:t>
      </w:r>
      <w:r>
        <w:rPr>
          <w:rFonts w:hint="eastAsia" w:ascii="仿宋_GB2312" w:hAnsi="仿宋_GB2312" w:eastAsia="仿宋_GB2312" w:cs="仿宋_GB2312"/>
          <w:color w:val="000000"/>
          <w:kern w:val="0"/>
          <w:sz w:val="32"/>
          <w:szCs w:val="32"/>
        </w:rPr>
        <w:t>上报“安全生产月”</w:t>
      </w:r>
      <w:r>
        <w:rPr>
          <w:rFonts w:hint="eastAsia" w:ascii="仿宋_GB2312" w:hAnsi="仿宋_GB2312" w:eastAsia="仿宋_GB2312" w:cs="仿宋_GB2312"/>
          <w:sz w:val="32"/>
          <w:szCs w:val="32"/>
        </w:rPr>
        <w:t>活动工作总结（含图片、报刊、视频照片资料等），11月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日前上报“安全生产中原行”活动总结报送</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安委会办公室。</w:t>
      </w:r>
      <w:r>
        <w:rPr>
          <w:rFonts w:hint="eastAsia" w:ascii="仿宋_GB2312" w:hAnsi="仿宋_GB2312" w:eastAsia="仿宋_GB2312" w:cs="仿宋_GB2312"/>
          <w:color w:val="000000"/>
          <w:sz w:val="32"/>
          <w:szCs w:val="32"/>
        </w:rPr>
        <w:t>活动期间随时上报各单位开展的各种信息、图片和视频资料。信息资料：以Word文档新闻格式（文字信息或图文信息）；视频资料：分辨率大于1280像素×720像素，格式为MP4、MPG2、AVI、MTS；照片资料：分辨率不低于1920像素×1080像素,格式为JPG、PNG、PSD。</w:t>
      </w:r>
    </w:p>
    <w:p>
      <w:pPr>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联</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系</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人： </w:t>
      </w:r>
      <w:r>
        <w:rPr>
          <w:rFonts w:hint="eastAsia" w:ascii="仿宋_GB2312" w:hAnsi="仿宋_GB2312" w:eastAsia="仿宋_GB2312" w:cs="仿宋_GB2312"/>
          <w:color w:val="000000"/>
          <w:kern w:val="0"/>
          <w:sz w:val="32"/>
          <w:szCs w:val="32"/>
          <w:lang w:val="en-US" w:eastAsia="zh-CN"/>
        </w:rPr>
        <w:t>马  骁        张吉阳</w:t>
      </w:r>
      <w:r>
        <w:rPr>
          <w:rFonts w:hint="eastAsia" w:ascii="仿宋_GB2312" w:hAnsi="仿宋_GB2312" w:eastAsia="仿宋_GB2312" w:cs="仿宋_GB2312"/>
          <w:color w:val="000000"/>
          <w:kern w:val="0"/>
          <w:sz w:val="32"/>
          <w:szCs w:val="32"/>
        </w:rPr>
        <w:t xml:space="preserve"> </w:t>
      </w:r>
    </w:p>
    <w:p>
      <w:pPr>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rPr>
        <w:t>联系电话：</w:t>
      </w:r>
      <w:r>
        <w:rPr>
          <w:rFonts w:hint="eastAsia" w:ascii="仿宋_GB2312" w:hAnsi="仿宋_GB2312" w:eastAsia="仿宋_GB2312" w:cs="仿宋_GB2312"/>
          <w:color w:val="000000"/>
          <w:kern w:val="0"/>
          <w:sz w:val="32"/>
          <w:szCs w:val="32"/>
          <w:lang w:val="en-US" w:eastAsia="zh-CN"/>
        </w:rPr>
        <w:t>13343755511   13592163111</w:t>
      </w:r>
    </w:p>
    <w:p>
      <w:pPr>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地址：鲁山县墨公路77号 </w:t>
      </w:r>
    </w:p>
    <w:p>
      <w:pPr>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邮编：467300 </w:t>
      </w:r>
    </w:p>
    <w:p>
      <w:pPr>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rPr>
        <w:t>邮箱：</w:t>
      </w:r>
      <w:r>
        <w:rPr>
          <w:rFonts w:hint="eastAsia" w:ascii="仿宋_GB2312" w:hAnsi="仿宋_GB2312" w:eastAsia="仿宋_GB2312" w:cs="仿宋_GB2312"/>
          <w:color w:val="000000"/>
          <w:kern w:val="0"/>
          <w:sz w:val="32"/>
          <w:szCs w:val="32"/>
          <w:lang w:val="en-US" w:eastAsia="zh-CN"/>
        </w:rPr>
        <w:t>lsxyjjxcxlg@126.com</w:t>
      </w:r>
    </w:p>
    <w:p>
      <w:pPr>
        <w:keepNext w:val="0"/>
        <w:keepLines w:val="0"/>
        <w:pageBreakBefore w:val="0"/>
        <w:widowControl/>
        <w:suppressLineNumbers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bidi="ar"/>
        </w:rPr>
        <w:t>附件：</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鲁山县</w:t>
      </w:r>
      <w:r>
        <w:rPr>
          <w:rFonts w:hint="eastAsia" w:ascii="仿宋_GB2312" w:hAnsi="仿宋_GB2312" w:eastAsia="仿宋_GB2312" w:cs="仿宋_GB2312"/>
          <w:sz w:val="32"/>
          <w:szCs w:val="32"/>
        </w:rPr>
        <w:t>“安全生产月”“6·16”宣传咨询日活动方案</w:t>
      </w:r>
      <w:r>
        <w:rPr>
          <w:rFonts w:hint="eastAsia" w:ascii="仿宋_GB2312" w:hAnsi="仿宋_GB2312" w:eastAsia="仿宋_GB2312" w:cs="仿宋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1577" w:leftChars="294"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2.鲁山县2022年“安全生产月”活动督查组分工情况。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3.鲁山县“安全生产月”活动联络员反馈表。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4.鲁山县“安全生产月”活动情况统计表。</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2022年 5 月 25日</w:t>
      </w:r>
    </w:p>
    <w:p>
      <w:pPr>
        <w:pStyle w:val="12"/>
        <w:jc w:val="both"/>
        <w:rPr>
          <w:rFonts w:hint="eastAsia" w:ascii="仿宋_GB2312" w:hAnsi="仿宋_GB2312" w:eastAsia="仿宋_GB2312" w:cs="仿宋_GB2312"/>
          <w:color w:val="000000"/>
          <w:kern w:val="0"/>
          <w:sz w:val="32"/>
          <w:szCs w:val="32"/>
          <w:lang w:val="en-US" w:eastAsia="zh-CN" w:bidi="ar"/>
        </w:rPr>
      </w:pPr>
    </w:p>
    <w:p>
      <w:pPr>
        <w:jc w:val="both"/>
        <w:rPr>
          <w:rFonts w:hint="eastAsia" w:ascii="仿宋_GB2312" w:hAnsi="宋体" w:eastAsia="仿宋_GB2312" w:cs="仿宋_GB2312"/>
          <w:color w:val="000000"/>
          <w:kern w:val="0"/>
          <w:sz w:val="32"/>
          <w:szCs w:val="32"/>
          <w:lang w:val="en-US" w:eastAsia="zh-CN" w:bidi="ar"/>
        </w:rPr>
      </w:pPr>
    </w:p>
    <w:p>
      <w:pPr>
        <w:pStyle w:val="12"/>
        <w:jc w:val="both"/>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pageBreakBefore w:val="0"/>
        <w:widowControl/>
        <w:shd w:val="clear" w:color="auto" w:fill="FFFFFF"/>
        <w:kinsoku/>
        <w:wordWrap/>
        <w:overflowPunct/>
        <w:topLinePunct w:val="0"/>
        <w:autoSpaceDE/>
        <w:autoSpaceDN/>
        <w:bidi w:val="0"/>
        <w:adjustRightInd/>
        <w:snapToGrid/>
        <w:spacing w:beforeAutospacing="0" w:afterAutospacing="0" w:line="360" w:lineRule="auto"/>
        <w:jc w:val="both"/>
        <w:textAlignment w:val="auto"/>
        <w:rPr>
          <w:rFonts w:hint="eastAsia" w:ascii="仿宋_GB2312" w:hAnsi="仿宋_GB2312" w:eastAsia="仿宋_GB2312" w:cs="仿宋_GB2312"/>
          <w:sz w:val="32"/>
          <w:szCs w:val="32"/>
        </w:rPr>
      </w:pPr>
      <w:r>
        <w:rPr>
          <w:rFonts w:cs="黑体"/>
          <w:color w:val="000000"/>
          <w:sz w:val="32"/>
          <w:szCs w:val="32"/>
        </w:rPr>
        <w:pict>
          <v:line id="直接连接符 5" o:spid="_x0000_s2050" o:spt="20" style="position:absolute;left:0pt;flip:y;margin-left:-5.25pt;margin-top:32.9pt;height:0.05pt;width:438.35pt;z-index:251661312;mso-width-relative:page;mso-height-relative:page;" filled="f" stroked="t" coordsize="21600,21600" o:gfxdata="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w39fXAAAACQEAAA8AAAAAAAAAAQAgAAAAIgAAAGRycy9kb3ducmV2Lnht&#10;bFBLAQIUABQAAAAIAIdO4kC2KQOQ+gEAAPIDAAAOAAAAAAAAAAEAIAAAACYBAABkcnMvZTJvRG9j&#10;LnhtbFBLBQYAAAAABgAGAFkBAACSBQAAAAA=&#10;">
            <v:path arrowok="t"/>
            <v:fill on="f" focussize="0,0"/>
            <v:stroke color="#000000" joinstyle="round"/>
            <v:imagedata o:title=""/>
            <o:lock v:ext="edit" aspectratio="f"/>
          </v:line>
        </w:pict>
      </w:r>
      <w:r>
        <w:rPr>
          <w:rFonts w:cs="黑体"/>
          <w:color w:val="000000"/>
          <w:sz w:val="32"/>
          <w:szCs w:val="32"/>
        </w:rPr>
        <w:pict>
          <v:line id="直接连接符 4" o:spid="_x0000_s2051" o:spt="20" style="position:absolute;left:0pt;margin-left:-2.4pt;margin-top:4.5pt;height:0.95pt;width:437.65pt;z-index:251660288;mso-width-relative:page;mso-height-relative:page;" filled="f" stroked="t" coordsize="21600,21600" o:gfxdata="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NRa1z1gAAAAcBAAAPAAAAAAAAAAEAIAAAACIAAABkcnMvZG93bnJldi54bWxQSwECFAAU&#10;AAAACACHTuJAB08aSvMBAADqAwAADgAAAAAAAAABACAAAAAlAQAAZHJzL2Uyb0RvYy54bWxQSwUG&#10;AAAAAAYABgBZAQAAigUAAAAA&#10;">
            <v:path arrowok="t"/>
            <v:fill on="f" focussize="0,0"/>
            <v:stroke color="#000000" joinstyle="round"/>
            <v:imagedata o:title=""/>
            <o:lock v:ext="edit" aspectratio="f"/>
          </v:line>
        </w:pict>
      </w:r>
      <w:r>
        <w:rPr>
          <w:rFonts w:hint="eastAsia" w:ascii="仿宋_GB2312" w:eastAsia="仿宋_GB2312"/>
          <w:color w:val="000000"/>
          <w:sz w:val="32"/>
          <w:szCs w:val="32"/>
        </w:rPr>
        <w:t xml:space="preserve">鲁山县安全生产委员会办公室     </w:t>
      </w:r>
      <w:r>
        <w:rPr>
          <w:rFonts w:hint="eastAsia" w:ascii="仿宋_GB2312" w:eastAsia="仿宋_GB2312"/>
          <w:color w:val="000000"/>
          <w:sz w:val="32"/>
          <w:szCs w:val="32"/>
          <w:lang w:val="en-US" w:eastAsia="zh-CN"/>
        </w:rPr>
        <w:t xml:space="preserve">  </w:t>
      </w:r>
      <w:r>
        <w:rPr>
          <w:rFonts w:hint="eastAsia" w:ascii="仿宋_GB2312" w:eastAsia="仿宋_GB2312"/>
          <w:color w:val="000000"/>
          <w:spacing w:val="3"/>
          <w:sz w:val="32"/>
          <w:szCs w:val="32"/>
        </w:rPr>
        <w:t>202</w:t>
      </w:r>
      <w:r>
        <w:rPr>
          <w:rFonts w:hint="eastAsia" w:ascii="仿宋_GB2312" w:eastAsia="仿宋_GB2312"/>
          <w:color w:val="000000"/>
          <w:spacing w:val="3"/>
          <w:sz w:val="32"/>
          <w:szCs w:val="32"/>
          <w:lang w:val="en-US" w:eastAsia="zh-CN"/>
        </w:rPr>
        <w:t>2</w:t>
      </w:r>
      <w:r>
        <w:rPr>
          <w:rFonts w:hint="eastAsia" w:ascii="仿宋_GB2312" w:eastAsia="仿宋_GB2312"/>
          <w:color w:val="000000"/>
          <w:spacing w:val="3"/>
          <w:sz w:val="32"/>
          <w:szCs w:val="32"/>
        </w:rPr>
        <w:t>年</w:t>
      </w:r>
      <w:r>
        <w:rPr>
          <w:rFonts w:hint="eastAsia" w:ascii="仿宋_GB2312" w:eastAsia="仿宋_GB2312"/>
          <w:color w:val="000000"/>
          <w:spacing w:val="3"/>
          <w:sz w:val="32"/>
          <w:szCs w:val="32"/>
          <w:lang w:val="en-US" w:eastAsia="zh-CN"/>
        </w:rPr>
        <w:t>5</w:t>
      </w:r>
      <w:r>
        <w:rPr>
          <w:rFonts w:hint="eastAsia" w:ascii="仿宋_GB2312" w:eastAsia="仿宋_GB2312"/>
          <w:color w:val="000000"/>
          <w:spacing w:val="3"/>
          <w:sz w:val="32"/>
          <w:szCs w:val="32"/>
        </w:rPr>
        <w:t>月</w:t>
      </w:r>
      <w:r>
        <w:rPr>
          <w:rFonts w:hint="eastAsia" w:ascii="仿宋_GB2312" w:eastAsia="仿宋_GB2312"/>
          <w:color w:val="000000"/>
          <w:spacing w:val="3"/>
          <w:sz w:val="32"/>
          <w:szCs w:val="32"/>
          <w:lang w:val="en-US" w:eastAsia="zh-CN"/>
        </w:rPr>
        <w:t>25</w:t>
      </w:r>
      <w:r>
        <w:rPr>
          <w:rFonts w:hint="eastAsia" w:ascii="仿宋_GB2312" w:eastAsia="仿宋_GB2312"/>
          <w:color w:val="000000"/>
          <w:spacing w:val="3"/>
          <w:sz w:val="32"/>
          <w:szCs w:val="32"/>
        </w:rPr>
        <w:t>日印发</w:t>
      </w:r>
      <w:r>
        <w:rPr>
          <w:rFonts w:hint="eastAsia" w:ascii="仿宋_GB2312" w:hAnsi="仿宋_GB2312" w:eastAsia="仿宋_GB2312" w:cs="仿宋_GB2312"/>
          <w:color w:val="000000"/>
          <w:sz w:val="32"/>
          <w:szCs w:val="32"/>
        </w:rPr>
        <w:t xml:space="preserve"> </w:t>
      </w:r>
      <w:r>
        <w:rPr>
          <w:rFonts w:hint="eastAsia" w:ascii="仿宋" w:hAnsi="仿宋" w:eastAsia="仿宋" w:cs="仿宋"/>
          <w:sz w:val="32"/>
          <w:szCs w:val="32"/>
          <w:lang w:val="en-US" w:eastAsia="zh-CN"/>
        </w:rPr>
        <w:t xml:space="preserve"> </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鲁山县202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年“安全生产月”“6·16”</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宣传咨询日活动方案</w:t>
      </w:r>
    </w:p>
    <w:p>
      <w:pPr>
        <w:pStyle w:val="12"/>
        <w:jc w:val="both"/>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一、宣传咨询活动主会场：县文化广场。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二、宣传咨询活动时间：202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年6月16日。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三、宣传咨询活动要求：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（一）各乡(镇)、办事处要组织宣传车辆，深入重点行政村和辖区内重点企业进行宣传活动；乡(镇)、办事处所在地设置咨询台,利用本单位或其他醒目位置LED显示屏滚动播放安全宣传标语等。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（二）县安委会成员单位，在6月16日当天，</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充分利用本单位或其他醒目位置LED显示屏滚动播放安全宣传标语，利用微信抖音推送安全宣传标语、安全知识链接等。</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在文化广场设置安全咨询台一个，摆放宣传版面2—3块，发放宣传资料。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（三）鲁阳、琴台、露峰、汇源四个办事处将咨询台统一集中在文化广场。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（四）各重点企业要在厂区设置安全横幅和宣传专栏，动员广大职工采取各种形式，进行安全法律、安全知识、安全技能宣传。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（五）移动公司、联通公司、电信公司负责向广大公众发送“安全生产月”活动安全标语公益短信息。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（六）各单位要按照上述要求，认真组织实施，确保实效。6月16日当天，县安委会办公室要组织督查，将此次活动情况作为年终目标考核的依据，并进行通报。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年安全月活动督查组分工情况</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第一组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长：雷跃东</w:t>
      </w:r>
    </w:p>
    <w:p>
      <w:pPr>
        <w:keepNext w:val="0"/>
        <w:keepLines w:val="0"/>
        <w:pageBreakBefore w:val="0"/>
        <w:widowControl w:val="0"/>
        <w:kinsoku/>
        <w:wordWrap/>
        <w:overflowPunct/>
        <w:topLinePunct w:val="0"/>
        <w:autoSpaceDE/>
        <w:autoSpaceDN/>
        <w:bidi w:val="0"/>
        <w:adjustRightInd/>
        <w:snapToGrid/>
        <w:spacing w:line="240" w:lineRule="auto"/>
        <w:ind w:left="1915" w:leftChars="912"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val="en-US" w:eastAsia="zh-CN"/>
        </w:rPr>
        <w:t xml:space="preserve">景  </w:t>
      </w:r>
      <w:r>
        <w:rPr>
          <w:rFonts w:hint="eastAsia" w:ascii="仿宋_GB2312" w:hAnsi="仿宋_GB2312" w:eastAsia="仿宋_GB2312" w:cs="仿宋_GB2312"/>
          <w:i w:val="0"/>
          <w:iCs w:val="0"/>
          <w:sz w:val="32"/>
          <w:szCs w:val="32"/>
          <w:lang w:val="en-US" w:eastAsia="zh-CN"/>
        </w:rPr>
        <w:t>乐、宋  哲、杜晓文、</w:t>
      </w:r>
      <w:r>
        <w:rPr>
          <w:rFonts w:hint="eastAsia" w:ascii="仿宋_GB2312" w:hAnsi="仿宋_GB2312" w:eastAsia="仿宋_GB2312" w:cs="仿宋_GB2312"/>
          <w:b w:val="0"/>
          <w:bCs w:val="0"/>
          <w:sz w:val="32"/>
          <w:szCs w:val="32"/>
          <w:lang w:val="en-US" w:eastAsia="zh-CN"/>
        </w:rPr>
        <w:t>李莫乐</w:t>
      </w:r>
      <w:r>
        <w:rPr>
          <w:rFonts w:hint="eastAsia" w:ascii="仿宋_GB2312" w:hAnsi="仿宋_GB2312" w:eastAsia="仿宋_GB2312" w:cs="仿宋_GB2312"/>
          <w:spacing w:val="-11"/>
          <w:sz w:val="32"/>
          <w:szCs w:val="32"/>
        </w:rPr>
        <w:t>督查单位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四棵树乡、下汤镇、赵村镇、</w:t>
      </w:r>
    </w:p>
    <w:p>
      <w:pPr>
        <w:keepNext w:val="0"/>
        <w:keepLines w:val="0"/>
        <w:pageBreakBefore w:val="0"/>
        <w:widowControl w:val="0"/>
        <w:kinsoku/>
        <w:wordWrap/>
        <w:overflowPunct/>
        <w:topLinePunct w:val="0"/>
        <w:autoSpaceDE/>
        <w:autoSpaceDN/>
        <w:bidi w:val="0"/>
        <w:adjustRightInd/>
        <w:snapToGrid/>
        <w:spacing w:line="240" w:lineRule="auto"/>
        <w:ind w:left="3511" w:leftChars="1672"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尧山镇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第二组</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长：韩向阳</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jc w:val="both"/>
        <w:textAlignment w:val="auto"/>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spacing w:val="0"/>
          <w:sz w:val="32"/>
          <w:szCs w:val="32"/>
        </w:rPr>
        <w:t>成</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员</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rPr>
        <w:t>戴晓旭、封森茂、</w:t>
      </w:r>
      <w:r>
        <w:rPr>
          <w:rFonts w:hint="eastAsia" w:ascii="仿宋_GB2312" w:hAnsi="仿宋_GB2312" w:eastAsia="仿宋_GB2312" w:cs="仿宋_GB2312"/>
          <w:sz w:val="32"/>
          <w:szCs w:val="32"/>
          <w:lang w:val="en-US" w:eastAsia="zh-CN"/>
        </w:rPr>
        <w:t>闫亚化、</w:t>
      </w:r>
      <w:r>
        <w:rPr>
          <w:rFonts w:hint="eastAsia" w:ascii="仿宋_GB2312" w:hAnsi="仿宋_GB2312" w:eastAsia="仿宋_GB2312" w:cs="仿宋_GB2312"/>
          <w:b w:val="0"/>
          <w:bCs w:val="0"/>
          <w:sz w:val="32"/>
          <w:szCs w:val="32"/>
          <w:lang w:val="en-US" w:eastAsia="zh-CN"/>
        </w:rPr>
        <w:t>杨康磊</w:t>
      </w:r>
    </w:p>
    <w:p>
      <w:pPr>
        <w:pStyle w:val="12"/>
        <w:keepNext w:val="0"/>
        <w:keepLines w:val="0"/>
        <w:pageBreakBefore w:val="0"/>
        <w:widowControl w:val="0"/>
        <w:kinsoku/>
        <w:wordWrap/>
        <w:overflowPunct/>
        <w:topLinePunct w:val="0"/>
        <w:autoSpaceDE/>
        <w:autoSpaceDN/>
        <w:bidi w:val="0"/>
        <w:adjustRightInd/>
        <w:snapToGrid/>
        <w:spacing w:line="240" w:lineRule="auto"/>
        <w:ind w:firstLine="1490" w:firstLineChars="500"/>
        <w:jc w:val="both"/>
        <w:textAlignment w:val="auto"/>
        <w:rPr>
          <w:rFonts w:hint="default"/>
          <w:lang w:val="en-US" w:eastAsia="zh-CN"/>
        </w:rPr>
      </w:pPr>
      <w:r>
        <w:rPr>
          <w:rFonts w:hint="eastAsia" w:ascii="仿宋_GB2312" w:hAnsi="仿宋_GB2312" w:eastAsia="仿宋_GB2312" w:cs="仿宋_GB2312"/>
          <w:b w:val="0"/>
          <w:bCs w:val="0"/>
          <w:spacing w:val="-11"/>
          <w:sz w:val="32"/>
          <w:szCs w:val="32"/>
        </w:rPr>
        <w:t>督查单位</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梁洼镇、辛集乡、</w:t>
      </w:r>
      <w:r>
        <w:rPr>
          <w:rFonts w:hint="eastAsia" w:ascii="仿宋_GB2312" w:hAnsi="仿宋_GB2312" w:eastAsia="仿宋_GB2312" w:cs="仿宋_GB2312"/>
          <w:b w:val="0"/>
          <w:bCs w:val="0"/>
          <w:sz w:val="32"/>
          <w:szCs w:val="32"/>
        </w:rPr>
        <w:t>张店乡、</w:t>
      </w:r>
      <w:r>
        <w:rPr>
          <w:rFonts w:hint="eastAsia" w:ascii="仿宋_GB2312" w:hAnsi="仿宋_GB2312" w:eastAsia="仿宋_GB2312" w:cs="仿宋_GB2312"/>
          <w:sz w:val="32"/>
          <w:szCs w:val="32"/>
        </w:rPr>
        <w:t>董周乡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第三组</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吴鹏起</w:t>
      </w:r>
    </w:p>
    <w:p>
      <w:pPr>
        <w:keepNext w:val="0"/>
        <w:keepLines w:val="0"/>
        <w:pageBreakBefore w:val="0"/>
        <w:widowControl w:val="0"/>
        <w:kinsoku/>
        <w:wordWrap/>
        <w:overflowPunct/>
        <w:topLinePunct w:val="0"/>
        <w:autoSpaceDE/>
        <w:autoSpaceDN/>
        <w:bidi w:val="0"/>
        <w:adjustRightInd/>
        <w:snapToGrid/>
        <w:spacing w:line="240" w:lineRule="auto"/>
        <w:ind w:left="1915" w:leftChars="912"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吴军政、</w:t>
      </w:r>
      <w:r>
        <w:rPr>
          <w:rFonts w:hint="eastAsia" w:ascii="仿宋_GB2312" w:hAnsi="仿宋_GB2312" w:eastAsia="仿宋_GB2312" w:cs="仿宋_GB2312"/>
          <w:sz w:val="32"/>
          <w:szCs w:val="32"/>
          <w:lang w:val="en-US" w:eastAsia="zh-CN"/>
        </w:rPr>
        <w:t xml:space="preserve">吴  健、李东栩、李克元     </w:t>
      </w:r>
      <w:r>
        <w:rPr>
          <w:rFonts w:hint="eastAsia" w:ascii="仿宋_GB2312" w:hAnsi="仿宋_GB2312" w:eastAsia="仿宋_GB2312" w:cs="仿宋_GB2312"/>
          <w:spacing w:val="-11"/>
          <w:sz w:val="32"/>
          <w:szCs w:val="32"/>
        </w:rPr>
        <w:t>督查单位</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z w:val="32"/>
          <w:szCs w:val="32"/>
        </w:rPr>
        <w:t>让河乡、熊背乡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团城乡、库区乡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第四组</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谭小林</w:t>
      </w:r>
    </w:p>
    <w:p>
      <w:pPr>
        <w:keepNext w:val="0"/>
        <w:keepLines w:val="0"/>
        <w:pageBreakBefore w:val="0"/>
        <w:widowControl w:val="0"/>
        <w:kinsoku/>
        <w:wordWrap/>
        <w:overflowPunct/>
        <w:topLinePunct w:val="0"/>
        <w:autoSpaceDE/>
        <w:autoSpaceDN/>
        <w:bidi w:val="0"/>
        <w:adjustRightInd/>
        <w:snapToGrid/>
        <w:spacing w:line="240" w:lineRule="auto"/>
        <w:ind w:left="1915" w:leftChars="912"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员：王建强、</w:t>
      </w:r>
      <w:r>
        <w:rPr>
          <w:rFonts w:hint="eastAsia" w:ascii="仿宋_GB2312" w:hAnsi="仿宋_GB2312" w:eastAsia="仿宋_GB2312" w:cs="仿宋_GB2312"/>
          <w:sz w:val="32"/>
          <w:szCs w:val="32"/>
          <w:lang w:val="en-US" w:eastAsia="zh-CN"/>
        </w:rPr>
        <w:t xml:space="preserve">郭亚红、姬彬翔、任宗晓     </w:t>
      </w:r>
      <w:r>
        <w:rPr>
          <w:rFonts w:hint="eastAsia" w:ascii="仿宋_GB2312" w:hAnsi="仿宋_GB2312" w:eastAsia="仿宋_GB2312" w:cs="仿宋_GB2312"/>
          <w:spacing w:val="-11"/>
          <w:sz w:val="32"/>
          <w:szCs w:val="32"/>
        </w:rPr>
        <w:t>督查单位</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马楼乡、张良镇、滚子营乡、</w:t>
      </w:r>
    </w:p>
    <w:p>
      <w:pPr>
        <w:keepNext w:val="0"/>
        <w:keepLines w:val="0"/>
        <w:pageBreakBefore w:val="0"/>
        <w:widowControl w:val="0"/>
        <w:kinsoku/>
        <w:wordWrap/>
        <w:overflowPunct/>
        <w:topLinePunct w:val="0"/>
        <w:autoSpaceDE/>
        <w:autoSpaceDN/>
        <w:bidi w:val="0"/>
        <w:adjustRightInd/>
        <w:snapToGrid/>
        <w:spacing w:line="240" w:lineRule="auto"/>
        <w:ind w:firstLine="3520" w:firstLineChars="1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张官营镇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组</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飞</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员：王兵兵、马  琳、王纪远、郭东晓</w:t>
      </w:r>
    </w:p>
    <w:p>
      <w:pPr>
        <w:keepNext w:val="0"/>
        <w:keepLines w:val="0"/>
        <w:pageBreakBefore w:val="0"/>
        <w:widowControl w:val="0"/>
        <w:kinsoku/>
        <w:wordWrap/>
        <w:overflowPunct/>
        <w:topLinePunct w:val="0"/>
        <w:autoSpaceDE/>
        <w:autoSpaceDN/>
        <w:bidi w:val="0"/>
        <w:adjustRightInd/>
        <w:snapToGrid/>
        <w:spacing w:line="240" w:lineRule="auto"/>
        <w:ind w:left="3405" w:leftChars="912" w:hanging="1490" w:hangingChars="500"/>
        <w:jc w:val="both"/>
        <w:textAlignment w:val="auto"/>
        <w:rPr>
          <w:rFonts w:hint="default"/>
          <w:lang w:val="en-US" w:eastAsia="zh-CN"/>
        </w:rPr>
      </w:pPr>
      <w:r>
        <w:rPr>
          <w:rFonts w:hint="eastAsia" w:ascii="仿宋_GB2312" w:hAnsi="仿宋_GB2312" w:eastAsia="仿宋_GB2312" w:cs="仿宋_GB2312"/>
          <w:spacing w:val="-11"/>
          <w:sz w:val="32"/>
          <w:szCs w:val="32"/>
        </w:rPr>
        <w:t>督查单位</w:t>
      </w:r>
      <w:r>
        <w:rPr>
          <w:rFonts w:hint="eastAsia" w:ascii="仿宋_GB2312" w:hAnsi="仿宋_GB2312" w:eastAsia="仿宋_GB2312" w:cs="仿宋_GB2312"/>
          <w:sz w:val="32"/>
          <w:szCs w:val="32"/>
        </w:rPr>
        <w:t>∶仓头乡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观音寺乡、瓦屋镇、背孜乡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土门办事处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组</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长：曹 天</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员：铁九烨、</w:t>
      </w:r>
      <w:r>
        <w:rPr>
          <w:rFonts w:hint="eastAsia" w:ascii="仿宋_GB2312" w:hAnsi="仿宋_GB2312" w:eastAsia="仿宋_GB2312" w:cs="仿宋_GB2312"/>
          <w:sz w:val="32"/>
          <w:szCs w:val="32"/>
          <w:lang w:val="en-US" w:eastAsia="zh-CN"/>
        </w:rPr>
        <w:t>范太峰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李佼、陈鲁超</w:t>
      </w:r>
    </w:p>
    <w:p>
      <w:pPr>
        <w:keepNext w:val="0"/>
        <w:keepLines w:val="0"/>
        <w:pageBreakBefore w:val="0"/>
        <w:widowControl w:val="0"/>
        <w:kinsoku/>
        <w:wordWrap/>
        <w:overflowPunct/>
        <w:topLinePunct w:val="0"/>
        <w:autoSpaceDE/>
        <w:autoSpaceDN/>
        <w:bidi w:val="0"/>
        <w:adjustRightInd/>
        <w:snapToGrid/>
        <w:spacing w:line="240" w:lineRule="auto"/>
        <w:ind w:left="3405" w:leftChars="912" w:hanging="1490" w:hanging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督查单位</w:t>
      </w:r>
      <w:r>
        <w:rPr>
          <w:rFonts w:hint="eastAsia" w:ascii="仿宋_GB2312" w:hAnsi="仿宋_GB2312" w:eastAsia="仿宋_GB2312" w:cs="仿宋_GB2312"/>
          <w:sz w:val="32"/>
          <w:szCs w:val="32"/>
        </w:rPr>
        <w:t>∶鲁阳办事处、琴台办事处、露峰办事处、汇源办事处以及各安委会成员单位。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组</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李耀广、牛维东、张伟峰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胡卫东、王宏升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负责“6•16”活动现场督导</w:t>
      </w:r>
    </w:p>
    <w:p>
      <w:pPr>
        <w:pStyle w:val="12"/>
        <w:jc w:val="both"/>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注∶各督查组到每一个乡（镇）、办事处必须抽查一至两个重点企业</w:t>
      </w:r>
      <w:bookmarkStart w:id="6" w:name="_GoBack"/>
      <w:bookmarkEnd w:id="6"/>
      <w:r>
        <w:rPr>
          <w:rFonts w:hint="eastAsia" w:ascii="仿宋_GB2312" w:hAnsi="仿宋_GB2312" w:eastAsia="仿宋_GB2312" w:cs="仿宋_GB2312"/>
          <w:sz w:val="32"/>
          <w:szCs w:val="32"/>
        </w:rPr>
        <w:t>。并有一定数量的录像资料及照片。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ascii="黑体" w:hAnsi="黑体" w:eastAsia="黑体" w:cs="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pgNumType w:fmt="numberInDash"/>
          <w:cols w:space="0" w:num="1"/>
          <w:docGrid w:type="lines" w:linePitch="312" w:charSpace="0"/>
        </w:sectPr>
      </w:pPr>
    </w:p>
    <w:p>
      <w:pPr>
        <w:pageBreakBefore w:val="0"/>
        <w:kinsoku/>
        <w:wordWrap/>
        <w:overflowPunct/>
        <w:topLinePunct w:val="0"/>
        <w:autoSpaceDE/>
        <w:autoSpaceDN/>
        <w:bidi w:val="0"/>
        <w:adjustRightInd/>
        <w:snapToGrid/>
        <w:spacing w:beforeAutospacing="0" w:afterAutospacing="0" w:line="36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pStyle w:val="25"/>
        <w:keepNext/>
        <w:keepLines/>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方正小标宋简体" w:hAnsi="方正小标宋简体" w:eastAsia="方正小标宋简体" w:cs="方正小标宋简体"/>
        </w:rPr>
      </w:pPr>
      <w:bookmarkStart w:id="0" w:name="bookmark6"/>
      <w:bookmarkStart w:id="1" w:name="bookmark5"/>
      <w:bookmarkStart w:id="2" w:name="bookmark4"/>
      <w:r>
        <w:rPr>
          <w:rFonts w:hint="eastAsia" w:ascii="方正小标宋简体" w:hAnsi="方正小标宋简体" w:eastAsia="方正小标宋简体" w:cs="方正小标宋简体"/>
          <w:lang w:val="en-US" w:eastAsia="zh-CN"/>
        </w:rPr>
        <w:t>鲁山县</w:t>
      </w:r>
      <w:r>
        <w:rPr>
          <w:rFonts w:hint="eastAsia" w:ascii="方正小标宋简体" w:hAnsi="方正小标宋简体" w:eastAsia="方正小标宋简体" w:cs="方正小标宋简体"/>
          <w:lang w:val="zh-CN" w:eastAsia="zh-CN"/>
        </w:rPr>
        <w:t>“安</w:t>
      </w:r>
      <w:r>
        <w:rPr>
          <w:rFonts w:hint="eastAsia" w:ascii="方正小标宋简体" w:hAnsi="方正小标宋简体" w:eastAsia="方正小标宋简体" w:cs="方正小标宋简体"/>
        </w:rPr>
        <w:t>全生产月”活动联络员反馈表</w:t>
      </w:r>
      <w:bookmarkEnd w:id="0"/>
      <w:bookmarkEnd w:id="1"/>
      <w:bookmarkEnd w:id="2"/>
    </w:p>
    <w:p>
      <w:pPr>
        <w:pStyle w:val="25"/>
        <w:keepNext/>
        <w:keepLines/>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方正小标宋简体" w:hAnsi="方正小标宋简体" w:eastAsia="方正小标宋简体" w:cs="方正小标宋简体"/>
        </w:rPr>
      </w:pPr>
    </w:p>
    <w:tbl>
      <w:tblPr>
        <w:tblStyle w:val="13"/>
        <w:tblW w:w="0" w:type="auto"/>
        <w:jc w:val="center"/>
        <w:tblLayout w:type="fixed"/>
        <w:tblCellMar>
          <w:top w:w="0" w:type="dxa"/>
          <w:left w:w="10" w:type="dxa"/>
          <w:bottom w:w="0" w:type="dxa"/>
          <w:right w:w="10" w:type="dxa"/>
        </w:tblCellMar>
      </w:tblPr>
      <w:tblGrid>
        <w:gridCol w:w="2167"/>
        <w:gridCol w:w="2340"/>
        <w:gridCol w:w="1411"/>
        <w:gridCol w:w="2909"/>
        <w:gridCol w:w="1541"/>
        <w:gridCol w:w="2959"/>
      </w:tblGrid>
      <w:tr>
        <w:tblPrEx>
          <w:tblCellMar>
            <w:top w:w="0" w:type="dxa"/>
            <w:left w:w="10" w:type="dxa"/>
            <w:bottom w:w="0" w:type="dxa"/>
            <w:right w:w="10" w:type="dxa"/>
          </w:tblCellMar>
        </w:tblPrEx>
        <w:trPr>
          <w:trHeight w:val="900" w:hRule="exact"/>
          <w:jc w:val="center"/>
        </w:trPr>
        <w:tc>
          <w:tcPr>
            <w:tcW w:w="2167" w:type="dxa"/>
            <w:tcBorders>
              <w:top w:val="single" w:color="auto" w:sz="4" w:space="0"/>
              <w:left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42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姓</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名</w:t>
            </w:r>
          </w:p>
        </w:tc>
        <w:tc>
          <w:tcPr>
            <w:tcW w:w="2340" w:type="dxa"/>
            <w:tcBorders>
              <w:top w:val="single" w:color="auto" w:sz="4" w:space="0"/>
              <w:left w:val="single" w:color="auto" w:sz="4" w:space="0"/>
            </w:tcBorders>
            <w:shd w:val="clear" w:color="auto" w:fill="FFFFFF"/>
            <w:vAlign w:val="center"/>
          </w:tcPr>
          <w:p>
            <w:pPr>
              <w:pageBreakBefore w:val="0"/>
              <w:kinsoku/>
              <w:wordWrap/>
              <w:overflowPunct/>
              <w:topLinePunct w:val="0"/>
              <w:autoSpaceDE/>
              <w:autoSpaceDN/>
              <w:bidi w:val="0"/>
              <w:adjustRightInd/>
              <w:snapToGrid/>
              <w:spacing w:beforeAutospacing="0" w:afterAutospacing="0" w:line="360" w:lineRule="auto"/>
              <w:jc w:val="both"/>
              <w:textAlignment w:val="auto"/>
              <w:rPr>
                <w:rFonts w:ascii="仿宋_GB2312" w:hAnsi="仿宋_GB2312" w:eastAsia="仿宋_GB2312" w:cs="仿宋_GB2312"/>
                <w:sz w:val="32"/>
                <w:szCs w:val="32"/>
              </w:rPr>
            </w:pPr>
          </w:p>
        </w:tc>
        <w:tc>
          <w:tcPr>
            <w:tcW w:w="1411" w:type="dxa"/>
            <w:tcBorders>
              <w:top w:val="single" w:color="auto" w:sz="4" w:space="0"/>
              <w:left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38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2909" w:type="dxa"/>
            <w:tcBorders>
              <w:top w:val="single" w:color="auto" w:sz="4" w:space="0"/>
              <w:left w:val="single" w:color="auto" w:sz="4" w:space="0"/>
            </w:tcBorders>
            <w:shd w:val="clear" w:color="auto" w:fill="FFFFFF"/>
            <w:vAlign w:val="center"/>
          </w:tcPr>
          <w:p>
            <w:pPr>
              <w:pageBreakBefore w:val="0"/>
              <w:kinsoku/>
              <w:wordWrap/>
              <w:overflowPunct/>
              <w:topLinePunct w:val="0"/>
              <w:autoSpaceDE/>
              <w:autoSpaceDN/>
              <w:bidi w:val="0"/>
              <w:adjustRightInd/>
              <w:snapToGrid/>
              <w:spacing w:beforeAutospacing="0" w:afterAutospacing="0" w:line="360" w:lineRule="auto"/>
              <w:jc w:val="both"/>
              <w:textAlignment w:val="auto"/>
              <w:rPr>
                <w:rFonts w:ascii="仿宋_GB2312" w:hAnsi="仿宋_GB2312" w:eastAsia="仿宋_GB2312" w:cs="仿宋_GB2312"/>
                <w:sz w:val="32"/>
                <w:szCs w:val="32"/>
              </w:rPr>
            </w:pPr>
          </w:p>
        </w:tc>
        <w:tc>
          <w:tcPr>
            <w:tcW w:w="1541" w:type="dxa"/>
            <w:tcBorders>
              <w:top w:val="single" w:color="auto" w:sz="4" w:space="0"/>
              <w:left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职务</w:t>
            </w:r>
          </w:p>
        </w:tc>
        <w:tc>
          <w:tcPr>
            <w:tcW w:w="2959" w:type="dxa"/>
            <w:tcBorders>
              <w:top w:val="single" w:color="auto" w:sz="4" w:space="0"/>
              <w:left w:val="single" w:color="auto" w:sz="4" w:space="0"/>
              <w:right w:val="single" w:color="auto" w:sz="4" w:space="0"/>
            </w:tcBorders>
            <w:shd w:val="clear" w:color="auto" w:fill="FFFFFF"/>
            <w:vAlign w:val="center"/>
          </w:tcPr>
          <w:p>
            <w:pPr>
              <w:pageBreakBefore w:val="0"/>
              <w:kinsoku/>
              <w:wordWrap/>
              <w:overflowPunct/>
              <w:topLinePunct w:val="0"/>
              <w:autoSpaceDE/>
              <w:autoSpaceDN/>
              <w:bidi w:val="0"/>
              <w:adjustRightInd/>
              <w:snapToGrid/>
              <w:spacing w:beforeAutospacing="0" w:afterAutospacing="0" w:line="360" w:lineRule="auto"/>
              <w:jc w:val="both"/>
              <w:textAlignment w:val="auto"/>
              <w:rPr>
                <w:rFonts w:ascii="仿宋_GB2312" w:hAnsi="仿宋_GB2312" w:eastAsia="仿宋_GB2312" w:cs="仿宋_GB2312"/>
                <w:sz w:val="32"/>
                <w:szCs w:val="32"/>
              </w:rPr>
            </w:pPr>
          </w:p>
        </w:tc>
      </w:tr>
      <w:tr>
        <w:tblPrEx>
          <w:tblCellMar>
            <w:top w:w="0" w:type="dxa"/>
            <w:left w:w="10" w:type="dxa"/>
            <w:bottom w:w="0" w:type="dxa"/>
            <w:right w:w="10" w:type="dxa"/>
          </w:tblCellMar>
        </w:tblPrEx>
        <w:trPr>
          <w:trHeight w:val="922" w:hRule="exact"/>
          <w:jc w:val="center"/>
        </w:trPr>
        <w:tc>
          <w:tcPr>
            <w:tcW w:w="2167" w:type="dxa"/>
            <w:tcBorders>
              <w:top w:val="single" w:color="auto" w:sz="4" w:space="0"/>
              <w:left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42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办公电话</w:t>
            </w:r>
          </w:p>
        </w:tc>
        <w:tc>
          <w:tcPr>
            <w:tcW w:w="2340" w:type="dxa"/>
            <w:tcBorders>
              <w:top w:val="single" w:color="auto" w:sz="4" w:space="0"/>
              <w:left w:val="single" w:color="auto" w:sz="4" w:space="0"/>
            </w:tcBorders>
            <w:shd w:val="clear" w:color="auto" w:fill="FFFFFF"/>
            <w:vAlign w:val="center"/>
          </w:tcPr>
          <w:p>
            <w:pPr>
              <w:pageBreakBefore w:val="0"/>
              <w:kinsoku/>
              <w:wordWrap/>
              <w:overflowPunct/>
              <w:topLinePunct w:val="0"/>
              <w:autoSpaceDE/>
              <w:autoSpaceDN/>
              <w:bidi w:val="0"/>
              <w:adjustRightInd/>
              <w:snapToGrid/>
              <w:spacing w:beforeAutospacing="0" w:afterAutospacing="0" w:line="360" w:lineRule="auto"/>
              <w:jc w:val="both"/>
              <w:textAlignment w:val="auto"/>
              <w:rPr>
                <w:rFonts w:ascii="仿宋_GB2312" w:hAnsi="仿宋_GB2312" w:eastAsia="仿宋_GB2312" w:cs="仿宋_GB2312"/>
                <w:sz w:val="32"/>
                <w:szCs w:val="32"/>
              </w:rPr>
            </w:pPr>
          </w:p>
        </w:tc>
        <w:tc>
          <w:tcPr>
            <w:tcW w:w="1411" w:type="dxa"/>
            <w:tcBorders>
              <w:top w:val="single" w:color="auto" w:sz="4" w:space="0"/>
              <w:left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38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手机</w:t>
            </w:r>
          </w:p>
        </w:tc>
        <w:tc>
          <w:tcPr>
            <w:tcW w:w="2909" w:type="dxa"/>
            <w:tcBorders>
              <w:top w:val="single" w:color="auto" w:sz="4" w:space="0"/>
              <w:left w:val="single" w:color="auto" w:sz="4" w:space="0"/>
            </w:tcBorders>
            <w:shd w:val="clear" w:color="auto" w:fill="FFFFFF"/>
            <w:vAlign w:val="center"/>
          </w:tcPr>
          <w:p>
            <w:pPr>
              <w:pageBreakBefore w:val="0"/>
              <w:kinsoku/>
              <w:wordWrap/>
              <w:overflowPunct/>
              <w:topLinePunct w:val="0"/>
              <w:autoSpaceDE/>
              <w:autoSpaceDN/>
              <w:bidi w:val="0"/>
              <w:adjustRightInd/>
              <w:snapToGrid/>
              <w:spacing w:beforeAutospacing="0" w:afterAutospacing="0" w:line="360" w:lineRule="auto"/>
              <w:jc w:val="both"/>
              <w:textAlignment w:val="auto"/>
              <w:rPr>
                <w:rFonts w:ascii="仿宋_GB2312" w:hAnsi="仿宋_GB2312" w:eastAsia="仿宋_GB2312" w:cs="仿宋_GB2312"/>
                <w:sz w:val="32"/>
                <w:szCs w:val="32"/>
              </w:rPr>
            </w:pPr>
          </w:p>
        </w:tc>
        <w:tc>
          <w:tcPr>
            <w:tcW w:w="1541" w:type="dxa"/>
            <w:tcBorders>
              <w:top w:val="single" w:color="auto" w:sz="4" w:space="0"/>
              <w:left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传真</w:t>
            </w:r>
          </w:p>
        </w:tc>
        <w:tc>
          <w:tcPr>
            <w:tcW w:w="2959" w:type="dxa"/>
            <w:tcBorders>
              <w:top w:val="single" w:color="auto" w:sz="4" w:space="0"/>
              <w:left w:val="single" w:color="auto" w:sz="4" w:space="0"/>
              <w:right w:val="single" w:color="auto" w:sz="4" w:space="0"/>
            </w:tcBorders>
            <w:shd w:val="clear" w:color="auto" w:fill="FFFFFF"/>
            <w:vAlign w:val="center"/>
          </w:tcPr>
          <w:p>
            <w:pPr>
              <w:pageBreakBefore w:val="0"/>
              <w:kinsoku/>
              <w:wordWrap/>
              <w:overflowPunct/>
              <w:topLinePunct w:val="0"/>
              <w:autoSpaceDE/>
              <w:autoSpaceDN/>
              <w:bidi w:val="0"/>
              <w:adjustRightInd/>
              <w:snapToGrid/>
              <w:spacing w:beforeAutospacing="0" w:afterAutospacing="0" w:line="360" w:lineRule="auto"/>
              <w:jc w:val="both"/>
              <w:textAlignment w:val="auto"/>
              <w:rPr>
                <w:rFonts w:ascii="仿宋_GB2312" w:hAnsi="仿宋_GB2312" w:eastAsia="仿宋_GB2312" w:cs="仿宋_GB2312"/>
                <w:sz w:val="32"/>
                <w:szCs w:val="32"/>
              </w:rPr>
            </w:pPr>
          </w:p>
        </w:tc>
      </w:tr>
      <w:tr>
        <w:tblPrEx>
          <w:tblCellMar>
            <w:top w:w="0" w:type="dxa"/>
            <w:left w:w="10" w:type="dxa"/>
            <w:bottom w:w="0" w:type="dxa"/>
            <w:right w:w="10" w:type="dxa"/>
          </w:tblCellMar>
        </w:tblPrEx>
        <w:trPr>
          <w:trHeight w:val="950" w:hRule="exact"/>
          <w:jc w:val="center"/>
        </w:trPr>
        <w:tc>
          <w:tcPr>
            <w:tcW w:w="2167" w:type="dxa"/>
            <w:tcBorders>
              <w:top w:val="single" w:color="auto" w:sz="4" w:space="0"/>
              <w:left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11160" w:type="dxa"/>
            <w:gridSpan w:val="5"/>
            <w:tcBorders>
              <w:top w:val="single" w:color="auto" w:sz="4" w:space="0"/>
              <w:left w:val="single" w:color="auto" w:sz="4" w:space="0"/>
              <w:right w:val="single" w:color="auto" w:sz="4" w:space="0"/>
            </w:tcBorders>
            <w:shd w:val="clear" w:color="auto" w:fill="FFFFFF"/>
            <w:vAlign w:val="center"/>
          </w:tcPr>
          <w:p>
            <w:pPr>
              <w:pageBreakBefore w:val="0"/>
              <w:kinsoku/>
              <w:wordWrap/>
              <w:overflowPunct/>
              <w:topLinePunct w:val="0"/>
              <w:autoSpaceDE/>
              <w:autoSpaceDN/>
              <w:bidi w:val="0"/>
              <w:adjustRightInd/>
              <w:snapToGrid/>
              <w:spacing w:beforeAutospacing="0" w:afterAutospacing="0" w:line="360" w:lineRule="auto"/>
              <w:jc w:val="both"/>
              <w:textAlignment w:val="auto"/>
              <w:rPr>
                <w:rFonts w:ascii="仿宋_GB2312" w:hAnsi="仿宋_GB2312" w:eastAsia="仿宋_GB2312" w:cs="仿宋_GB2312"/>
                <w:sz w:val="32"/>
                <w:szCs w:val="32"/>
              </w:rPr>
            </w:pPr>
          </w:p>
        </w:tc>
      </w:tr>
      <w:tr>
        <w:tblPrEx>
          <w:tblCellMar>
            <w:top w:w="0" w:type="dxa"/>
            <w:left w:w="10" w:type="dxa"/>
            <w:bottom w:w="0" w:type="dxa"/>
            <w:right w:w="10" w:type="dxa"/>
          </w:tblCellMar>
        </w:tblPrEx>
        <w:trPr>
          <w:trHeight w:val="1073" w:hRule="exact"/>
          <w:jc w:val="center"/>
        </w:trPr>
        <w:tc>
          <w:tcPr>
            <w:tcW w:w="2167" w:type="dxa"/>
            <w:tcBorders>
              <w:top w:val="single" w:color="auto" w:sz="4" w:space="0"/>
              <w:left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42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1160" w:type="dxa"/>
            <w:gridSpan w:val="5"/>
            <w:tcBorders>
              <w:top w:val="single" w:color="auto" w:sz="4" w:space="0"/>
              <w:left w:val="single" w:color="auto" w:sz="4" w:space="0"/>
              <w:right w:val="single" w:color="auto" w:sz="4" w:space="0"/>
            </w:tcBorders>
            <w:shd w:val="clear" w:color="auto" w:fill="FFFFFF"/>
            <w:vAlign w:val="center"/>
          </w:tcPr>
          <w:p>
            <w:pPr>
              <w:pageBreakBefore w:val="0"/>
              <w:kinsoku/>
              <w:wordWrap/>
              <w:overflowPunct/>
              <w:topLinePunct w:val="0"/>
              <w:autoSpaceDE/>
              <w:autoSpaceDN/>
              <w:bidi w:val="0"/>
              <w:adjustRightInd/>
              <w:snapToGrid/>
              <w:spacing w:beforeAutospacing="0" w:afterAutospacing="0" w:line="360" w:lineRule="auto"/>
              <w:jc w:val="both"/>
              <w:textAlignment w:val="auto"/>
              <w:rPr>
                <w:rFonts w:ascii="仿宋_GB2312" w:hAnsi="仿宋_GB2312" w:eastAsia="仿宋_GB2312" w:cs="仿宋_GB2312"/>
                <w:sz w:val="32"/>
                <w:szCs w:val="32"/>
              </w:rPr>
            </w:pPr>
          </w:p>
        </w:tc>
      </w:tr>
      <w:tr>
        <w:tblPrEx>
          <w:tblCellMar>
            <w:top w:w="0" w:type="dxa"/>
            <w:left w:w="10" w:type="dxa"/>
            <w:bottom w:w="0" w:type="dxa"/>
            <w:right w:w="10" w:type="dxa"/>
          </w:tblCellMar>
        </w:tblPrEx>
        <w:trPr>
          <w:trHeight w:val="1123" w:hRule="exact"/>
          <w:jc w:val="center"/>
        </w:trPr>
        <w:tc>
          <w:tcPr>
            <w:tcW w:w="2167" w:type="dxa"/>
            <w:tcBorders>
              <w:top w:val="single" w:color="auto" w:sz="4" w:space="0"/>
              <w:left w:val="single" w:color="auto" w:sz="4" w:space="0"/>
              <w:bottom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42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w:t>
            </w:r>
          </w:p>
        </w:tc>
        <w:tc>
          <w:tcPr>
            <w:tcW w:w="1116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kinsoku/>
              <w:wordWrap/>
              <w:overflowPunct/>
              <w:topLinePunct w:val="0"/>
              <w:autoSpaceDE/>
              <w:autoSpaceDN/>
              <w:bidi w:val="0"/>
              <w:adjustRightInd/>
              <w:snapToGrid/>
              <w:spacing w:beforeAutospacing="0" w:afterAutospacing="0" w:line="360" w:lineRule="auto"/>
              <w:jc w:val="both"/>
              <w:textAlignment w:val="auto"/>
              <w:rPr>
                <w:rFonts w:ascii="仿宋_GB2312" w:hAnsi="仿宋_GB2312" w:eastAsia="仿宋_GB2312" w:cs="仿宋_GB2312"/>
                <w:sz w:val="32"/>
                <w:szCs w:val="32"/>
              </w:rPr>
            </w:pPr>
          </w:p>
        </w:tc>
      </w:tr>
    </w:tbl>
    <w:p>
      <w:pPr>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注：请于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日前将此表上报邮箱。</w:t>
      </w:r>
    </w:p>
    <w:p>
      <w:pPr>
        <w:pageBreakBefore w:val="0"/>
        <w:kinsoku/>
        <w:wordWrap/>
        <w:overflowPunct/>
        <w:topLinePunct w:val="0"/>
        <w:autoSpaceDE/>
        <w:autoSpaceDN/>
        <w:bidi w:val="0"/>
        <w:adjustRightInd/>
        <w:snapToGrid/>
        <w:spacing w:beforeAutospacing="0" w:afterAutospacing="0" w:line="360" w:lineRule="auto"/>
        <w:jc w:val="both"/>
        <w:textAlignment w:val="auto"/>
        <w:rPr>
          <w:rFonts w:ascii="黑体" w:hAnsi="黑体" w:eastAsia="黑体" w:cs="黑体"/>
          <w:sz w:val="32"/>
          <w:szCs w:val="32"/>
        </w:rPr>
      </w:pPr>
    </w:p>
    <w:p>
      <w:pPr>
        <w:pageBreakBefore w:val="0"/>
        <w:kinsoku/>
        <w:wordWrap/>
        <w:overflowPunct/>
        <w:topLinePunct w:val="0"/>
        <w:autoSpaceDE/>
        <w:autoSpaceDN/>
        <w:bidi w:val="0"/>
        <w:adjustRightInd/>
        <w:snapToGrid/>
        <w:spacing w:beforeAutospacing="0" w:afterAutospacing="0" w:line="360" w:lineRule="auto"/>
        <w:jc w:val="both"/>
        <w:textAlignment w:val="auto"/>
        <w:rPr>
          <w:rFonts w:hint="eastAsia" w:ascii="黑体" w:hAnsi="黑体" w:eastAsia="黑体" w:cs="黑体"/>
          <w:sz w:val="32"/>
          <w:szCs w:val="32"/>
        </w:rPr>
      </w:pPr>
    </w:p>
    <w:p>
      <w:pPr>
        <w:pageBreakBefore w:val="0"/>
        <w:kinsoku/>
        <w:wordWrap/>
        <w:overflowPunct/>
        <w:topLinePunct w:val="0"/>
        <w:autoSpaceDE/>
        <w:autoSpaceDN/>
        <w:bidi w:val="0"/>
        <w:adjustRightInd/>
        <w:snapToGrid/>
        <w:spacing w:beforeAutospacing="0" w:afterAutospacing="0" w:line="36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p>
    <w:p>
      <w:pPr>
        <w:pStyle w:val="25"/>
        <w:keepNext/>
        <w:keepLines/>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ascii="方正小标宋简体" w:hAnsi="方正小标宋简体" w:eastAsia="方正小标宋简体" w:cs="方正小标宋简体"/>
        </w:rPr>
      </w:pPr>
      <w:bookmarkStart w:id="3" w:name="bookmark9"/>
      <w:bookmarkStart w:id="4" w:name="bookmark7"/>
      <w:bookmarkStart w:id="5" w:name="bookmark8"/>
      <w:r>
        <w:rPr>
          <w:rFonts w:hint="eastAsia" w:ascii="方正小标宋简体" w:hAnsi="方正小标宋简体" w:eastAsia="方正小标宋简体" w:cs="方正小标宋简体"/>
          <w:lang w:val="en-US" w:eastAsia="zh-CN"/>
        </w:rPr>
        <w:t>鲁山县</w:t>
      </w:r>
      <w:r>
        <w:rPr>
          <w:rFonts w:hint="eastAsia" w:ascii="方正小标宋简体" w:hAnsi="方正小标宋简体" w:eastAsia="方正小标宋简体" w:cs="方正小标宋简体"/>
          <w:lang w:val="zh-CN" w:eastAsia="zh-CN"/>
        </w:rPr>
        <w:t>“安</w:t>
      </w:r>
      <w:r>
        <w:rPr>
          <w:rFonts w:hint="eastAsia" w:ascii="方正小标宋简体" w:hAnsi="方正小标宋简体" w:eastAsia="方正小标宋简体" w:cs="方正小标宋简体"/>
        </w:rPr>
        <w:t>全生产月”活动情况统计表</w:t>
      </w:r>
      <w:bookmarkEnd w:id="3"/>
      <w:bookmarkEnd w:id="4"/>
      <w:bookmarkEnd w:id="5"/>
    </w:p>
    <w:p>
      <w:pPr>
        <w:pStyle w:val="27"/>
        <w:pageBreakBefore w:val="0"/>
        <w:tabs>
          <w:tab w:val="left" w:pos="5809"/>
          <w:tab w:val="left" w:pos="8199"/>
          <w:tab w:val="left" w:pos="10309"/>
          <w:tab w:val="left" w:pos="13117"/>
        </w:tabs>
        <w:kinsoku/>
        <w:wordWrap/>
        <w:overflowPunct/>
        <w:topLinePunct w:val="0"/>
        <w:autoSpaceDE/>
        <w:autoSpaceDN/>
        <w:bidi w:val="0"/>
        <w:adjustRightInd/>
        <w:snapToGrid/>
        <w:spacing w:beforeAutospacing="0" w:afterAutospacing="0" w:line="360" w:lineRule="auto"/>
        <w:ind w:firstLine="20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填报单位（盖章）：</w:t>
      </w:r>
      <w:r>
        <w:rPr>
          <w:rFonts w:ascii="仿宋_GB2312" w:hAnsi="仿宋_GB2312" w:eastAsia="仿宋_GB2312" w:cs="仿宋_GB2312"/>
          <w:sz w:val="24"/>
          <w:szCs w:val="24"/>
        </w:rPr>
        <w:t xml:space="preserve"> </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ab/>
      </w:r>
      <w:r>
        <w:rPr>
          <w:rFonts w:hint="eastAsia" w:ascii="仿宋_GB2312" w:hAnsi="仿宋_GB2312" w:eastAsia="仿宋_GB2312" w:cs="仿宋_GB2312"/>
          <w:sz w:val="24"/>
          <w:szCs w:val="24"/>
        </w:rPr>
        <w:t>联系人：</w:t>
      </w:r>
      <w:r>
        <w:rPr>
          <w:rFonts w:ascii="仿宋_GB2312" w:hAnsi="仿宋_GB2312" w:eastAsia="仿宋_GB2312" w:cs="仿宋_GB2312"/>
          <w:sz w:val="24"/>
          <w:szCs w:val="24"/>
        </w:rPr>
        <w:t xml:space="preserve"> </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ab/>
      </w:r>
      <w:r>
        <w:rPr>
          <w:rFonts w:hint="eastAsia" w:ascii="仿宋_GB2312" w:hAnsi="仿宋_GB2312" w:eastAsia="仿宋_GB2312" w:cs="仿宋_GB2312"/>
          <w:sz w:val="24"/>
          <w:szCs w:val="24"/>
        </w:rPr>
        <w:t>电话：</w:t>
      </w:r>
      <w:r>
        <w:rPr>
          <w:rFonts w:ascii="仿宋_GB2312" w:hAnsi="仿宋_GB2312" w:eastAsia="仿宋_GB2312" w:cs="仿宋_GB2312"/>
          <w:sz w:val="24"/>
          <w:szCs w:val="24"/>
        </w:rPr>
        <w:t xml:space="preserve"> </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ab/>
      </w:r>
      <w:r>
        <w:rPr>
          <w:rFonts w:hint="eastAsia" w:ascii="仿宋_GB2312" w:hAnsi="仿宋_GB2312" w:eastAsia="仿宋_GB2312" w:cs="仿宋_GB2312"/>
          <w:sz w:val="24"/>
          <w:szCs w:val="24"/>
        </w:rPr>
        <w:t>填报日期：</w:t>
      </w:r>
      <w:r>
        <w:rPr>
          <w:rFonts w:ascii="仿宋_GB2312" w:hAnsi="仿宋_GB2312" w:eastAsia="仿宋_GB2312" w:cs="仿宋_GB2312"/>
          <w:sz w:val="24"/>
          <w:szCs w:val="24"/>
        </w:rPr>
        <w:t xml:space="preserve"> </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ab/>
      </w:r>
    </w:p>
    <w:tbl>
      <w:tblPr>
        <w:tblStyle w:val="13"/>
        <w:tblW w:w="0" w:type="auto"/>
        <w:jc w:val="center"/>
        <w:tblLayout w:type="fixed"/>
        <w:tblCellMar>
          <w:top w:w="0" w:type="dxa"/>
          <w:left w:w="10" w:type="dxa"/>
          <w:bottom w:w="0" w:type="dxa"/>
          <w:right w:w="10" w:type="dxa"/>
        </w:tblCellMar>
      </w:tblPr>
      <w:tblGrid>
        <w:gridCol w:w="2642"/>
        <w:gridCol w:w="4450"/>
        <w:gridCol w:w="7"/>
        <w:gridCol w:w="6797"/>
        <w:gridCol w:w="7"/>
      </w:tblGrid>
      <w:tr>
        <w:tblPrEx>
          <w:tblCellMar>
            <w:top w:w="0" w:type="dxa"/>
            <w:left w:w="10" w:type="dxa"/>
            <w:bottom w:w="0" w:type="dxa"/>
            <w:right w:w="10" w:type="dxa"/>
          </w:tblCellMar>
        </w:tblPrEx>
        <w:trPr>
          <w:gridAfter w:val="1"/>
          <w:wAfter w:w="7" w:type="dxa"/>
          <w:trHeight w:val="468" w:hRule="exact"/>
          <w:jc w:val="center"/>
        </w:trPr>
        <w:tc>
          <w:tcPr>
            <w:tcW w:w="2642" w:type="dxa"/>
            <w:tcBorders>
              <w:top w:val="single" w:color="auto" w:sz="4" w:space="0"/>
              <w:left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活动项目</w:t>
            </w:r>
          </w:p>
        </w:tc>
        <w:tc>
          <w:tcPr>
            <w:tcW w:w="4450" w:type="dxa"/>
            <w:tcBorders>
              <w:top w:val="single" w:color="auto" w:sz="4" w:space="0"/>
              <w:left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内容要求</w:t>
            </w:r>
          </w:p>
        </w:tc>
        <w:tc>
          <w:tcPr>
            <w:tcW w:w="6804" w:type="dxa"/>
            <w:gridSpan w:val="2"/>
            <w:tcBorders>
              <w:top w:val="single" w:color="auto" w:sz="4" w:space="0"/>
              <w:left w:val="single" w:color="auto" w:sz="4" w:space="0"/>
              <w:right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活动进展情况</w:t>
            </w:r>
          </w:p>
        </w:tc>
      </w:tr>
      <w:tr>
        <w:tblPrEx>
          <w:tblCellMar>
            <w:top w:w="0" w:type="dxa"/>
            <w:left w:w="10" w:type="dxa"/>
            <w:bottom w:w="0" w:type="dxa"/>
            <w:right w:w="10" w:type="dxa"/>
          </w:tblCellMar>
        </w:tblPrEx>
        <w:trPr>
          <w:gridAfter w:val="1"/>
          <w:wAfter w:w="7" w:type="dxa"/>
          <w:trHeight w:val="1966" w:hRule="exact"/>
          <w:jc w:val="center"/>
        </w:trPr>
        <w:tc>
          <w:tcPr>
            <w:tcW w:w="2642" w:type="dxa"/>
            <w:tcBorders>
              <w:top w:val="single" w:color="auto" w:sz="4" w:space="0"/>
              <w:left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深入</w:t>
            </w:r>
            <w:r>
              <w:rPr>
                <w:rFonts w:hint="eastAsia" w:ascii="仿宋_GB2312" w:hAnsi="仿宋_GB2312" w:eastAsia="仿宋_GB2312" w:cs="仿宋_GB2312"/>
                <w:sz w:val="24"/>
                <w:szCs w:val="24"/>
              </w:rPr>
              <w:t>学习贯彻习近平总书记关于安全生产重要论述</w:t>
            </w:r>
          </w:p>
        </w:tc>
        <w:tc>
          <w:tcPr>
            <w:tcW w:w="4450" w:type="dxa"/>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2"/>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学习贯彻习近平总书记关于安全生产重要论述，</w:t>
            </w:r>
            <w:r>
              <w:rPr>
                <w:rFonts w:hint="eastAsia" w:ascii="仿宋_GB2312" w:hAnsi="仿宋_GB2312" w:eastAsia="仿宋_GB2312" w:cs="仿宋_GB2312"/>
                <w:sz w:val="24"/>
                <w:szCs w:val="24"/>
                <w:lang w:eastAsia="zh-CN"/>
              </w:rPr>
              <w:t>采取合适方式</w:t>
            </w:r>
            <w:r>
              <w:rPr>
                <w:rFonts w:hint="eastAsia" w:ascii="仿宋_GB2312" w:hAnsi="仿宋_GB2312" w:eastAsia="仿宋_GB2312" w:cs="仿宋_GB2312"/>
                <w:sz w:val="24"/>
                <w:szCs w:val="24"/>
              </w:rPr>
              <w:t>学习电视专题片《生命重于泰山》，</w:t>
            </w:r>
            <w:r>
              <w:rPr>
                <w:rFonts w:hint="eastAsia" w:ascii="仿宋_GB2312" w:hAnsi="仿宋_GB2312" w:eastAsia="仿宋_GB2312" w:cs="仿宋_GB2312"/>
                <w:sz w:val="24"/>
                <w:szCs w:val="24"/>
                <w:lang w:val="en-US" w:eastAsia="zh-CN"/>
              </w:rPr>
              <w:t>落实好贯彻国务院安委会全面加强安全生产“十五条措施”实施意见。</w:t>
            </w:r>
          </w:p>
        </w:tc>
        <w:tc>
          <w:tcPr>
            <w:tcW w:w="6804" w:type="dxa"/>
            <w:gridSpan w:val="2"/>
            <w:tcBorders>
              <w:top w:val="single" w:color="auto" w:sz="4" w:space="0"/>
              <w:left w:val="single" w:color="auto" w:sz="4" w:space="0"/>
              <w:right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专题研讨、集中宣讲、培训辅导等（）场，参与（）人次； 开展安全生产</w:t>
            </w:r>
            <w:r>
              <w:rPr>
                <w:rFonts w:hint="eastAsia" w:ascii="仿宋_GB2312" w:hAnsi="仿宋_GB2312" w:eastAsia="仿宋_GB2312" w:cs="仿宋_GB2312"/>
                <w:sz w:val="24"/>
                <w:szCs w:val="24"/>
                <w:lang w:val="zh-CN" w:eastAsia="zh-CN"/>
              </w:rPr>
              <w:t>“公</w:t>
            </w:r>
            <w:r>
              <w:rPr>
                <w:rFonts w:hint="eastAsia" w:ascii="仿宋_GB2312" w:hAnsi="仿宋_GB2312" w:eastAsia="仿宋_GB2312" w:cs="仿宋_GB2312"/>
                <w:sz w:val="24"/>
                <w:szCs w:val="24"/>
              </w:rPr>
              <w:t>开课</w:t>
            </w:r>
            <w:r>
              <w:rPr>
                <w:rFonts w:hint="eastAsia" w:ascii="仿宋_GB2312" w:hAnsi="仿宋_GB2312" w:eastAsia="仿宋_GB2312" w:cs="仿宋_GB2312"/>
                <w:sz w:val="24"/>
                <w:szCs w:val="24"/>
                <w:lang w:val="zh-CN" w:eastAsia="zh-CN"/>
              </w:rPr>
              <w:t>”“大</w:t>
            </w:r>
            <w:r>
              <w:rPr>
                <w:rFonts w:hint="eastAsia" w:ascii="仿宋_GB2312" w:hAnsi="仿宋_GB2312" w:eastAsia="仿宋_GB2312" w:cs="仿宋_GB2312"/>
                <w:sz w:val="24"/>
                <w:szCs w:val="24"/>
              </w:rPr>
              <w:t>家谈</w:t>
            </w:r>
            <w:r>
              <w:rPr>
                <w:rFonts w:hint="eastAsia" w:ascii="仿宋_GB2312" w:hAnsi="仿宋_GB2312" w:eastAsia="仿宋_GB2312" w:cs="仿宋_GB2312"/>
                <w:sz w:val="24"/>
                <w:szCs w:val="24"/>
                <w:lang w:val="zh-CN" w:eastAsia="zh-CN"/>
              </w:rPr>
              <w:t>”“班</w:t>
            </w:r>
            <w:r>
              <w:rPr>
                <w:rFonts w:hint="eastAsia" w:ascii="仿宋_GB2312" w:hAnsi="仿宋_GB2312" w:eastAsia="仿宋_GB2312" w:cs="仿宋_GB2312"/>
                <w:sz w:val="24"/>
                <w:szCs w:val="24"/>
              </w:rPr>
              <w:t>组会</w:t>
            </w:r>
            <w:r>
              <w:rPr>
                <w:rFonts w:hint="eastAsia" w:ascii="仿宋_GB2312" w:hAnsi="仿宋_GB2312" w:eastAsia="仿宋_GB2312" w:cs="仿宋_GB2312"/>
                <w:sz w:val="24"/>
                <w:szCs w:val="24"/>
                <w:lang w:val="zh-CN" w:eastAsia="zh-CN"/>
              </w:rPr>
              <w:t>”等学</w:t>
            </w:r>
            <w:r>
              <w:rPr>
                <w:rFonts w:hint="eastAsia" w:ascii="仿宋_GB2312" w:hAnsi="仿宋_GB2312" w:eastAsia="仿宋_GB2312" w:cs="仿宋_GB2312"/>
                <w:sz w:val="24"/>
                <w:szCs w:val="24"/>
              </w:rPr>
              <w:t>习活动（）场，参与（）人次。</w:t>
            </w:r>
          </w:p>
        </w:tc>
      </w:tr>
      <w:tr>
        <w:tblPrEx>
          <w:tblCellMar>
            <w:top w:w="0" w:type="dxa"/>
            <w:left w:w="10" w:type="dxa"/>
            <w:bottom w:w="0" w:type="dxa"/>
            <w:right w:w="10" w:type="dxa"/>
          </w:tblCellMar>
        </w:tblPrEx>
        <w:trPr>
          <w:gridAfter w:val="1"/>
          <w:wAfter w:w="7" w:type="dxa"/>
          <w:trHeight w:val="3161" w:hRule="exact"/>
          <w:jc w:val="center"/>
        </w:trPr>
        <w:tc>
          <w:tcPr>
            <w:tcW w:w="2642" w:type="dxa"/>
            <w:tcBorders>
              <w:top w:val="single" w:color="auto" w:sz="4" w:space="0"/>
              <w:left w:val="single" w:color="auto" w:sz="4" w:space="0"/>
              <w:bottom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宣传贯彻</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安全生产</w:t>
            </w:r>
            <w:r>
              <w:rPr>
                <w:rFonts w:hint="eastAsia" w:ascii="仿宋_GB2312" w:hAnsi="仿宋_GB2312" w:eastAsia="仿宋_GB2312" w:cs="仿宋_GB2312"/>
                <w:sz w:val="24"/>
                <w:szCs w:val="24"/>
                <w:lang w:eastAsia="zh-CN"/>
              </w:rPr>
              <w:t>法》</w:t>
            </w:r>
          </w:p>
        </w:tc>
        <w:tc>
          <w:tcPr>
            <w:tcW w:w="4450" w:type="dxa"/>
            <w:tcBorders>
              <w:top w:val="single" w:color="auto" w:sz="4" w:space="0"/>
              <w:left w:val="single" w:color="auto" w:sz="4" w:space="0"/>
              <w:bottom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48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开展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安全生产法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主题宣传活动，推动</w:t>
            </w:r>
            <w:r>
              <w:rPr>
                <w:rFonts w:hint="eastAsia" w:ascii="仿宋_GB2312" w:hAnsi="仿宋_GB2312" w:eastAsia="仿宋_GB2312" w:cs="仿宋_GB2312"/>
                <w:sz w:val="24"/>
                <w:szCs w:val="24"/>
                <w:lang w:val="zh-CN" w:eastAsia="zh-CN"/>
              </w:rPr>
              <w:t>“第</w:t>
            </w:r>
            <w:r>
              <w:rPr>
                <w:rFonts w:hint="eastAsia" w:ascii="仿宋_GB2312" w:hAnsi="仿宋_GB2312" w:eastAsia="仿宋_GB2312" w:cs="仿宋_GB2312"/>
                <w:sz w:val="24"/>
                <w:szCs w:val="24"/>
              </w:rPr>
              <w:t>一责任人”守法履责，加大以案释法和以案普法的宣传力度。</w:t>
            </w:r>
          </w:p>
        </w:tc>
        <w:tc>
          <w:tcPr>
            <w:tcW w:w="680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组织开展全员应急救援演练和知识技能培训（）场，参与（）人次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参与</w:t>
            </w:r>
            <w:r>
              <w:rPr>
                <w:rFonts w:hint="eastAsia" w:ascii="仿宋_GB2312" w:hAnsi="仿宋_GB2312" w:eastAsia="仿宋_GB2312" w:cs="仿宋_GB2312"/>
                <w:sz w:val="24"/>
                <w:szCs w:val="24"/>
                <w:lang w:val="zh-CN" w:eastAsia="zh-CN"/>
              </w:rPr>
              <w:t>“第一</w:t>
            </w:r>
            <w:r>
              <w:rPr>
                <w:rFonts w:hint="eastAsia" w:ascii="仿宋_GB2312" w:hAnsi="仿宋_GB2312" w:eastAsia="仿宋_GB2312" w:cs="仿宋_GB2312"/>
                <w:sz w:val="24"/>
                <w:szCs w:val="24"/>
              </w:rPr>
              <w:t>责任人安全倡议书”活动（）人次；曝光企业主体责任落实不到位被实行</w:t>
            </w:r>
            <w:r>
              <w:rPr>
                <w:rFonts w:hint="eastAsia" w:ascii="仿宋_GB2312" w:hAnsi="仿宋_GB2312" w:eastAsia="仿宋_GB2312" w:cs="仿宋_GB2312"/>
                <w:sz w:val="24"/>
                <w:szCs w:val="24"/>
                <w:lang w:val="zh-CN" w:eastAsia="zh-CN"/>
              </w:rPr>
              <w:t>“一</w:t>
            </w:r>
            <w:r>
              <w:rPr>
                <w:rFonts w:hint="eastAsia" w:ascii="仿宋_GB2312" w:hAnsi="仿宋_GB2312" w:eastAsia="仿宋_GB2312" w:cs="仿宋_GB2312"/>
                <w:sz w:val="24"/>
                <w:szCs w:val="24"/>
              </w:rPr>
              <w:t>案双罚”、安全生产行刑衔接、</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因发生生产安全事故构成重大责任事故罪的典型案例（）个；开展</w:t>
            </w:r>
            <w:r>
              <w:rPr>
                <w:rFonts w:hint="eastAsia" w:ascii="仿宋_GB2312" w:hAnsi="仿宋_GB2312" w:eastAsia="仿宋_GB2312" w:cs="仿宋_GB2312"/>
                <w:sz w:val="24"/>
                <w:szCs w:val="24"/>
                <w:lang w:val="zh-CN" w:eastAsia="zh-CN"/>
              </w:rPr>
              <w:t>“我</w:t>
            </w:r>
            <w:r>
              <w:rPr>
                <w:rFonts w:hint="eastAsia" w:ascii="仿宋_GB2312" w:hAnsi="仿宋_GB2312" w:eastAsia="仿宋_GB2312" w:cs="仿宋_GB2312"/>
                <w:sz w:val="24"/>
                <w:szCs w:val="24"/>
              </w:rPr>
              <w:t>是安全吹哨人”，发现问题（）项；“</w:t>
            </w:r>
            <w:r>
              <w:rPr>
                <w:rFonts w:hint="eastAsia" w:ascii="仿宋_GB2312" w:hAnsi="仿宋_GB2312" w:eastAsia="仿宋_GB2312" w:cs="仿宋_GB2312"/>
                <w:sz w:val="24"/>
                <w:szCs w:val="24"/>
                <w:lang w:val="en-US" w:eastAsia="zh-CN"/>
              </w:rPr>
              <w:t>查</w:t>
            </w:r>
            <w:r>
              <w:rPr>
                <w:rFonts w:hint="eastAsia" w:ascii="仿宋_GB2312" w:hAnsi="仿宋_GB2312" w:eastAsia="仿宋_GB2312" w:cs="仿宋_GB2312"/>
                <w:sz w:val="24"/>
                <w:szCs w:val="24"/>
              </w:rPr>
              <w:t>找身边的隐患”，査找隐患（）条。</w:t>
            </w:r>
          </w:p>
        </w:tc>
      </w:tr>
      <w:tr>
        <w:tblPrEx>
          <w:tblCellMar>
            <w:top w:w="0" w:type="dxa"/>
            <w:left w:w="10" w:type="dxa"/>
            <w:bottom w:w="0" w:type="dxa"/>
            <w:right w:w="10" w:type="dxa"/>
          </w:tblCellMar>
        </w:tblPrEx>
        <w:trPr>
          <w:trHeight w:val="3261" w:hRule="exact"/>
          <w:jc w:val="center"/>
        </w:trPr>
        <w:tc>
          <w:tcPr>
            <w:tcW w:w="2642" w:type="dxa"/>
            <w:tcBorders>
              <w:top w:val="single" w:color="auto" w:sz="4" w:space="0"/>
              <w:left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开展</w:t>
            </w:r>
            <w:r>
              <w:rPr>
                <w:rFonts w:hint="eastAsia" w:ascii="仿宋_GB2312" w:hAnsi="仿宋_GB2312" w:eastAsia="仿宋_GB2312" w:cs="仿宋_GB2312"/>
                <w:sz w:val="24"/>
                <w:szCs w:val="24"/>
                <w:lang w:val="zh-CN" w:eastAsia="zh-CN"/>
              </w:rPr>
              <w:t>“安全</w:t>
            </w:r>
            <w:r>
              <w:rPr>
                <w:rFonts w:hint="eastAsia" w:ascii="仿宋_GB2312" w:hAnsi="仿宋_GB2312" w:eastAsia="仿宋_GB2312" w:cs="仿宋_GB2312"/>
                <w:sz w:val="24"/>
                <w:szCs w:val="24"/>
              </w:rPr>
              <w:t>生产</w:t>
            </w:r>
            <w:r>
              <w:rPr>
                <w:rFonts w:hint="eastAsia" w:ascii="仿宋_GB2312" w:hAnsi="仿宋_GB2312" w:eastAsia="仿宋_GB2312" w:cs="仿宋_GB2312"/>
                <w:sz w:val="24"/>
                <w:szCs w:val="24"/>
                <w:lang w:val="en-US" w:eastAsia="zh-CN"/>
              </w:rPr>
              <w:t>中原</w:t>
            </w:r>
            <w:r>
              <w:rPr>
                <w:rFonts w:hint="eastAsia" w:ascii="仿宋_GB2312" w:hAnsi="仿宋_GB2312" w:eastAsia="仿宋_GB2312" w:cs="仿宋_GB2312"/>
                <w:sz w:val="24"/>
                <w:szCs w:val="24"/>
              </w:rPr>
              <w:t>行”活动</w:t>
            </w:r>
          </w:p>
        </w:tc>
        <w:tc>
          <w:tcPr>
            <w:tcW w:w="4457" w:type="dxa"/>
            <w:gridSpan w:val="2"/>
            <w:tcBorders>
              <w:top w:val="single" w:color="auto" w:sz="4" w:space="0"/>
              <w:lef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snapToGrid/>
              <w:spacing w:beforeAutospacing="0" w:afterAutospacing="0" w:line="380" w:lineRule="exact"/>
              <w:ind w:firstLine="499"/>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开展警示教育，组织观看安全生产警示教育片、专题展；报道各地打非治违和排</w:t>
            </w:r>
            <w:r>
              <w:rPr>
                <w:rFonts w:hint="eastAsia" w:ascii="仿宋_GB2312" w:hAnsi="仿宋_GB2312" w:eastAsia="仿宋_GB2312" w:cs="仿宋_GB2312"/>
                <w:sz w:val="24"/>
                <w:szCs w:val="24"/>
                <w:lang w:val="en-US" w:eastAsia="zh-CN"/>
              </w:rPr>
              <w:t>查</w:t>
            </w:r>
            <w:r>
              <w:rPr>
                <w:rFonts w:hint="eastAsia" w:ascii="仿宋_GB2312" w:hAnsi="仿宋_GB2312" w:eastAsia="仿宋_GB2312" w:cs="仿宋_GB2312"/>
                <w:sz w:val="24"/>
                <w:szCs w:val="24"/>
              </w:rPr>
              <w:t>治理进展成效；鼓励社会公众举报安全生产重大隐患和违法行为，发挥媒体监督作用，集中曝光突出问题，每月至少在</w:t>
            </w:r>
            <w:r>
              <w:rPr>
                <w:rFonts w:hint="eastAsia" w:ascii="仿宋_GB2312" w:hAnsi="仿宋_GB2312" w:eastAsia="仿宋_GB2312" w:cs="仿宋_GB2312"/>
                <w:sz w:val="24"/>
                <w:szCs w:val="24"/>
                <w:lang w:eastAsia="zh-CN"/>
              </w:rPr>
              <w:t>本</w:t>
            </w:r>
            <w:r>
              <w:rPr>
                <w:rFonts w:hint="eastAsia" w:ascii="仿宋_GB2312" w:hAnsi="仿宋_GB2312" w:eastAsia="仿宋_GB2312" w:cs="仿宋_GB2312"/>
                <w:sz w:val="24"/>
                <w:szCs w:val="24"/>
              </w:rPr>
              <w:t>级主流媒体</w:t>
            </w:r>
            <w:r>
              <w:rPr>
                <w:rFonts w:hint="eastAsia" w:ascii="仿宋_GB2312" w:hAnsi="仿宋_GB2312" w:eastAsia="仿宋_GB2312" w:cs="仿宋_GB2312"/>
                <w:sz w:val="24"/>
                <w:szCs w:val="24"/>
                <w:lang w:eastAsia="zh-CN"/>
              </w:rPr>
              <w:t>报刊</w:t>
            </w:r>
            <w:r>
              <w:rPr>
                <w:rFonts w:hint="eastAsia" w:ascii="仿宋_GB2312" w:hAnsi="仿宋_GB2312" w:eastAsia="仿宋_GB2312" w:cs="仿宋_GB2312"/>
                <w:sz w:val="24"/>
                <w:szCs w:val="24"/>
              </w:rPr>
              <w:t>曝光</w:t>
            </w:r>
            <w:r>
              <w:rPr>
                <w:rFonts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个典型案例，并向</w:t>
            </w: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lang w:val="en-US" w:eastAsia="zh-CN"/>
              </w:rPr>
              <w:t>安委办</w:t>
            </w:r>
            <w:r>
              <w:rPr>
                <w:rFonts w:hint="eastAsia" w:ascii="仿宋_GB2312" w:hAnsi="仿宋_GB2312" w:eastAsia="仿宋_GB2312" w:cs="仿宋_GB2312"/>
                <w:sz w:val="24"/>
                <w:szCs w:val="24"/>
              </w:rPr>
              <w:t>报送情况。</w:t>
            </w:r>
          </w:p>
        </w:tc>
        <w:tc>
          <w:tcPr>
            <w:tcW w:w="6804" w:type="dxa"/>
            <w:gridSpan w:val="2"/>
            <w:tcBorders>
              <w:top w:val="single" w:color="auto" w:sz="4" w:space="0"/>
              <w:left w:val="single" w:color="auto" w:sz="4" w:space="0"/>
              <w:right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组织观看安全生产警示教育片、专题展（）场，参与（）人次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报道各地打非治违和排査治理进展成效（）条；社会公众举报安全生产重大隐患和违法行为（）项；发挥媒体监督作用，集中曝光突出问题（）个；向</w:t>
            </w:r>
            <w:r>
              <w:rPr>
                <w:rFonts w:hint="eastAsia" w:ascii="仿宋_GB2312" w:hAnsi="仿宋_GB2312" w:eastAsia="仿宋_GB2312" w:cs="仿宋_GB2312"/>
                <w:sz w:val="24"/>
                <w:szCs w:val="24"/>
                <w:lang w:val="en-US" w:eastAsia="zh-CN"/>
              </w:rPr>
              <w:t>县安委</w:t>
            </w:r>
            <w:r>
              <w:rPr>
                <w:rFonts w:hint="eastAsia" w:ascii="仿宋_GB2312" w:hAnsi="仿宋_GB2312" w:eastAsia="仿宋_GB2312" w:cs="仿宋_GB2312"/>
                <w:sz w:val="24"/>
                <w:szCs w:val="24"/>
              </w:rPr>
              <w:t>办</w:t>
            </w:r>
            <w:r>
              <w:rPr>
                <w:rFonts w:hint="eastAsia" w:ascii="仿宋_GB2312" w:hAnsi="仿宋_GB2312" w:eastAsia="仿宋_GB2312" w:cs="仿宋_GB2312"/>
                <w:sz w:val="24"/>
                <w:szCs w:val="24"/>
                <w:lang w:val="en-US" w:eastAsia="zh-CN"/>
              </w:rPr>
              <w:t>报</w:t>
            </w:r>
            <w:r>
              <w:rPr>
                <w:rFonts w:hint="eastAsia" w:ascii="仿宋_GB2312" w:hAnsi="仿宋_GB2312" w:eastAsia="仿宋_GB2312" w:cs="仿宋_GB2312"/>
                <w:sz w:val="24"/>
                <w:szCs w:val="24"/>
              </w:rPr>
              <w:t>送典型案例（）个。</w:t>
            </w:r>
          </w:p>
        </w:tc>
      </w:tr>
      <w:tr>
        <w:tblPrEx>
          <w:tblCellMar>
            <w:top w:w="0" w:type="dxa"/>
            <w:left w:w="10" w:type="dxa"/>
            <w:bottom w:w="0" w:type="dxa"/>
            <w:right w:w="10" w:type="dxa"/>
          </w:tblCellMar>
        </w:tblPrEx>
        <w:trPr>
          <w:trHeight w:val="3413" w:hRule="exact"/>
          <w:jc w:val="center"/>
        </w:trPr>
        <w:tc>
          <w:tcPr>
            <w:tcW w:w="2642" w:type="dxa"/>
            <w:tcBorders>
              <w:top w:val="single" w:color="auto" w:sz="4" w:space="0"/>
              <w:left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开展</w:t>
            </w:r>
            <w:r>
              <w:rPr>
                <w:rFonts w:hint="eastAsia" w:ascii="仿宋_GB2312" w:hAnsi="仿宋_GB2312" w:eastAsia="仿宋_GB2312" w:cs="仿宋_GB2312"/>
                <w:sz w:val="24"/>
                <w:szCs w:val="24"/>
                <w:lang w:val="zh-CN" w:eastAsia="zh-CN"/>
              </w:rPr>
              <w:t>“安</w:t>
            </w:r>
            <w:r>
              <w:rPr>
                <w:rFonts w:hint="eastAsia" w:ascii="仿宋_GB2312" w:hAnsi="仿宋_GB2312" w:eastAsia="仿宋_GB2312" w:cs="仿宋_GB2312"/>
                <w:sz w:val="24"/>
                <w:szCs w:val="24"/>
              </w:rPr>
              <w:t>全宣传咨询日</w:t>
            </w:r>
            <w:r>
              <w:rPr>
                <w:rFonts w:hint="eastAsia" w:ascii="仿宋_GB2312" w:hAnsi="仿宋_GB2312" w:eastAsia="仿宋_GB2312" w:cs="仿宋_GB2312"/>
                <w:sz w:val="24"/>
                <w:szCs w:val="24"/>
                <w:lang w:val="zh-CN" w:eastAsia="zh-CN"/>
              </w:rPr>
              <w:t>”、</w:t>
            </w:r>
            <w:r>
              <w:rPr>
                <w:rFonts w:hint="eastAsia" w:ascii="仿宋_GB2312" w:hAnsi="仿宋_GB2312" w:eastAsia="仿宋_GB2312" w:cs="仿宋_GB2312"/>
                <w:sz w:val="24"/>
                <w:szCs w:val="24"/>
              </w:rPr>
              <w:t>安全宣传</w:t>
            </w:r>
            <w:r>
              <w:rPr>
                <w:rFonts w:hint="eastAsia" w:ascii="仿宋_GB2312" w:hAnsi="仿宋_GB2312" w:eastAsia="仿宋_GB2312" w:cs="仿宋_GB2312"/>
                <w:sz w:val="24"/>
                <w:szCs w:val="24"/>
                <w:lang w:val="zh-CN" w:eastAsia="zh-CN"/>
              </w:rPr>
              <w:t>“五</w:t>
            </w:r>
            <w:r>
              <w:rPr>
                <w:rFonts w:hint="eastAsia" w:ascii="仿宋_GB2312" w:hAnsi="仿宋_GB2312" w:eastAsia="仿宋_GB2312" w:cs="仿宋_GB2312"/>
                <w:sz w:val="24"/>
                <w:szCs w:val="24"/>
              </w:rPr>
              <w:t>进”</w:t>
            </w:r>
            <w:r>
              <w:rPr>
                <w:rFonts w:hint="eastAsia" w:ascii="仿宋_GB2312" w:hAnsi="仿宋_GB2312" w:eastAsia="仿宋_GB2312" w:cs="仿宋_GB2312"/>
                <w:sz w:val="24"/>
                <w:szCs w:val="24"/>
                <w:lang w:val="en-US" w:eastAsia="zh-CN"/>
              </w:rPr>
              <w:t>和应急演练</w:t>
            </w:r>
            <w:r>
              <w:rPr>
                <w:rFonts w:hint="eastAsia" w:ascii="仿宋_GB2312" w:hAnsi="仿宋_GB2312" w:eastAsia="仿宋_GB2312" w:cs="仿宋_GB2312"/>
                <w:sz w:val="24"/>
                <w:szCs w:val="24"/>
              </w:rPr>
              <w:t>活动</w:t>
            </w:r>
          </w:p>
        </w:tc>
        <w:tc>
          <w:tcPr>
            <w:tcW w:w="4457" w:type="dxa"/>
            <w:gridSpan w:val="2"/>
            <w:tcBorders>
              <w:top w:val="single" w:color="auto" w:sz="4" w:space="0"/>
              <w:left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44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开展群众喜闻乐见、形式多样、线上线下相结合的安全宣传咨询活动；组织开展</w:t>
            </w:r>
            <w:r>
              <w:rPr>
                <w:rFonts w:hint="eastAsia" w:ascii="仿宋_GB2312" w:hAnsi="仿宋_GB2312" w:eastAsia="仿宋_GB2312" w:cs="仿宋_GB2312"/>
                <w:sz w:val="24"/>
                <w:szCs w:val="24"/>
                <w:lang w:val="zh-CN" w:eastAsia="zh-CN"/>
              </w:rPr>
              <w:t>“安全</w:t>
            </w:r>
            <w:r>
              <w:rPr>
                <w:rFonts w:hint="eastAsia" w:ascii="仿宋_GB2312" w:hAnsi="仿宋_GB2312" w:eastAsia="仿宋_GB2312" w:cs="仿宋_GB2312"/>
                <w:sz w:val="24"/>
                <w:szCs w:val="24"/>
              </w:rPr>
              <w:t>宣传全屏传播”；推动各</w:t>
            </w:r>
            <w:r>
              <w:rPr>
                <w:rFonts w:hint="eastAsia" w:ascii="仿宋_GB2312" w:hAnsi="仿宋_GB2312" w:eastAsia="仿宋_GB2312" w:cs="仿宋_GB2312"/>
                <w:sz w:val="24"/>
                <w:szCs w:val="24"/>
                <w:lang w:eastAsia="zh-CN"/>
              </w:rPr>
              <w:t>级</w:t>
            </w:r>
            <w:r>
              <w:rPr>
                <w:rFonts w:hint="eastAsia" w:ascii="仿宋_GB2312" w:hAnsi="仿宋_GB2312" w:eastAsia="仿宋_GB2312" w:cs="仿宋_GB2312"/>
                <w:sz w:val="24"/>
                <w:szCs w:val="24"/>
              </w:rPr>
              <w:t>安委会成员单位加强协调联动和资源投入。</w:t>
            </w:r>
          </w:p>
        </w:tc>
        <w:tc>
          <w:tcPr>
            <w:tcW w:w="6804" w:type="dxa"/>
            <w:gridSpan w:val="2"/>
            <w:tcBorders>
              <w:top w:val="single" w:color="auto" w:sz="4" w:space="0"/>
              <w:left w:val="single" w:color="auto" w:sz="4" w:space="0"/>
              <w:right w:val="single" w:color="auto" w:sz="4" w:space="0"/>
            </w:tcBorders>
            <w:shd w:val="clear" w:color="auto" w:fill="FFFFFF"/>
            <w:vAlign w:val="center"/>
          </w:tcPr>
          <w:p>
            <w:pPr>
              <w:pStyle w:val="26"/>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80" w:firstLineChars="20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开展</w:t>
            </w:r>
            <w:r>
              <w:rPr>
                <w:rFonts w:hint="eastAsia" w:ascii="仿宋_GB2312" w:hAnsi="仿宋_GB2312" w:eastAsia="仿宋_GB2312" w:cs="仿宋_GB2312"/>
                <w:sz w:val="24"/>
                <w:szCs w:val="24"/>
                <w:lang w:val="zh-CN" w:eastAsia="zh-CN"/>
              </w:rPr>
              <w:t>“主播</w:t>
            </w:r>
            <w:r>
              <w:rPr>
                <w:rFonts w:hint="eastAsia" w:ascii="仿宋_GB2312" w:hAnsi="仿宋_GB2312" w:eastAsia="仿宋_GB2312" w:cs="仿宋_GB2312"/>
                <w:sz w:val="24"/>
                <w:szCs w:val="24"/>
              </w:rPr>
              <w:t>讲安全</w:t>
            </w:r>
            <w:r>
              <w:rPr>
                <w:rFonts w:hint="eastAsia" w:ascii="仿宋_GB2312" w:hAnsi="仿宋_GB2312" w:eastAsia="仿宋_GB2312" w:cs="仿宋_GB2312"/>
                <w:sz w:val="24"/>
                <w:szCs w:val="24"/>
                <w:lang w:val="zh-CN" w:eastAsia="zh-CN"/>
              </w:rPr>
              <w:t>”“专</w:t>
            </w:r>
            <w:r>
              <w:rPr>
                <w:rFonts w:hint="eastAsia" w:ascii="仿宋_GB2312" w:hAnsi="仿宋_GB2312" w:eastAsia="仿宋_GB2312" w:cs="仿宋_GB2312"/>
                <w:sz w:val="24"/>
                <w:szCs w:val="24"/>
              </w:rPr>
              <w:t>家远程会诊”（）场，参与（）人次；</w:t>
            </w:r>
            <w:r>
              <w:rPr>
                <w:rFonts w:hint="eastAsia" w:ascii="仿宋_GB2312" w:hAnsi="仿宋_GB2312" w:eastAsia="仿宋_GB2312" w:cs="仿宋_GB2312"/>
                <w:sz w:val="24"/>
                <w:szCs w:val="24"/>
                <w:lang w:val="zh-CN" w:eastAsia="zh-CN"/>
              </w:rPr>
              <w:t>“美好</w:t>
            </w:r>
            <w:r>
              <w:rPr>
                <w:rFonts w:hint="eastAsia" w:ascii="仿宋_GB2312" w:hAnsi="仿宋_GB2312" w:eastAsia="仿宋_GB2312" w:cs="仿宋_GB2312"/>
                <w:sz w:val="24"/>
                <w:szCs w:val="24"/>
              </w:rPr>
              <w:t>生活从安全开始话题征集”（）条，参与（）人次；</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16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zh-CN" w:eastAsia="zh-CN"/>
              </w:rPr>
              <w:t>“新</w:t>
            </w:r>
            <w:r>
              <w:rPr>
                <w:rFonts w:hint="eastAsia" w:ascii="仿宋_GB2312" w:hAnsi="仿宋_GB2312" w:eastAsia="仿宋_GB2312" w:cs="仿宋_GB2312"/>
                <w:sz w:val="24"/>
                <w:szCs w:val="24"/>
              </w:rPr>
              <w:t>安法知多少</w:t>
            </w:r>
            <w:r>
              <w:rPr>
                <w:rFonts w:hint="eastAsia" w:ascii="仿宋_GB2312" w:hAnsi="仿宋_GB2312" w:eastAsia="仿宋_GB2312" w:cs="仿宋_GB2312"/>
                <w:sz w:val="24"/>
                <w:szCs w:val="24"/>
                <w:lang w:val="zh-CN" w:eastAsia="zh-CN"/>
              </w:rPr>
              <w:t>”“救</w:t>
            </w:r>
            <w:r>
              <w:rPr>
                <w:rFonts w:hint="eastAsia" w:ascii="仿宋_GB2312" w:hAnsi="仿宋_GB2312" w:eastAsia="仿宋_GB2312" w:cs="仿宋_GB2312"/>
                <w:sz w:val="24"/>
                <w:szCs w:val="24"/>
              </w:rPr>
              <w:t>援技能趣味测试”等活动（）场，参与（）人次；</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制作公益广告、海报、短视频、提示语音等（）条</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份，宣传受众（）</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人次；开展</w:t>
            </w:r>
            <w:r>
              <w:rPr>
                <w:rFonts w:hint="eastAsia" w:ascii="仿宋_GB2312" w:hAnsi="仿宋_GB2312" w:eastAsia="仿宋_GB2312" w:cs="仿宋_GB2312"/>
                <w:sz w:val="24"/>
                <w:szCs w:val="24"/>
                <w:lang w:val="zh-CN" w:eastAsia="zh-CN"/>
              </w:rPr>
              <w:t>“进</w:t>
            </w:r>
            <w:r>
              <w:rPr>
                <w:rFonts w:hint="eastAsia" w:ascii="仿宋_GB2312" w:hAnsi="仿宋_GB2312" w:eastAsia="仿宋_GB2312" w:cs="仿宋_GB2312"/>
                <w:sz w:val="24"/>
                <w:szCs w:val="24"/>
              </w:rPr>
              <w:t>门入户送安全”（）次，受众（）人次；</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组织</w:t>
            </w:r>
            <w:r>
              <w:rPr>
                <w:rFonts w:hint="eastAsia" w:ascii="仿宋_GB2312" w:hAnsi="仿宋_GB2312" w:eastAsia="仿宋_GB2312" w:cs="仿宋_GB2312"/>
                <w:sz w:val="24"/>
                <w:szCs w:val="24"/>
                <w:lang w:val="zh-CN" w:eastAsia="zh-CN"/>
              </w:rPr>
              <w:t>“安全</w:t>
            </w:r>
            <w:r>
              <w:rPr>
                <w:rFonts w:hint="eastAsia" w:ascii="仿宋_GB2312" w:hAnsi="仿宋_GB2312" w:eastAsia="仿宋_GB2312" w:cs="仿宋_GB2312"/>
                <w:sz w:val="24"/>
                <w:szCs w:val="24"/>
              </w:rPr>
              <w:t>志愿者在行动”（）场，参与（）人次；</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各类应急演练体验活动（）场，参与（）人次。</w:t>
            </w:r>
          </w:p>
        </w:tc>
      </w:tr>
      <w:tr>
        <w:tblPrEx>
          <w:tblCellMar>
            <w:top w:w="0" w:type="dxa"/>
            <w:left w:w="10" w:type="dxa"/>
            <w:bottom w:w="0" w:type="dxa"/>
            <w:right w:w="10" w:type="dxa"/>
          </w:tblCellMar>
        </w:tblPrEx>
        <w:trPr>
          <w:trHeight w:val="1166" w:hRule="exact"/>
          <w:jc w:val="center"/>
        </w:trPr>
        <w:tc>
          <w:tcPr>
            <w:tcW w:w="2642" w:type="dxa"/>
            <w:tcBorders>
              <w:top w:val="single" w:color="auto" w:sz="4" w:space="0"/>
              <w:left w:val="single" w:color="auto" w:sz="4" w:space="0"/>
              <w:bottom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其他特色活动</w:t>
            </w:r>
          </w:p>
        </w:tc>
        <w:tc>
          <w:tcPr>
            <w:tcW w:w="4457" w:type="dxa"/>
            <w:gridSpan w:val="2"/>
            <w:tcBorders>
              <w:top w:val="single" w:color="auto" w:sz="4" w:space="0"/>
              <w:left w:val="single" w:color="auto" w:sz="4" w:space="0"/>
              <w:bottom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44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可根据实际情况</w:t>
            </w:r>
            <w:r>
              <w:rPr>
                <w:rFonts w:hint="eastAsia" w:ascii="仿宋_GB2312" w:hAnsi="仿宋_GB2312" w:eastAsia="仿宋_GB2312" w:cs="仿宋_GB2312"/>
                <w:sz w:val="24"/>
                <w:szCs w:val="24"/>
                <w:lang w:eastAsia="zh-CN"/>
              </w:rPr>
              <w:t>选择性开展。</w:t>
            </w:r>
          </w:p>
        </w:tc>
        <w:tc>
          <w:tcPr>
            <w:tcW w:w="680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6"/>
              <w:pageBreakBefore w:val="0"/>
              <w:kinsoku/>
              <w:wordWrap/>
              <w:overflowPunct/>
              <w:topLinePunct w:val="0"/>
              <w:autoSpaceDE/>
              <w:autoSpaceDN/>
              <w:bidi w:val="0"/>
              <w:adjustRightInd/>
              <w:snapToGrid/>
              <w:spacing w:beforeAutospacing="0" w:afterAutospacing="0" w:line="360" w:lineRule="auto"/>
              <w:ind w:firstLine="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组织（）场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次，参与（）人次，宣传受众（）人次。</w:t>
            </w:r>
          </w:p>
        </w:tc>
      </w:tr>
    </w:tbl>
    <w:p>
      <w:pPr>
        <w:pageBreakBefore w:val="0"/>
        <w:kinsoku/>
        <w:wordWrap/>
        <w:overflowPunct/>
        <w:topLinePunct w:val="0"/>
        <w:autoSpaceDE/>
        <w:autoSpaceDN/>
        <w:bidi w:val="0"/>
        <w:adjustRightInd/>
        <w:snapToGrid/>
        <w:spacing w:beforeAutospacing="0" w:afterAutospacing="0" w:line="360" w:lineRule="auto"/>
        <w:jc w:val="both"/>
        <w:textAlignment w:val="auto"/>
        <w:rPr>
          <w:rFonts w:hint="eastAsia" w:ascii="黑体" w:eastAsia="黑体"/>
          <w:sz w:val="32"/>
          <w:szCs w:val="32"/>
          <w:lang w:eastAsia="zh-CN"/>
        </w:rPr>
        <w:sectPr>
          <w:pgSz w:w="16838" w:h="11906" w:orient="landscape"/>
          <w:pgMar w:top="1463" w:right="1553" w:bottom="1349" w:left="1270" w:header="851" w:footer="992" w:gutter="0"/>
          <w:pgNumType w:fmt="numberInDash"/>
          <w:cols w:space="0" w:num="1"/>
          <w:docGrid w:type="lines" w:linePitch="313" w:charSpace="0"/>
        </w:sectPr>
      </w:pPr>
    </w:p>
    <w:p>
      <w:pPr>
        <w:pStyle w:val="4"/>
        <w:pageBreakBefore w:val="0"/>
        <w:widowControl/>
        <w:kinsoku/>
        <w:wordWrap/>
        <w:overflowPunct/>
        <w:topLinePunct w:val="0"/>
        <w:autoSpaceDE/>
        <w:autoSpaceDN/>
        <w:bidi w:val="0"/>
        <w:adjustRightInd/>
        <w:snapToGrid/>
        <w:spacing w:beforeAutospacing="0" w:afterAutospacing="0" w:line="360" w:lineRule="auto"/>
        <w:jc w:val="both"/>
        <w:textAlignment w:val="auto"/>
      </w:pPr>
    </w:p>
    <w:sectPr>
      <w:pgSz w:w="11906" w:h="16838"/>
      <w:pgMar w:top="1270" w:right="1463" w:bottom="1554" w:left="1349" w:header="851" w:footer="992" w:gutter="0"/>
      <w:pgNumType w:fmt="numberInDash"/>
      <w:cols w:space="0" w:num="1"/>
      <w:docGrid w:type="linesAndChar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UxNGRiNjllYTY1MWM1Y2UzMmViN2JmYjA2MjlkOGYifQ=="/>
  </w:docVars>
  <w:rsids>
    <w:rsidRoot w:val="006031C1"/>
    <w:rsid w:val="00027177"/>
    <w:rsid w:val="00027343"/>
    <w:rsid w:val="00036787"/>
    <w:rsid w:val="00105D18"/>
    <w:rsid w:val="00137C63"/>
    <w:rsid w:val="00182C59"/>
    <w:rsid w:val="001A744D"/>
    <w:rsid w:val="00235729"/>
    <w:rsid w:val="00250030"/>
    <w:rsid w:val="00257160"/>
    <w:rsid w:val="002658B0"/>
    <w:rsid w:val="00287769"/>
    <w:rsid w:val="002A167F"/>
    <w:rsid w:val="0031499F"/>
    <w:rsid w:val="00386EC6"/>
    <w:rsid w:val="003A5714"/>
    <w:rsid w:val="003F0529"/>
    <w:rsid w:val="003F2498"/>
    <w:rsid w:val="004A6504"/>
    <w:rsid w:val="0056581A"/>
    <w:rsid w:val="006031C1"/>
    <w:rsid w:val="006E3A2E"/>
    <w:rsid w:val="00737704"/>
    <w:rsid w:val="0074415D"/>
    <w:rsid w:val="007471BE"/>
    <w:rsid w:val="007609F0"/>
    <w:rsid w:val="00763EB0"/>
    <w:rsid w:val="007857C2"/>
    <w:rsid w:val="007B0409"/>
    <w:rsid w:val="007D3889"/>
    <w:rsid w:val="008060E9"/>
    <w:rsid w:val="008F299E"/>
    <w:rsid w:val="00926391"/>
    <w:rsid w:val="009918F9"/>
    <w:rsid w:val="009D15D1"/>
    <w:rsid w:val="009D1B39"/>
    <w:rsid w:val="009D5DAC"/>
    <w:rsid w:val="00A328E2"/>
    <w:rsid w:val="00AA0195"/>
    <w:rsid w:val="00AD61F9"/>
    <w:rsid w:val="00B24041"/>
    <w:rsid w:val="00BA0D3D"/>
    <w:rsid w:val="00BB6777"/>
    <w:rsid w:val="00C36F3A"/>
    <w:rsid w:val="00C37D45"/>
    <w:rsid w:val="00C41BD9"/>
    <w:rsid w:val="00C60D5A"/>
    <w:rsid w:val="00C82707"/>
    <w:rsid w:val="00C95389"/>
    <w:rsid w:val="00CB77C9"/>
    <w:rsid w:val="00CC78B2"/>
    <w:rsid w:val="00D35C72"/>
    <w:rsid w:val="00D41026"/>
    <w:rsid w:val="00D6434A"/>
    <w:rsid w:val="00DD20CA"/>
    <w:rsid w:val="00E02B87"/>
    <w:rsid w:val="00E1264A"/>
    <w:rsid w:val="00E16FDA"/>
    <w:rsid w:val="00EB14A8"/>
    <w:rsid w:val="00EF7290"/>
    <w:rsid w:val="00F31607"/>
    <w:rsid w:val="00F65A1C"/>
    <w:rsid w:val="00FC5CE5"/>
    <w:rsid w:val="00FC6D9C"/>
    <w:rsid w:val="00FE683A"/>
    <w:rsid w:val="018C100A"/>
    <w:rsid w:val="01A1605B"/>
    <w:rsid w:val="01CC7C92"/>
    <w:rsid w:val="04264ABA"/>
    <w:rsid w:val="056C3A55"/>
    <w:rsid w:val="0715507B"/>
    <w:rsid w:val="08E77D96"/>
    <w:rsid w:val="09E638BB"/>
    <w:rsid w:val="0BAA7943"/>
    <w:rsid w:val="0C211F15"/>
    <w:rsid w:val="0DF04372"/>
    <w:rsid w:val="0F833AD6"/>
    <w:rsid w:val="1155161B"/>
    <w:rsid w:val="11670781"/>
    <w:rsid w:val="13222DD7"/>
    <w:rsid w:val="179F6CB2"/>
    <w:rsid w:val="1A977561"/>
    <w:rsid w:val="1B632FBD"/>
    <w:rsid w:val="1BDF56A1"/>
    <w:rsid w:val="1F26347D"/>
    <w:rsid w:val="209701C5"/>
    <w:rsid w:val="217D4B74"/>
    <w:rsid w:val="221F0D41"/>
    <w:rsid w:val="2265586D"/>
    <w:rsid w:val="23D65F04"/>
    <w:rsid w:val="24D701A9"/>
    <w:rsid w:val="26EE3853"/>
    <w:rsid w:val="28B60BD0"/>
    <w:rsid w:val="28FB384C"/>
    <w:rsid w:val="2B2D052B"/>
    <w:rsid w:val="2E1C187C"/>
    <w:rsid w:val="2EC04EBB"/>
    <w:rsid w:val="321A0846"/>
    <w:rsid w:val="33206101"/>
    <w:rsid w:val="33E61B0F"/>
    <w:rsid w:val="341B328F"/>
    <w:rsid w:val="35C0286D"/>
    <w:rsid w:val="35CC277D"/>
    <w:rsid w:val="35EA010B"/>
    <w:rsid w:val="3608233F"/>
    <w:rsid w:val="36D30B9F"/>
    <w:rsid w:val="37E56DDC"/>
    <w:rsid w:val="37EF713B"/>
    <w:rsid w:val="38FB262F"/>
    <w:rsid w:val="3971469F"/>
    <w:rsid w:val="39B259A1"/>
    <w:rsid w:val="39F479AE"/>
    <w:rsid w:val="3A1C460B"/>
    <w:rsid w:val="3A3E3804"/>
    <w:rsid w:val="3A441F72"/>
    <w:rsid w:val="3AA45DAE"/>
    <w:rsid w:val="3BB75715"/>
    <w:rsid w:val="3CB6189E"/>
    <w:rsid w:val="3E1002F4"/>
    <w:rsid w:val="3E3F4D6C"/>
    <w:rsid w:val="3E9C622E"/>
    <w:rsid w:val="40093884"/>
    <w:rsid w:val="41D55B17"/>
    <w:rsid w:val="428B5D0A"/>
    <w:rsid w:val="43443F40"/>
    <w:rsid w:val="43451211"/>
    <w:rsid w:val="43A044FF"/>
    <w:rsid w:val="43F913D7"/>
    <w:rsid w:val="456A55FA"/>
    <w:rsid w:val="463D6035"/>
    <w:rsid w:val="473047F6"/>
    <w:rsid w:val="49A60E02"/>
    <w:rsid w:val="4A473E8D"/>
    <w:rsid w:val="4ACF1226"/>
    <w:rsid w:val="4DC81CD3"/>
    <w:rsid w:val="4E660368"/>
    <w:rsid w:val="51B00003"/>
    <w:rsid w:val="528F7800"/>
    <w:rsid w:val="52F07A1F"/>
    <w:rsid w:val="57637240"/>
    <w:rsid w:val="584A13AD"/>
    <w:rsid w:val="58F923E7"/>
    <w:rsid w:val="5934151A"/>
    <w:rsid w:val="5D794257"/>
    <w:rsid w:val="5E4F2952"/>
    <w:rsid w:val="5EA58950"/>
    <w:rsid w:val="5EB427B5"/>
    <w:rsid w:val="637D666E"/>
    <w:rsid w:val="64B0555C"/>
    <w:rsid w:val="64B82FFF"/>
    <w:rsid w:val="64EA3EA0"/>
    <w:rsid w:val="662D1746"/>
    <w:rsid w:val="66E001AF"/>
    <w:rsid w:val="686C0F2F"/>
    <w:rsid w:val="696F6278"/>
    <w:rsid w:val="69E137D5"/>
    <w:rsid w:val="6BB799C4"/>
    <w:rsid w:val="6BD3071E"/>
    <w:rsid w:val="6C77E199"/>
    <w:rsid w:val="6CD75FEC"/>
    <w:rsid w:val="6EA34C31"/>
    <w:rsid w:val="6F1C5803"/>
    <w:rsid w:val="708E3A6B"/>
    <w:rsid w:val="709D59AA"/>
    <w:rsid w:val="7306762B"/>
    <w:rsid w:val="73B7AACE"/>
    <w:rsid w:val="75377AEB"/>
    <w:rsid w:val="759B3BA2"/>
    <w:rsid w:val="760F576A"/>
    <w:rsid w:val="76B85934"/>
    <w:rsid w:val="7748007C"/>
    <w:rsid w:val="77B533CE"/>
    <w:rsid w:val="77B67E06"/>
    <w:rsid w:val="78D40F44"/>
    <w:rsid w:val="7B5B603A"/>
    <w:rsid w:val="7BA21061"/>
    <w:rsid w:val="7C59270D"/>
    <w:rsid w:val="7C7DFBE1"/>
    <w:rsid w:val="7DBF6967"/>
    <w:rsid w:val="7E279027"/>
    <w:rsid w:val="7E991353"/>
    <w:rsid w:val="7EABFD86"/>
    <w:rsid w:val="7FFA239B"/>
    <w:rsid w:val="AEBA2D22"/>
    <w:rsid w:val="B6EF5B45"/>
    <w:rsid w:val="B7FEBD01"/>
    <w:rsid w:val="BB5AC471"/>
    <w:rsid w:val="BDA76FFA"/>
    <w:rsid w:val="BEF4510C"/>
    <w:rsid w:val="F6BFE4DB"/>
    <w:rsid w:val="F97C0C99"/>
    <w:rsid w:val="FAFA2F55"/>
    <w:rsid w:val="FC5FBD9C"/>
    <w:rsid w:val="FF1B6746"/>
    <w:rsid w:val="FF6BF41B"/>
    <w:rsid w:val="FFBC5106"/>
    <w:rsid w:val="FFD59FEB"/>
    <w:rsid w:val="FFFD342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直接连接符 5"/>
        <o:r id="V:Rule2" type="connector" idref="#直接连接符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1"/>
    <w:basedOn w:val="1"/>
    <w:next w:val="1"/>
    <w:link w:val="18"/>
    <w:qFormat/>
    <w:uiPriority w:val="99"/>
    <w:pPr>
      <w:spacing w:beforeAutospacing="1" w:afterAutospacing="1"/>
      <w:jc w:val="left"/>
      <w:outlineLvl w:val="0"/>
    </w:pPr>
    <w:rPr>
      <w:rFonts w:ascii="宋体" w:hAnsi="宋体" w:cs="Times New Roman"/>
      <w:b/>
      <w:kern w:val="44"/>
      <w:sz w:val="48"/>
      <w:szCs w:val="48"/>
    </w:rPr>
  </w:style>
  <w:style w:type="paragraph" w:styleId="6">
    <w:name w:val="heading 2"/>
    <w:basedOn w:val="1"/>
    <w:next w:val="1"/>
    <w:link w:val="19"/>
    <w:qFormat/>
    <w:uiPriority w:val="99"/>
    <w:pPr>
      <w:spacing w:beforeAutospacing="1" w:afterAutospacing="1"/>
      <w:jc w:val="left"/>
      <w:outlineLvl w:val="1"/>
    </w:pPr>
    <w:rPr>
      <w:rFonts w:ascii="宋体" w:hAnsi="宋体" w:cs="Times New Roman"/>
      <w:b/>
      <w:kern w:val="0"/>
      <w:sz w:val="36"/>
      <w:szCs w:val="36"/>
    </w:rPr>
  </w:style>
  <w:style w:type="paragraph" w:styleId="7">
    <w:name w:val="heading 4"/>
    <w:basedOn w:val="1"/>
    <w:next w:val="1"/>
    <w:link w:val="20"/>
    <w:qFormat/>
    <w:uiPriority w:val="99"/>
    <w:pPr>
      <w:spacing w:beforeAutospacing="1" w:afterAutospacing="1"/>
      <w:jc w:val="left"/>
      <w:outlineLvl w:val="3"/>
    </w:pPr>
    <w:rPr>
      <w:rFonts w:ascii="宋体" w:hAnsi="宋体" w:cs="Times New Roman"/>
      <w:b/>
      <w:kern w:val="0"/>
      <w:sz w:val="24"/>
      <w:szCs w:val="24"/>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ind w:firstLine="200" w:firstLineChars="200"/>
    </w:pPr>
  </w:style>
  <w:style w:type="paragraph" w:customStyle="1" w:styleId="3">
    <w:name w:val="正文文本缩进1"/>
    <w:basedOn w:val="1"/>
    <w:qFormat/>
    <w:uiPriority w:val="0"/>
    <w:pPr>
      <w:ind w:left="200" w:leftChars="200"/>
    </w:pPr>
  </w:style>
  <w:style w:type="paragraph" w:styleId="4">
    <w:name w:val="Normal (Web)"/>
    <w:basedOn w:val="1"/>
    <w:next w:val="1"/>
    <w:semiHidden/>
    <w:qFormat/>
    <w:uiPriority w:val="99"/>
    <w:pPr>
      <w:spacing w:beforeAutospacing="1" w:afterAutospacing="1"/>
      <w:jc w:val="left"/>
    </w:pPr>
    <w:rPr>
      <w:rFonts w:cs="Times New Roman"/>
      <w:kern w:val="0"/>
      <w:sz w:val="24"/>
    </w:rPr>
  </w:style>
  <w:style w:type="paragraph" w:styleId="8">
    <w:name w:val="Normal Indent"/>
    <w:next w:val="1"/>
    <w:qFormat/>
    <w:locked/>
    <w:uiPriority w:val="0"/>
    <w:pPr>
      <w:widowControl w:val="0"/>
      <w:ind w:firstLine="420" w:firstLineChars="200"/>
      <w:jc w:val="both"/>
    </w:pPr>
    <w:rPr>
      <w:rFonts w:ascii="Calibri" w:hAnsi="Calibri" w:eastAsia="仿宋" w:cs="Times New Roman"/>
      <w:kern w:val="2"/>
      <w:sz w:val="32"/>
      <w:szCs w:val="24"/>
      <w:lang w:val="en-US" w:eastAsia="zh-CN" w:bidi="ar-SA"/>
    </w:rPr>
  </w:style>
  <w:style w:type="paragraph" w:styleId="9">
    <w:name w:val="Body Text Indent"/>
    <w:basedOn w:val="1"/>
    <w:next w:val="8"/>
    <w:link w:val="21"/>
    <w:semiHidden/>
    <w:qFormat/>
    <w:uiPriority w:val="99"/>
    <w:pPr>
      <w:spacing w:after="120"/>
      <w:ind w:left="420" w:leftChars="200"/>
    </w:pPr>
  </w:style>
  <w:style w:type="paragraph" w:styleId="10">
    <w:name w:val="footer"/>
    <w:basedOn w:val="1"/>
    <w:link w:val="23"/>
    <w:semiHidden/>
    <w:qFormat/>
    <w:uiPriority w:val="99"/>
    <w:pPr>
      <w:tabs>
        <w:tab w:val="center" w:pos="4153"/>
        <w:tab w:val="right" w:pos="8306"/>
      </w:tabs>
      <w:snapToGrid w:val="0"/>
      <w:jc w:val="left"/>
    </w:pPr>
    <w:rPr>
      <w:sz w:val="18"/>
    </w:rPr>
  </w:style>
  <w:style w:type="paragraph" w:styleId="11">
    <w:name w:val="header"/>
    <w:basedOn w:val="1"/>
    <w:link w:val="24"/>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First Indent 2"/>
    <w:basedOn w:val="9"/>
    <w:next w:val="1"/>
    <w:link w:val="22"/>
    <w:qFormat/>
    <w:uiPriority w:val="99"/>
    <w:pPr>
      <w:ind w:firstLine="420" w:firstLineChars="200"/>
    </w:pPr>
  </w:style>
  <w:style w:type="character" w:styleId="15">
    <w:name w:val="Strong"/>
    <w:basedOn w:val="14"/>
    <w:qFormat/>
    <w:uiPriority w:val="99"/>
    <w:rPr>
      <w:rFonts w:cs="Times New Roman"/>
      <w:b/>
    </w:rPr>
  </w:style>
  <w:style w:type="character" w:styleId="16">
    <w:name w:val="page number"/>
    <w:basedOn w:val="14"/>
    <w:qFormat/>
    <w:uiPriority w:val="99"/>
    <w:rPr>
      <w:rFonts w:ascii="Times New Roman" w:hAnsi="Times New Roman" w:eastAsia="宋体" w:cs="Times New Roman"/>
    </w:rPr>
  </w:style>
  <w:style w:type="character" w:styleId="17">
    <w:name w:val="Hyperlink"/>
    <w:basedOn w:val="14"/>
    <w:semiHidden/>
    <w:qFormat/>
    <w:uiPriority w:val="99"/>
    <w:rPr>
      <w:rFonts w:cs="Times New Roman"/>
      <w:color w:val="0000FF"/>
      <w:u w:val="single"/>
    </w:rPr>
  </w:style>
  <w:style w:type="character" w:customStyle="1" w:styleId="18">
    <w:name w:val="Heading 1 Char"/>
    <w:basedOn w:val="14"/>
    <w:link w:val="5"/>
    <w:qFormat/>
    <w:locked/>
    <w:uiPriority w:val="99"/>
    <w:rPr>
      <w:rFonts w:ascii="Calibri" w:hAnsi="Calibri" w:cs="Arial"/>
      <w:b/>
      <w:bCs/>
      <w:kern w:val="44"/>
      <w:sz w:val="44"/>
      <w:szCs w:val="44"/>
    </w:rPr>
  </w:style>
  <w:style w:type="character" w:customStyle="1" w:styleId="19">
    <w:name w:val="Heading 2 Char"/>
    <w:basedOn w:val="14"/>
    <w:link w:val="6"/>
    <w:semiHidden/>
    <w:qFormat/>
    <w:locked/>
    <w:uiPriority w:val="99"/>
    <w:rPr>
      <w:rFonts w:ascii="Cambria" w:hAnsi="Cambria" w:eastAsia="宋体" w:cs="Times New Roman"/>
      <w:b/>
      <w:bCs/>
      <w:sz w:val="32"/>
      <w:szCs w:val="32"/>
    </w:rPr>
  </w:style>
  <w:style w:type="character" w:customStyle="1" w:styleId="20">
    <w:name w:val="Heading 4 Char"/>
    <w:basedOn w:val="14"/>
    <w:link w:val="7"/>
    <w:semiHidden/>
    <w:qFormat/>
    <w:locked/>
    <w:uiPriority w:val="99"/>
    <w:rPr>
      <w:rFonts w:ascii="Cambria" w:hAnsi="Cambria" w:eastAsia="宋体" w:cs="Times New Roman"/>
      <w:b/>
      <w:bCs/>
      <w:sz w:val="28"/>
      <w:szCs w:val="28"/>
    </w:rPr>
  </w:style>
  <w:style w:type="character" w:customStyle="1" w:styleId="21">
    <w:name w:val="Body Text Indent Char"/>
    <w:basedOn w:val="14"/>
    <w:link w:val="9"/>
    <w:semiHidden/>
    <w:qFormat/>
    <w:locked/>
    <w:uiPriority w:val="99"/>
    <w:rPr>
      <w:rFonts w:ascii="Calibri" w:hAnsi="Calibri" w:cs="Arial"/>
    </w:rPr>
  </w:style>
  <w:style w:type="character" w:customStyle="1" w:styleId="22">
    <w:name w:val="Body Text First Indent 2 Char"/>
    <w:basedOn w:val="21"/>
    <w:link w:val="12"/>
    <w:semiHidden/>
    <w:qFormat/>
    <w:locked/>
    <w:uiPriority w:val="99"/>
  </w:style>
  <w:style w:type="character" w:customStyle="1" w:styleId="23">
    <w:name w:val="Footer Char"/>
    <w:basedOn w:val="14"/>
    <w:link w:val="10"/>
    <w:semiHidden/>
    <w:qFormat/>
    <w:locked/>
    <w:uiPriority w:val="99"/>
    <w:rPr>
      <w:rFonts w:ascii="Calibri" w:hAnsi="Calibri" w:cs="Arial"/>
      <w:sz w:val="18"/>
      <w:szCs w:val="18"/>
    </w:rPr>
  </w:style>
  <w:style w:type="character" w:customStyle="1" w:styleId="24">
    <w:name w:val="Header Char"/>
    <w:basedOn w:val="14"/>
    <w:link w:val="11"/>
    <w:semiHidden/>
    <w:qFormat/>
    <w:locked/>
    <w:uiPriority w:val="99"/>
    <w:rPr>
      <w:rFonts w:ascii="Calibri" w:hAnsi="Calibri" w:cs="Arial"/>
      <w:sz w:val="18"/>
      <w:szCs w:val="18"/>
    </w:rPr>
  </w:style>
  <w:style w:type="paragraph" w:customStyle="1" w:styleId="25">
    <w:name w:val="Heading #1|1"/>
    <w:basedOn w:val="1"/>
    <w:qFormat/>
    <w:uiPriority w:val="99"/>
    <w:pPr>
      <w:spacing w:before="180" w:after="510"/>
      <w:jc w:val="center"/>
      <w:outlineLvl w:val="0"/>
    </w:pPr>
    <w:rPr>
      <w:rFonts w:ascii="宋体" w:hAnsi="宋体" w:cs="宋体"/>
      <w:sz w:val="44"/>
      <w:szCs w:val="44"/>
      <w:lang w:val="zh-TW" w:eastAsia="zh-TW"/>
    </w:rPr>
  </w:style>
  <w:style w:type="paragraph" w:customStyle="1" w:styleId="26">
    <w:name w:val="Other|1"/>
    <w:basedOn w:val="1"/>
    <w:qFormat/>
    <w:uiPriority w:val="99"/>
    <w:pPr>
      <w:spacing w:line="420" w:lineRule="auto"/>
      <w:ind w:firstLine="400"/>
    </w:pPr>
    <w:rPr>
      <w:rFonts w:ascii="宋体" w:hAnsi="宋体" w:cs="宋体"/>
      <w:sz w:val="28"/>
      <w:szCs w:val="28"/>
      <w:lang w:val="zh-TW" w:eastAsia="zh-TW"/>
    </w:rPr>
  </w:style>
  <w:style w:type="paragraph" w:customStyle="1" w:styleId="27">
    <w:name w:val="Body text|1"/>
    <w:basedOn w:val="1"/>
    <w:qFormat/>
    <w:uiPriority w:val="99"/>
    <w:pPr>
      <w:spacing w:line="420" w:lineRule="auto"/>
      <w:ind w:firstLine="400"/>
    </w:pPr>
    <w:rPr>
      <w:rFonts w:ascii="宋体" w:hAnsi="宋体" w:cs="宋体"/>
      <w:sz w:val="28"/>
      <w:szCs w:val="28"/>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5416</Words>
  <Characters>5548</Characters>
  <Lines>0</Lines>
  <Paragraphs>0</Paragraphs>
  <TotalTime>37</TotalTime>
  <ScaleCrop>false</ScaleCrop>
  <LinksUpToDate>false</LinksUpToDate>
  <CharactersWithSpaces>5743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2022-02-07T16:13:00Z</dcterms:created>
  <dc:creator>M2007J17C</dc:creator>
  <cp:lastModifiedBy>草木本心</cp:lastModifiedBy>
  <cp:lastPrinted>2022-05-27T02:03:44Z</cp:lastPrinted>
  <dcterms:modified xsi:type="dcterms:W3CDTF">2022-05-27T02:04:18Z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2A0E32426A3544A39A17BE60AFDE16F8</vt:lpwstr>
  </property>
  <property fmtid="{D5CDD505-2E9C-101B-9397-08002B2CF9AE}" pid="3" name="KSOProductBuildVer">
    <vt:lpwstr>2052-11.1.0.11744</vt:lpwstr>
  </property>
</Properties>
</file>