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emf" ContentType="image/x-emf"/>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Microsoft_Visio_2003-2010___1.vsd" ContentType="application/vnd.visio"/>
  <Override PartName="/word/embeddings/Microsoft_Visio_2003-2010___2.vsd" ContentType="application/vnd.visio"/>
  <Override PartName="/word/embeddings/Microsoft_Visio_2003-2010___3.vsd" ContentType="application/vnd.visio"/>
  <Override PartName="/word/embeddings/Microsoft_Visio_2003-2010___4.vsd" ContentType="application/vnd.visio"/>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0"/>
        <w:spacing w:line="240" w:lineRule="auto"/>
        <w:rPr>
          <w:b/>
          <w:bCs/>
          <w:snapToGrid w:val="0"/>
          <w:sz w:val="30"/>
          <w:szCs w:val="30"/>
        </w:rPr>
      </w:pPr>
      <w:r>
        <w:drawing>
          <wp:inline distT="0" distB="0" distL="0" distR="0">
            <wp:extent cx="5398770" cy="8531860"/>
            <wp:effectExtent l="0" t="0" r="0" b="254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398770" cy="8531860"/>
                    </a:xfrm>
                    <a:prstGeom prst="rect">
                      <a:avLst/>
                    </a:prstGeom>
                    <a:noFill/>
                    <a:ln>
                      <a:noFill/>
                    </a:ln>
                  </pic:spPr>
                </pic:pic>
              </a:graphicData>
            </a:graphic>
          </wp:inline>
        </w:drawing>
      </w:r>
      <w:r>
        <w:rPr>
          <w:b/>
          <w:bCs/>
          <w:snapToGrid w:val="0"/>
          <w:sz w:val="30"/>
          <w:szCs w:val="30"/>
        </w:rPr>
        <w:tab/>
      </w:r>
      <w:r>
        <w:rPr>
          <w:b/>
          <w:bCs/>
          <w:snapToGrid w:val="0"/>
          <w:sz w:val="30"/>
          <w:szCs w:val="30"/>
        </w:rPr>
        <w:tab/>
      </w:r>
      <w:r>
        <w:drawing>
          <wp:inline distT="0" distB="0" distL="0" distR="0">
            <wp:extent cx="5615940" cy="7792720"/>
            <wp:effectExtent l="0" t="0" r="381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rot="10800000">
                      <a:off x="0" y="0"/>
                      <a:ext cx="5615940" cy="7792720"/>
                    </a:xfrm>
                    <a:prstGeom prst="rect">
                      <a:avLst/>
                    </a:prstGeom>
                    <a:noFill/>
                    <a:ln>
                      <a:noFill/>
                    </a:ln>
                  </pic:spPr>
                </pic:pic>
              </a:graphicData>
            </a:graphic>
          </wp:inline>
        </w:drawing>
      </w:r>
    </w:p>
    <w:p>
      <w:pPr>
        <w:widowControl/>
        <w:jc w:val="center"/>
        <w:rPr>
          <w:rFonts w:cs="微软雅黑" w:asciiTheme="minorEastAsia" w:hAnsiTheme="minorEastAsia" w:eastAsiaTheme="minorEastAsia"/>
          <w:color w:val="000000" w:themeColor="text1"/>
          <w:sz w:val="32"/>
          <w:szCs w:val="32"/>
          <w14:textFill>
            <w14:solidFill>
              <w14:schemeClr w14:val="tx1"/>
            </w14:solidFill>
          </w14:textFill>
        </w:rPr>
      </w:pPr>
      <w:r>
        <w:rPr>
          <w:b/>
          <w:bCs/>
          <w:snapToGrid w:val="0"/>
          <w:sz w:val="30"/>
          <w:szCs w:val="30"/>
        </w:rPr>
        <w:br w:type="page"/>
      </w:r>
      <w:r>
        <w:rPr>
          <w:rFonts w:hint="eastAsia" w:cs="微软雅黑" w:asciiTheme="minorEastAsia" w:hAnsiTheme="minorEastAsia" w:eastAsiaTheme="minorEastAsia"/>
          <w:color w:val="000000" w:themeColor="text1"/>
          <w:sz w:val="32"/>
          <w:szCs w:val="32"/>
          <w14:textFill>
            <w14:solidFill>
              <w14:schemeClr w14:val="tx1"/>
            </w14:solidFill>
          </w14:textFill>
        </w:rPr>
        <w:t>修改</w:t>
      </w:r>
      <w:r>
        <w:rPr>
          <w:rFonts w:cs="微软雅黑" w:asciiTheme="minorEastAsia" w:hAnsiTheme="minorEastAsia" w:eastAsiaTheme="minorEastAsia"/>
          <w:color w:val="000000" w:themeColor="text1"/>
          <w:sz w:val="32"/>
          <w:szCs w:val="32"/>
          <w14:textFill>
            <w14:solidFill>
              <w14:schemeClr w14:val="tx1"/>
            </w14:solidFill>
          </w14:textFill>
        </w:rPr>
        <w:t>说明</w:t>
      </w:r>
    </w:p>
    <w:tbl>
      <w:tblPr>
        <w:tblStyle w:val="23"/>
        <w:tblW w:w="8500"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28" w:type="dxa"/>
          <w:bottom w:w="0" w:type="dxa"/>
          <w:right w:w="28" w:type="dxa"/>
        </w:tblCellMar>
      </w:tblPr>
      <w:tblGrid>
        <w:gridCol w:w="802"/>
        <w:gridCol w:w="2879"/>
        <w:gridCol w:w="1134"/>
        <w:gridCol w:w="3685"/>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c>
          <w:tcPr>
            <w:tcW w:w="802" w:type="dxa"/>
            <w:tcMar>
              <w:left w:w="57" w:type="dxa"/>
              <w:right w:w="57" w:type="dxa"/>
            </w:tcMar>
            <w:vAlign w:val="center"/>
          </w:tcPr>
          <w:p>
            <w:pPr>
              <w:spacing w:line="400" w:lineRule="exact"/>
              <w:ind w:firstLine="105" w:firstLineChars="50"/>
              <w:jc w:val="center"/>
              <w:rPr>
                <w:rFonts w:eastAsiaTheme="majorEastAsia"/>
                <w:color w:val="000000" w:themeColor="text1"/>
                <w14:textFill>
                  <w14:solidFill>
                    <w14:schemeClr w14:val="tx1"/>
                  </w14:solidFill>
                </w14:textFill>
              </w:rPr>
            </w:pPr>
            <w:r>
              <w:rPr>
                <w:rFonts w:eastAsiaTheme="majorEastAsia"/>
                <w:color w:val="000000" w:themeColor="text1"/>
                <w14:textFill>
                  <w14:solidFill>
                    <w14:schemeClr w14:val="tx1"/>
                  </w14:solidFill>
                </w14:textFill>
              </w:rPr>
              <w:t>序号</w:t>
            </w:r>
          </w:p>
        </w:tc>
        <w:tc>
          <w:tcPr>
            <w:tcW w:w="2879" w:type="dxa"/>
            <w:tcMar>
              <w:left w:w="57" w:type="dxa"/>
              <w:right w:w="57" w:type="dxa"/>
            </w:tcMar>
            <w:vAlign w:val="center"/>
          </w:tcPr>
          <w:p>
            <w:pPr>
              <w:spacing w:line="400" w:lineRule="exact"/>
              <w:jc w:val="center"/>
              <w:rPr>
                <w:rFonts w:eastAsiaTheme="majorEastAsia"/>
                <w:color w:val="000000" w:themeColor="text1"/>
                <w14:textFill>
                  <w14:solidFill>
                    <w14:schemeClr w14:val="tx1"/>
                  </w14:solidFill>
                </w14:textFill>
              </w:rPr>
            </w:pPr>
            <w:r>
              <w:rPr>
                <w:rFonts w:eastAsiaTheme="majorEastAsia"/>
                <w:color w:val="000000" w:themeColor="text1"/>
                <w14:textFill>
                  <w14:solidFill>
                    <w14:schemeClr w14:val="tx1"/>
                  </w14:solidFill>
                </w14:textFill>
              </w:rPr>
              <w:t>审查意见</w:t>
            </w:r>
          </w:p>
        </w:tc>
        <w:tc>
          <w:tcPr>
            <w:tcW w:w="1134" w:type="dxa"/>
            <w:tcMar>
              <w:left w:w="57" w:type="dxa"/>
              <w:right w:w="57" w:type="dxa"/>
            </w:tcMar>
            <w:vAlign w:val="center"/>
          </w:tcPr>
          <w:p>
            <w:pPr>
              <w:spacing w:line="400" w:lineRule="exact"/>
              <w:jc w:val="center"/>
              <w:rPr>
                <w:rFonts w:eastAsiaTheme="majorEastAsia"/>
                <w:color w:val="000000" w:themeColor="text1"/>
                <w14:textFill>
                  <w14:solidFill>
                    <w14:schemeClr w14:val="tx1"/>
                  </w14:solidFill>
                </w14:textFill>
              </w:rPr>
            </w:pPr>
            <w:r>
              <w:rPr>
                <w:rFonts w:hint="eastAsia" w:eastAsiaTheme="majorEastAsia"/>
                <w:color w:val="000000" w:themeColor="text1"/>
                <w14:textFill>
                  <w14:solidFill>
                    <w14:schemeClr w14:val="tx1"/>
                  </w14:solidFill>
                </w14:textFill>
              </w:rPr>
              <w:t>修改</w:t>
            </w:r>
            <w:r>
              <w:rPr>
                <w:rFonts w:eastAsiaTheme="majorEastAsia"/>
                <w:color w:val="000000" w:themeColor="text1"/>
                <w14:textFill>
                  <w14:solidFill>
                    <w14:schemeClr w14:val="tx1"/>
                  </w14:solidFill>
                </w14:textFill>
              </w:rPr>
              <w:t>情况</w:t>
            </w:r>
          </w:p>
        </w:tc>
        <w:tc>
          <w:tcPr>
            <w:tcW w:w="3685" w:type="dxa"/>
            <w:tcMar>
              <w:left w:w="57" w:type="dxa"/>
              <w:right w:w="57" w:type="dxa"/>
            </w:tcMar>
            <w:vAlign w:val="center"/>
          </w:tcPr>
          <w:p>
            <w:pPr>
              <w:spacing w:line="400" w:lineRule="exact"/>
              <w:ind w:firstLine="480"/>
              <w:jc w:val="center"/>
              <w:rPr>
                <w:rFonts w:eastAsiaTheme="majorEastAsia"/>
                <w:color w:val="000000" w:themeColor="text1"/>
                <w14:textFill>
                  <w14:solidFill>
                    <w14:schemeClr w14:val="tx1"/>
                  </w14:solidFill>
                </w14:textFill>
              </w:rPr>
            </w:pPr>
            <w:r>
              <w:rPr>
                <w:rFonts w:eastAsiaTheme="majorEastAsia"/>
                <w:color w:val="000000" w:themeColor="text1"/>
                <w14:textFill>
                  <w14:solidFill>
                    <w14:schemeClr w14:val="tx1"/>
                  </w14:solidFill>
                </w14:textFill>
              </w:rPr>
              <w:t>索引</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c>
          <w:tcPr>
            <w:tcW w:w="802" w:type="dxa"/>
            <w:tcMar>
              <w:left w:w="57" w:type="dxa"/>
              <w:right w:w="57" w:type="dxa"/>
            </w:tcMar>
            <w:vAlign w:val="center"/>
          </w:tcPr>
          <w:p>
            <w:pPr>
              <w:spacing w:line="400" w:lineRule="exact"/>
              <w:jc w:val="center"/>
              <w:rPr>
                <w:rFonts w:eastAsiaTheme="majorEastAsia"/>
                <w:color w:val="000000" w:themeColor="text1"/>
                <w14:textFill>
                  <w14:solidFill>
                    <w14:schemeClr w14:val="tx1"/>
                  </w14:solidFill>
                </w14:textFill>
              </w:rPr>
            </w:pPr>
            <w:r>
              <w:rPr>
                <w:rFonts w:eastAsiaTheme="majorEastAsia"/>
                <w:color w:val="000000" w:themeColor="text1"/>
                <w14:textFill>
                  <w14:solidFill>
                    <w14:schemeClr w14:val="tx1"/>
                  </w14:solidFill>
                </w14:textFill>
              </w:rPr>
              <w:t>1</w:t>
            </w:r>
          </w:p>
        </w:tc>
        <w:tc>
          <w:tcPr>
            <w:tcW w:w="2879" w:type="dxa"/>
            <w:tcMar>
              <w:left w:w="57" w:type="dxa"/>
              <w:right w:w="57" w:type="dxa"/>
            </w:tcMar>
            <w:vAlign w:val="center"/>
          </w:tcPr>
          <w:p>
            <w:pPr>
              <w:spacing w:line="400" w:lineRule="exact"/>
              <w:jc w:val="left"/>
              <w:rPr>
                <w:rFonts w:eastAsiaTheme="majorEastAsia"/>
                <w:color w:val="000000" w:themeColor="text1"/>
                <w14:textFill>
                  <w14:solidFill>
                    <w14:schemeClr w14:val="tx1"/>
                  </w14:solidFill>
                </w14:textFill>
              </w:rPr>
            </w:pPr>
            <w:r>
              <w:rPr>
                <w:rFonts w:hint="eastAsia" w:eastAsiaTheme="majorEastAsia"/>
                <w:color w:val="000000" w:themeColor="text1"/>
                <w14:textFill>
                  <w14:solidFill>
                    <w14:schemeClr w14:val="tx1"/>
                  </w14:solidFill>
                </w14:textFill>
              </w:rPr>
              <w:t>补充完善</w:t>
            </w:r>
            <w:r>
              <w:rPr>
                <w:rFonts w:eastAsiaTheme="majorEastAsia"/>
                <w:color w:val="000000" w:themeColor="text1"/>
                <w14:textFill>
                  <w14:solidFill>
                    <w14:schemeClr w14:val="tx1"/>
                  </w14:solidFill>
                </w14:textFill>
              </w:rPr>
              <w:t>项目周围环境敏感目标；</w:t>
            </w:r>
            <w:r>
              <w:rPr>
                <w:rFonts w:hint="eastAsia" w:eastAsiaTheme="majorEastAsia"/>
                <w:color w:val="000000" w:themeColor="text1"/>
                <w14:textFill>
                  <w14:solidFill>
                    <w14:schemeClr w14:val="tx1"/>
                  </w14:solidFill>
                </w14:textFill>
              </w:rPr>
              <w:t>完善“三线一单”相符性</w:t>
            </w:r>
            <w:r>
              <w:rPr>
                <w:rFonts w:eastAsiaTheme="majorEastAsia"/>
                <w:color w:val="000000" w:themeColor="text1"/>
                <w14:textFill>
                  <w14:solidFill>
                    <w14:schemeClr w14:val="tx1"/>
                  </w14:solidFill>
                </w14:textFill>
              </w:rPr>
              <w:t>分析</w:t>
            </w:r>
            <w:r>
              <w:rPr>
                <w:rFonts w:hint="eastAsia" w:eastAsiaTheme="majorEastAsia"/>
                <w:color w:val="000000" w:themeColor="text1"/>
                <w14:textFill>
                  <w14:solidFill>
                    <w14:schemeClr w14:val="tx1"/>
                  </w14:solidFill>
                </w14:textFill>
              </w:rPr>
              <w:t>。补充与最新饮用水源</w:t>
            </w:r>
            <w:r>
              <w:rPr>
                <w:rFonts w:eastAsiaTheme="majorEastAsia"/>
                <w:color w:val="000000" w:themeColor="text1"/>
                <w14:textFill>
                  <w14:solidFill>
                    <w14:schemeClr w14:val="tx1"/>
                  </w14:solidFill>
                </w14:textFill>
              </w:rPr>
              <w:t>保护区文件相</w:t>
            </w:r>
            <w:r>
              <w:rPr>
                <w:rFonts w:hint="eastAsia" w:eastAsiaTheme="majorEastAsia"/>
                <w:color w:val="000000" w:themeColor="text1"/>
                <w14:textFill>
                  <w14:solidFill>
                    <w14:schemeClr w14:val="tx1"/>
                  </w14:solidFill>
                </w14:textFill>
              </w:rPr>
              <w:t>符</w:t>
            </w:r>
            <w:r>
              <w:rPr>
                <w:rFonts w:eastAsiaTheme="majorEastAsia"/>
                <w:color w:val="000000" w:themeColor="text1"/>
                <w14:textFill>
                  <w14:solidFill>
                    <w14:schemeClr w14:val="tx1"/>
                  </w14:solidFill>
                </w14:textFill>
              </w:rPr>
              <w:t>性</w:t>
            </w:r>
            <w:r>
              <w:rPr>
                <w:rFonts w:hint="eastAsia" w:eastAsiaTheme="majorEastAsia"/>
                <w:color w:val="000000" w:themeColor="text1"/>
                <w14:textFill>
                  <w14:solidFill>
                    <w14:schemeClr w14:val="tx1"/>
                  </w14:solidFill>
                </w14:textFill>
              </w:rPr>
              <w:t>分析</w:t>
            </w:r>
            <w:r>
              <w:rPr>
                <w:rFonts w:eastAsiaTheme="majorEastAsia"/>
                <w:color w:val="000000" w:themeColor="text1"/>
                <w14:textFill>
                  <w14:solidFill>
                    <w14:schemeClr w14:val="tx1"/>
                  </w14:solidFill>
                </w14:textFill>
              </w:rPr>
              <w:t>。</w:t>
            </w:r>
          </w:p>
        </w:tc>
        <w:tc>
          <w:tcPr>
            <w:tcW w:w="1134" w:type="dxa"/>
            <w:tcMar>
              <w:left w:w="57" w:type="dxa"/>
              <w:right w:w="57" w:type="dxa"/>
            </w:tcMar>
            <w:vAlign w:val="center"/>
          </w:tcPr>
          <w:p>
            <w:pPr>
              <w:spacing w:line="400" w:lineRule="exact"/>
              <w:jc w:val="center"/>
              <w:rPr>
                <w:rFonts w:eastAsiaTheme="majorEastAsia"/>
                <w:color w:val="000000" w:themeColor="text1"/>
                <w14:textFill>
                  <w14:solidFill>
                    <w14:schemeClr w14:val="tx1"/>
                  </w14:solidFill>
                </w14:textFill>
              </w:rPr>
            </w:pPr>
            <w:r>
              <w:rPr>
                <w:rFonts w:hint="eastAsia" w:eastAsiaTheme="majorEastAsia"/>
                <w:color w:val="000000" w:themeColor="text1"/>
                <w14:textFill>
                  <w14:solidFill>
                    <w14:schemeClr w14:val="tx1"/>
                  </w14:solidFill>
                </w14:textFill>
              </w:rPr>
              <w:t>已修改</w:t>
            </w:r>
          </w:p>
        </w:tc>
        <w:tc>
          <w:tcPr>
            <w:tcW w:w="3685" w:type="dxa"/>
            <w:tcMar>
              <w:left w:w="57" w:type="dxa"/>
              <w:right w:w="57" w:type="dxa"/>
            </w:tcMar>
          </w:tcPr>
          <w:p>
            <w:pPr>
              <w:spacing w:line="400" w:lineRule="exact"/>
              <w:rPr>
                <w:rFonts w:eastAsiaTheme="majorEastAsia"/>
                <w:color w:val="000000" w:themeColor="text1"/>
                <w14:textFill>
                  <w14:solidFill>
                    <w14:schemeClr w14:val="tx1"/>
                  </w14:solidFill>
                </w14:textFill>
              </w:rPr>
            </w:pPr>
            <w:r>
              <w:rPr>
                <w:rFonts w:hint="eastAsia" w:eastAsiaTheme="majorEastAsia"/>
                <w:color w:val="000000" w:themeColor="text1"/>
                <w14:textFill>
                  <w14:solidFill>
                    <w14:schemeClr w14:val="tx1"/>
                  </w14:solidFill>
                </w14:textFill>
              </w:rPr>
              <w:t>已</w:t>
            </w:r>
            <w:r>
              <w:rPr>
                <w:rFonts w:eastAsiaTheme="majorEastAsia"/>
                <w:color w:val="000000" w:themeColor="text1"/>
                <w14:textFill>
                  <w14:solidFill>
                    <w14:schemeClr w14:val="tx1"/>
                  </w14:solidFill>
                </w14:textFill>
              </w:rPr>
              <w:t>完善项目</w:t>
            </w:r>
            <w:r>
              <w:rPr>
                <w:rFonts w:hint="eastAsia" w:eastAsiaTheme="majorEastAsia"/>
                <w:color w:val="000000" w:themeColor="text1"/>
                <w14:textFill>
                  <w14:solidFill>
                    <w14:schemeClr w14:val="tx1"/>
                  </w14:solidFill>
                </w14:textFill>
              </w:rPr>
              <w:t>周围</w:t>
            </w:r>
            <w:r>
              <w:rPr>
                <w:rFonts w:eastAsiaTheme="majorEastAsia"/>
                <w:color w:val="000000" w:themeColor="text1"/>
                <w14:textFill>
                  <w14:solidFill>
                    <w14:schemeClr w14:val="tx1"/>
                  </w14:solidFill>
                </w14:textFill>
              </w:rPr>
              <w:t>环境</w:t>
            </w:r>
            <w:r>
              <w:rPr>
                <w:rFonts w:hint="eastAsia" w:eastAsiaTheme="majorEastAsia"/>
                <w:color w:val="000000" w:themeColor="text1"/>
                <w14:textFill>
                  <w14:solidFill>
                    <w14:schemeClr w14:val="tx1"/>
                  </w14:solidFill>
                </w14:textFill>
              </w:rPr>
              <w:t>敏感</w:t>
            </w:r>
            <w:r>
              <w:rPr>
                <w:rFonts w:eastAsiaTheme="majorEastAsia"/>
                <w:color w:val="000000" w:themeColor="text1"/>
                <w14:textFill>
                  <w14:solidFill>
                    <w14:schemeClr w14:val="tx1"/>
                  </w14:solidFill>
                </w14:textFill>
              </w:rPr>
              <w:t>点情况，</w:t>
            </w:r>
            <w:r>
              <w:rPr>
                <w:rFonts w:hint="eastAsia" w:eastAsiaTheme="majorEastAsia"/>
                <w:color w:val="000000" w:themeColor="text1"/>
                <w14:textFill>
                  <w14:solidFill>
                    <w14:schemeClr w14:val="tx1"/>
                  </w14:solidFill>
                </w14:textFill>
              </w:rPr>
              <w:t>详见P</w:t>
            </w:r>
            <w:r>
              <w:rPr>
                <w:rFonts w:eastAsiaTheme="majorEastAsia"/>
                <w:color w:val="000000" w:themeColor="text1"/>
                <w14:textFill>
                  <w14:solidFill>
                    <w14:schemeClr w14:val="tx1"/>
                  </w14:solidFill>
                </w14:textFill>
              </w:rPr>
              <w:t>31</w:t>
            </w:r>
            <w:r>
              <w:rPr>
                <w:rFonts w:hint="eastAsia" w:eastAsiaTheme="majorEastAsia"/>
                <w:color w:val="000000" w:themeColor="text1"/>
                <w14:textFill>
                  <w14:solidFill>
                    <w14:schemeClr w14:val="tx1"/>
                  </w14:solidFill>
                </w14:textFill>
              </w:rPr>
              <w:t>下划线</w:t>
            </w:r>
            <w:r>
              <w:rPr>
                <w:rFonts w:eastAsiaTheme="majorEastAsia"/>
                <w:color w:val="000000" w:themeColor="text1"/>
                <w14:textFill>
                  <w14:solidFill>
                    <w14:schemeClr w14:val="tx1"/>
                  </w14:solidFill>
                </w14:textFill>
              </w:rPr>
              <w:t>黑体部分</w:t>
            </w:r>
            <w:r>
              <w:rPr>
                <w:rFonts w:hint="eastAsia" w:eastAsiaTheme="majorEastAsia"/>
                <w:color w:val="000000" w:themeColor="text1"/>
                <w14:textFill>
                  <w14:solidFill>
                    <w14:schemeClr w14:val="tx1"/>
                  </w14:solidFill>
                </w14:textFill>
              </w:rPr>
              <w:t>及</w:t>
            </w:r>
            <w:r>
              <w:rPr>
                <w:rFonts w:eastAsiaTheme="majorEastAsia"/>
                <w:color w:val="000000" w:themeColor="text1"/>
                <w14:textFill>
                  <w14:solidFill>
                    <w14:schemeClr w14:val="tx1"/>
                  </w14:solidFill>
                </w14:textFill>
              </w:rPr>
              <w:t>表18</w:t>
            </w:r>
            <w:r>
              <w:rPr>
                <w:rFonts w:hint="eastAsia" w:eastAsiaTheme="majorEastAsia"/>
                <w:color w:val="000000" w:themeColor="text1"/>
                <w14:textFill>
                  <w14:solidFill>
                    <w14:schemeClr w14:val="tx1"/>
                  </w14:solidFill>
                </w14:textFill>
              </w:rPr>
              <w:t>；</w:t>
            </w:r>
          </w:p>
          <w:p>
            <w:pPr>
              <w:pStyle w:val="6"/>
              <w:spacing w:line="400" w:lineRule="exact"/>
              <w:ind w:firstLine="0"/>
              <w:rPr>
                <w:rFonts w:eastAsiaTheme="majorEastAsia"/>
                <w:color w:val="000000" w:themeColor="text1"/>
                <w14:textFill>
                  <w14:solidFill>
                    <w14:schemeClr w14:val="tx1"/>
                  </w14:solidFill>
                </w14:textFill>
              </w:rPr>
            </w:pPr>
            <w:r>
              <w:rPr>
                <w:rFonts w:hint="eastAsia" w:eastAsiaTheme="majorEastAsia"/>
                <w:color w:val="000000" w:themeColor="text1"/>
                <w14:textFill>
                  <w14:solidFill>
                    <w14:schemeClr w14:val="tx1"/>
                  </w14:solidFill>
                </w14:textFill>
              </w:rPr>
              <w:t>完善“三线一单”相符性</w:t>
            </w:r>
            <w:r>
              <w:rPr>
                <w:rFonts w:eastAsiaTheme="majorEastAsia"/>
                <w:color w:val="000000" w:themeColor="text1"/>
                <w14:textFill>
                  <w14:solidFill>
                    <w14:schemeClr w14:val="tx1"/>
                  </w14:solidFill>
                </w14:textFill>
              </w:rPr>
              <w:t>分析</w:t>
            </w:r>
            <w:r>
              <w:rPr>
                <w:rFonts w:hint="eastAsia" w:eastAsiaTheme="majorEastAsia"/>
                <w:color w:val="000000" w:themeColor="text1"/>
                <w14:textFill>
                  <w14:solidFill>
                    <w14:schemeClr w14:val="tx1"/>
                  </w14:solidFill>
                </w14:textFill>
              </w:rPr>
              <w:t>，见P</w:t>
            </w:r>
            <w:r>
              <w:rPr>
                <w:rFonts w:eastAsiaTheme="majorEastAsia"/>
                <w:color w:val="000000" w:themeColor="text1"/>
                <w14:textFill>
                  <w14:solidFill>
                    <w14:schemeClr w14:val="tx1"/>
                  </w14:solidFill>
                </w14:textFill>
              </w:rPr>
              <w:t>2</w:t>
            </w:r>
            <w:r>
              <w:rPr>
                <w:rFonts w:hint="eastAsia" w:eastAsiaTheme="majorEastAsia"/>
                <w:color w:val="000000" w:themeColor="text1"/>
                <w14:textFill>
                  <w14:solidFill>
                    <w14:schemeClr w14:val="tx1"/>
                  </w14:solidFill>
                </w14:textFill>
              </w:rPr>
              <w:t>-</w:t>
            </w:r>
            <w:r>
              <w:rPr>
                <w:rFonts w:eastAsiaTheme="majorEastAsia"/>
                <w:color w:val="000000" w:themeColor="text1"/>
                <w14:textFill>
                  <w14:solidFill>
                    <w14:schemeClr w14:val="tx1"/>
                  </w14:solidFill>
                </w14:textFill>
              </w:rPr>
              <w:t>6</w:t>
            </w:r>
            <w:r>
              <w:rPr>
                <w:rFonts w:hint="eastAsia" w:eastAsiaTheme="majorEastAsia"/>
                <w:color w:val="000000" w:themeColor="text1"/>
                <w14:textFill>
                  <w14:solidFill>
                    <w14:schemeClr w14:val="tx1"/>
                  </w14:solidFill>
                </w14:textFill>
              </w:rPr>
              <w:t>。已补充与平顶山最新</w:t>
            </w:r>
            <w:r>
              <w:rPr>
                <w:rFonts w:eastAsiaTheme="majorEastAsia"/>
                <w:color w:val="000000" w:themeColor="text1"/>
                <w14:textFill>
                  <w14:solidFill>
                    <w14:schemeClr w14:val="tx1"/>
                  </w14:solidFill>
                </w14:textFill>
              </w:rPr>
              <w:t>饮用水源保护区文件</w:t>
            </w:r>
            <w:r>
              <w:rPr>
                <w:rFonts w:hint="eastAsia" w:eastAsiaTheme="majorEastAsia"/>
                <w:color w:val="000000" w:themeColor="text1"/>
                <w14:textFill>
                  <w14:solidFill>
                    <w14:schemeClr w14:val="tx1"/>
                  </w14:solidFill>
                </w14:textFill>
              </w:rPr>
              <w:t>相符性</w:t>
            </w:r>
            <w:r>
              <w:rPr>
                <w:rFonts w:eastAsiaTheme="majorEastAsia"/>
                <w:color w:val="000000" w:themeColor="text1"/>
                <w14:textFill>
                  <w14:solidFill>
                    <w14:schemeClr w14:val="tx1"/>
                  </w14:solidFill>
                </w14:textFill>
              </w:rPr>
              <w:t>分析，见</w:t>
            </w:r>
            <w:r>
              <w:rPr>
                <w:rFonts w:hint="eastAsia" w:eastAsiaTheme="majorEastAsia"/>
                <w:color w:val="000000" w:themeColor="text1"/>
                <w14:textFill>
                  <w14:solidFill>
                    <w14:schemeClr w14:val="tx1"/>
                  </w14:solidFill>
                </w14:textFill>
              </w:rPr>
              <w:t>P</w:t>
            </w:r>
            <w:r>
              <w:rPr>
                <w:rFonts w:eastAsiaTheme="majorEastAsia"/>
                <w:color w:val="000000" w:themeColor="text1"/>
                <w14:textFill>
                  <w14:solidFill>
                    <w14:schemeClr w14:val="tx1"/>
                  </w14:solidFill>
                </w14:textFill>
              </w:rPr>
              <w:t>14-15。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c>
          <w:tcPr>
            <w:tcW w:w="802" w:type="dxa"/>
            <w:tcMar>
              <w:left w:w="57" w:type="dxa"/>
              <w:right w:w="57" w:type="dxa"/>
            </w:tcMar>
            <w:vAlign w:val="center"/>
          </w:tcPr>
          <w:p>
            <w:pPr>
              <w:spacing w:line="400" w:lineRule="exact"/>
              <w:jc w:val="center"/>
              <w:rPr>
                <w:rFonts w:eastAsiaTheme="majorEastAsia"/>
                <w:color w:val="000000" w:themeColor="text1"/>
                <w14:textFill>
                  <w14:solidFill>
                    <w14:schemeClr w14:val="tx1"/>
                  </w14:solidFill>
                </w14:textFill>
              </w:rPr>
            </w:pPr>
            <w:r>
              <w:rPr>
                <w:rFonts w:eastAsiaTheme="majorEastAsia"/>
                <w:color w:val="000000" w:themeColor="text1"/>
                <w14:textFill>
                  <w14:solidFill>
                    <w14:schemeClr w14:val="tx1"/>
                  </w14:solidFill>
                </w14:textFill>
              </w:rPr>
              <w:t>2</w:t>
            </w:r>
          </w:p>
        </w:tc>
        <w:tc>
          <w:tcPr>
            <w:tcW w:w="2879" w:type="dxa"/>
            <w:tcMar>
              <w:left w:w="57" w:type="dxa"/>
              <w:right w:w="57" w:type="dxa"/>
            </w:tcMar>
            <w:vAlign w:val="center"/>
          </w:tcPr>
          <w:p>
            <w:pPr>
              <w:spacing w:line="400" w:lineRule="exact"/>
              <w:jc w:val="left"/>
              <w:rPr>
                <w:rFonts w:eastAsiaTheme="majorEastAsia"/>
                <w:color w:val="000000" w:themeColor="text1"/>
                <w14:textFill>
                  <w14:solidFill>
                    <w14:schemeClr w14:val="tx1"/>
                  </w14:solidFill>
                </w14:textFill>
              </w:rPr>
            </w:pPr>
            <w:r>
              <w:rPr>
                <w:rFonts w:hint="eastAsia" w:eastAsiaTheme="majorEastAsia"/>
                <w:color w:val="000000" w:themeColor="text1"/>
                <w14:textFill>
                  <w14:solidFill>
                    <w14:schemeClr w14:val="tx1"/>
                  </w14:solidFill>
                </w14:textFill>
              </w:rPr>
              <w:t>调查所租赁生产车间以前生产经营活动、场地调查及风险评估有</w:t>
            </w:r>
            <w:r>
              <w:rPr>
                <w:rFonts w:eastAsiaTheme="majorEastAsia"/>
                <w:color w:val="000000" w:themeColor="text1"/>
                <w14:textFill>
                  <w14:solidFill>
                    <w14:schemeClr w14:val="tx1"/>
                  </w14:solidFill>
                </w14:textFill>
              </w:rPr>
              <w:t>关情况</w:t>
            </w:r>
            <w:r>
              <w:rPr>
                <w:rFonts w:hint="eastAsia" w:eastAsiaTheme="majorEastAsia"/>
                <w:color w:val="000000" w:themeColor="text1"/>
                <w14:textFill>
                  <w14:solidFill>
                    <w14:schemeClr w14:val="tx1"/>
                  </w14:solidFill>
                </w14:textFill>
              </w:rPr>
              <w:t>。结合</w:t>
            </w:r>
            <w:r>
              <w:rPr>
                <w:rFonts w:eastAsiaTheme="majorEastAsia"/>
                <w:color w:val="000000" w:themeColor="text1"/>
                <w14:textFill>
                  <w14:solidFill>
                    <w14:schemeClr w14:val="tx1"/>
                  </w14:solidFill>
                </w14:textFill>
              </w:rPr>
              <w:t>绩效</w:t>
            </w:r>
            <w:r>
              <w:rPr>
                <w:rFonts w:hint="eastAsia" w:eastAsiaTheme="majorEastAsia"/>
                <w:color w:val="000000" w:themeColor="text1"/>
                <w14:textFill>
                  <w14:solidFill>
                    <w14:schemeClr w14:val="tx1"/>
                  </w14:solidFill>
                </w14:textFill>
              </w:rPr>
              <w:t>分</w:t>
            </w:r>
            <w:r>
              <w:rPr>
                <w:rFonts w:eastAsiaTheme="majorEastAsia"/>
                <w:color w:val="000000" w:themeColor="text1"/>
                <w14:textFill>
                  <w14:solidFill>
                    <w14:schemeClr w14:val="tx1"/>
                  </w14:solidFill>
                </w14:textFill>
              </w:rPr>
              <w:t>级和大气</w:t>
            </w:r>
            <w:r>
              <w:rPr>
                <w:rFonts w:hint="eastAsia" w:eastAsiaTheme="majorEastAsia"/>
                <w:color w:val="000000" w:themeColor="text1"/>
                <w14:textFill>
                  <w14:solidFill>
                    <w14:schemeClr w14:val="tx1"/>
                  </w14:solidFill>
                </w14:textFill>
              </w:rPr>
              <w:t>攻</w:t>
            </w:r>
            <w:r>
              <w:rPr>
                <w:rFonts w:eastAsiaTheme="majorEastAsia"/>
                <w:color w:val="000000" w:themeColor="text1"/>
                <w14:textFill>
                  <w14:solidFill>
                    <w14:schemeClr w14:val="tx1"/>
                  </w14:solidFill>
                </w14:textFill>
              </w:rPr>
              <w:t>坚等相关要求，核实</w:t>
            </w:r>
            <w:r>
              <w:rPr>
                <w:rFonts w:hint="eastAsia" w:eastAsiaTheme="majorEastAsia"/>
                <w:color w:val="000000" w:themeColor="text1"/>
                <w14:textFill>
                  <w14:solidFill>
                    <w14:schemeClr w14:val="tx1"/>
                  </w14:solidFill>
                </w14:textFill>
              </w:rPr>
              <w:t>废气</w:t>
            </w:r>
            <w:r>
              <w:rPr>
                <w:rFonts w:eastAsiaTheme="majorEastAsia"/>
                <w:color w:val="000000" w:themeColor="text1"/>
                <w14:textFill>
                  <w14:solidFill>
                    <w14:schemeClr w14:val="tx1"/>
                  </w14:solidFill>
                </w14:textFill>
              </w:rPr>
              <w:t>排放标准</w:t>
            </w:r>
            <w:r>
              <w:rPr>
                <w:rFonts w:hint="eastAsia" w:eastAsiaTheme="majorEastAsia"/>
                <w:color w:val="000000" w:themeColor="text1"/>
                <w14:textFill>
                  <w14:solidFill>
                    <w14:schemeClr w14:val="tx1"/>
                  </w14:solidFill>
                </w14:textFill>
              </w:rPr>
              <w:t>。明确</w:t>
            </w:r>
            <w:r>
              <w:rPr>
                <w:rFonts w:eastAsiaTheme="majorEastAsia"/>
                <w:color w:val="000000" w:themeColor="text1"/>
                <w14:textFill>
                  <w14:solidFill>
                    <w14:schemeClr w14:val="tx1"/>
                  </w14:solidFill>
                </w14:textFill>
              </w:rPr>
              <w:t>原料固</w:t>
            </w:r>
            <w:r>
              <w:rPr>
                <w:rFonts w:hint="eastAsia" w:eastAsiaTheme="majorEastAsia"/>
                <w:color w:val="000000" w:themeColor="text1"/>
                <w14:textFill>
                  <w14:solidFill>
                    <w14:schemeClr w14:val="tx1"/>
                  </w14:solidFill>
                </w14:textFill>
              </w:rPr>
              <w:t>废</w:t>
            </w:r>
            <w:r>
              <w:rPr>
                <w:rFonts w:eastAsiaTheme="majorEastAsia"/>
                <w:color w:val="000000" w:themeColor="text1"/>
                <w14:textFill>
                  <w14:solidFill>
                    <w14:schemeClr w14:val="tx1"/>
                  </w14:solidFill>
                </w14:textFill>
              </w:rPr>
              <w:t>性质。</w:t>
            </w:r>
          </w:p>
        </w:tc>
        <w:tc>
          <w:tcPr>
            <w:tcW w:w="1134" w:type="dxa"/>
            <w:tcMar>
              <w:left w:w="57" w:type="dxa"/>
              <w:right w:w="57" w:type="dxa"/>
            </w:tcMar>
            <w:vAlign w:val="center"/>
          </w:tcPr>
          <w:p>
            <w:pPr>
              <w:spacing w:line="400" w:lineRule="exact"/>
              <w:jc w:val="center"/>
              <w:rPr>
                <w:rFonts w:eastAsiaTheme="majorEastAsia"/>
                <w:color w:val="000000" w:themeColor="text1"/>
                <w14:textFill>
                  <w14:solidFill>
                    <w14:schemeClr w14:val="tx1"/>
                  </w14:solidFill>
                </w14:textFill>
              </w:rPr>
            </w:pPr>
            <w:r>
              <w:rPr>
                <w:rFonts w:hint="eastAsia" w:eastAsiaTheme="majorEastAsia"/>
                <w:color w:val="000000" w:themeColor="text1"/>
                <w14:textFill>
                  <w14:solidFill>
                    <w14:schemeClr w14:val="tx1"/>
                  </w14:solidFill>
                </w14:textFill>
              </w:rPr>
              <w:t>已修改</w:t>
            </w:r>
          </w:p>
        </w:tc>
        <w:tc>
          <w:tcPr>
            <w:tcW w:w="3685" w:type="dxa"/>
            <w:tcMar>
              <w:left w:w="57" w:type="dxa"/>
              <w:right w:w="57" w:type="dxa"/>
            </w:tcMar>
          </w:tcPr>
          <w:p>
            <w:pPr>
              <w:spacing w:line="400" w:lineRule="exact"/>
            </w:pPr>
            <w:r>
              <w:rPr>
                <w:rFonts w:hint="eastAsia" w:eastAsiaTheme="majorEastAsia"/>
                <w:color w:val="000000" w:themeColor="text1"/>
                <w14:textFill>
                  <w14:solidFill>
                    <w14:schemeClr w14:val="tx1"/>
                  </w14:solidFill>
                </w14:textFill>
              </w:rPr>
              <w:t>已</w:t>
            </w:r>
            <w:r>
              <w:rPr>
                <w:rFonts w:eastAsiaTheme="majorEastAsia"/>
                <w:color w:val="000000" w:themeColor="text1"/>
                <w14:textFill>
                  <w14:solidFill>
                    <w14:schemeClr w14:val="tx1"/>
                  </w14:solidFill>
                </w14:textFill>
              </w:rPr>
              <w:t>调查</w:t>
            </w:r>
            <w:r>
              <w:rPr>
                <w:rFonts w:hint="eastAsia" w:eastAsiaTheme="majorEastAsia"/>
                <w:color w:val="000000" w:themeColor="text1"/>
                <w14:textFill>
                  <w14:solidFill>
                    <w14:schemeClr w14:val="tx1"/>
                  </w14:solidFill>
                </w14:textFill>
              </w:rPr>
              <w:t>租赁场地生产历史及场地调查有关</w:t>
            </w:r>
            <w:r>
              <w:rPr>
                <w:rFonts w:eastAsiaTheme="majorEastAsia"/>
                <w:color w:val="000000" w:themeColor="text1"/>
                <w14:textFill>
                  <w14:solidFill>
                    <w14:schemeClr w14:val="tx1"/>
                  </w14:solidFill>
                </w14:textFill>
              </w:rPr>
              <w:t>情况，详见P28</w:t>
            </w:r>
            <w:r>
              <w:rPr>
                <w:rFonts w:hint="eastAsia" w:eastAsiaTheme="majorEastAsia"/>
                <w:color w:val="000000" w:themeColor="text1"/>
                <w14:textFill>
                  <w14:solidFill>
                    <w14:schemeClr w14:val="tx1"/>
                  </w14:solidFill>
                </w14:textFill>
              </w:rPr>
              <w:t>；补充了</w:t>
            </w:r>
            <w:r>
              <w:rPr>
                <w:rFonts w:eastAsiaTheme="majorEastAsia"/>
                <w:color w:val="000000" w:themeColor="text1"/>
                <w14:textFill>
                  <w14:solidFill>
                    <w14:schemeClr w14:val="tx1"/>
                  </w14:solidFill>
                </w14:textFill>
              </w:rPr>
              <w:t>绩效</w:t>
            </w:r>
            <w:r>
              <w:rPr>
                <w:rFonts w:hint="eastAsia" w:eastAsiaTheme="majorEastAsia"/>
                <w:color w:val="000000" w:themeColor="text1"/>
                <w14:textFill>
                  <w14:solidFill>
                    <w14:schemeClr w14:val="tx1"/>
                  </w14:solidFill>
                </w14:textFill>
              </w:rPr>
              <w:t>分</w:t>
            </w:r>
            <w:r>
              <w:rPr>
                <w:rFonts w:eastAsiaTheme="majorEastAsia"/>
                <w:color w:val="000000" w:themeColor="text1"/>
                <w14:textFill>
                  <w14:solidFill>
                    <w14:schemeClr w14:val="tx1"/>
                  </w14:solidFill>
                </w14:textFill>
              </w:rPr>
              <w:t>级相关要求，</w:t>
            </w:r>
            <w:r>
              <w:rPr>
                <w:rFonts w:hint="eastAsia" w:eastAsiaTheme="majorEastAsia"/>
                <w:color w:val="000000" w:themeColor="text1"/>
                <w14:textFill>
                  <w14:solidFill>
                    <w14:schemeClr w14:val="tx1"/>
                  </w14:solidFill>
                </w14:textFill>
              </w:rPr>
              <w:t>见P</w:t>
            </w:r>
            <w:r>
              <w:rPr>
                <w:rFonts w:eastAsiaTheme="majorEastAsia"/>
                <w:color w:val="000000" w:themeColor="text1"/>
                <w14:textFill>
                  <w14:solidFill>
                    <w14:schemeClr w14:val="tx1"/>
                  </w14:solidFill>
                </w14:textFill>
              </w:rPr>
              <w:t>10-12</w:t>
            </w:r>
            <w:r>
              <w:rPr>
                <w:rFonts w:hint="eastAsia" w:eastAsiaTheme="majorEastAsia"/>
                <w:color w:val="000000" w:themeColor="text1"/>
                <w14:textFill>
                  <w14:solidFill>
                    <w14:schemeClr w14:val="tx1"/>
                  </w14:solidFill>
                </w14:textFill>
              </w:rPr>
              <w:t>，</w:t>
            </w:r>
            <w:r>
              <w:rPr>
                <w:rFonts w:eastAsiaTheme="majorEastAsia"/>
                <w:color w:val="000000" w:themeColor="text1"/>
                <w14:textFill>
                  <w14:solidFill>
                    <w14:schemeClr w14:val="tx1"/>
                  </w14:solidFill>
                </w14:textFill>
              </w:rPr>
              <w:t>核实</w:t>
            </w:r>
            <w:r>
              <w:rPr>
                <w:rFonts w:hint="eastAsia" w:eastAsiaTheme="majorEastAsia"/>
                <w:color w:val="000000" w:themeColor="text1"/>
                <w14:textFill>
                  <w14:solidFill>
                    <w14:schemeClr w14:val="tx1"/>
                  </w14:solidFill>
                </w14:textFill>
              </w:rPr>
              <w:t>了废气</w:t>
            </w:r>
            <w:r>
              <w:rPr>
                <w:rFonts w:eastAsiaTheme="majorEastAsia"/>
                <w:color w:val="000000" w:themeColor="text1"/>
                <w14:textFill>
                  <w14:solidFill>
                    <w14:schemeClr w14:val="tx1"/>
                  </w14:solidFill>
                </w14:textFill>
              </w:rPr>
              <w:t>排</w:t>
            </w:r>
            <w:r>
              <w:rPr>
                <w:rFonts w:hint="eastAsia" w:eastAsiaTheme="majorEastAsia"/>
                <w:color w:val="000000" w:themeColor="text1"/>
                <w14:textFill>
                  <w14:solidFill>
                    <w14:schemeClr w14:val="tx1"/>
                  </w14:solidFill>
                </w14:textFill>
              </w:rPr>
              <w:t>放</w:t>
            </w:r>
            <w:r>
              <w:rPr>
                <w:rFonts w:eastAsiaTheme="majorEastAsia"/>
                <w:color w:val="000000" w:themeColor="text1"/>
                <w14:textFill>
                  <w14:solidFill>
                    <w14:schemeClr w14:val="tx1"/>
                  </w14:solidFill>
                </w14:textFill>
              </w:rPr>
              <w:t>标准，</w:t>
            </w:r>
            <w:r>
              <w:rPr>
                <w:rFonts w:eastAsiaTheme="majorEastAsia"/>
              </w:rPr>
              <w:t>见P32</w:t>
            </w:r>
            <w:r>
              <w:rPr>
                <w:rFonts w:hint="eastAsia" w:eastAsiaTheme="majorEastAsia"/>
              </w:rPr>
              <w:t>；已</w:t>
            </w:r>
            <w:r>
              <w:rPr>
                <w:rFonts w:eastAsiaTheme="majorEastAsia"/>
              </w:rPr>
              <w:t>明确</w:t>
            </w:r>
            <w:r>
              <w:rPr>
                <w:rFonts w:hint="eastAsia" w:eastAsiaTheme="majorEastAsia"/>
              </w:rPr>
              <w:t>原料和</w:t>
            </w:r>
            <w:r>
              <w:rPr>
                <w:rFonts w:eastAsiaTheme="majorEastAsia"/>
              </w:rPr>
              <w:t>固废</w:t>
            </w:r>
            <w:r>
              <w:rPr>
                <w:rFonts w:hint="eastAsia" w:eastAsiaTheme="majorEastAsia"/>
              </w:rPr>
              <w:t>的</w:t>
            </w:r>
            <w:r>
              <w:rPr>
                <w:rFonts w:eastAsiaTheme="majorEastAsia"/>
              </w:rPr>
              <w:t>性质，详见</w:t>
            </w:r>
            <w:r>
              <w:rPr>
                <w:rFonts w:hint="eastAsia" w:eastAsiaTheme="majorEastAsia"/>
              </w:rPr>
              <w:t>P</w:t>
            </w:r>
            <w:r>
              <w:rPr>
                <w:rFonts w:eastAsiaTheme="majorEastAsia"/>
              </w:rPr>
              <w:t>21</w:t>
            </w:r>
            <w:r>
              <w:rPr>
                <w:rFonts w:hint="eastAsia" w:eastAsiaTheme="majorEastAsia"/>
              </w:rPr>
              <w:t>和</w:t>
            </w:r>
            <w:r>
              <w:rPr>
                <w:rFonts w:eastAsiaTheme="majorEastAsia"/>
              </w:rPr>
              <w:t>P53</w:t>
            </w:r>
            <w:r>
              <w:rPr>
                <w:rFonts w:hint="eastAsia" w:eastAsiaTheme="majorEastAsia"/>
              </w:rPr>
              <w:t>页</w:t>
            </w:r>
            <w:r>
              <w:rPr>
                <w:rFonts w:eastAsiaTheme="majorEastAsia"/>
              </w:rPr>
              <w:t>表29</w:t>
            </w:r>
            <w:r>
              <w:rPr>
                <w:rFonts w:hint="eastAsia" w:eastAsiaTheme="majorEastAsia"/>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c>
          <w:tcPr>
            <w:tcW w:w="802" w:type="dxa"/>
            <w:tcMar>
              <w:left w:w="57" w:type="dxa"/>
              <w:right w:w="57" w:type="dxa"/>
            </w:tcMar>
            <w:vAlign w:val="center"/>
          </w:tcPr>
          <w:p>
            <w:pPr>
              <w:spacing w:line="400" w:lineRule="exact"/>
              <w:jc w:val="center"/>
              <w:rPr>
                <w:rFonts w:eastAsiaTheme="majorEastAsia"/>
                <w:color w:val="000000" w:themeColor="text1"/>
                <w14:textFill>
                  <w14:solidFill>
                    <w14:schemeClr w14:val="tx1"/>
                  </w14:solidFill>
                </w14:textFill>
              </w:rPr>
            </w:pPr>
            <w:r>
              <w:rPr>
                <w:rFonts w:eastAsiaTheme="majorEastAsia"/>
                <w:color w:val="000000" w:themeColor="text1"/>
                <w14:textFill>
                  <w14:solidFill>
                    <w14:schemeClr w14:val="tx1"/>
                  </w14:solidFill>
                </w14:textFill>
              </w:rPr>
              <w:t>3</w:t>
            </w:r>
          </w:p>
        </w:tc>
        <w:tc>
          <w:tcPr>
            <w:tcW w:w="2879" w:type="dxa"/>
            <w:tcMar>
              <w:left w:w="57" w:type="dxa"/>
              <w:right w:w="57" w:type="dxa"/>
            </w:tcMar>
            <w:vAlign w:val="center"/>
          </w:tcPr>
          <w:p>
            <w:pPr>
              <w:spacing w:line="400" w:lineRule="exact"/>
              <w:jc w:val="left"/>
              <w:rPr>
                <w:rFonts w:eastAsiaTheme="majorEastAsia"/>
                <w:color w:val="000000" w:themeColor="text1"/>
                <w14:textFill>
                  <w14:solidFill>
                    <w14:schemeClr w14:val="tx1"/>
                  </w14:solidFill>
                </w14:textFill>
              </w:rPr>
            </w:pPr>
            <w:r>
              <w:rPr>
                <w:rFonts w:hint="eastAsia" w:eastAsiaTheme="majorEastAsia"/>
                <w:color w:val="000000" w:themeColor="text1"/>
                <w14:textFill>
                  <w14:solidFill>
                    <w14:schemeClr w14:val="tx1"/>
                  </w14:solidFill>
                </w14:textFill>
              </w:rPr>
              <w:t>细化工程分析内容，核实粉磨机进出料方式、废</w:t>
            </w:r>
            <w:r>
              <w:rPr>
                <w:rFonts w:eastAsiaTheme="majorEastAsia"/>
                <w:color w:val="000000" w:themeColor="text1"/>
                <w14:textFill>
                  <w14:solidFill>
                    <w14:schemeClr w14:val="tx1"/>
                  </w14:solidFill>
                </w14:textFill>
              </w:rPr>
              <w:t>气</w:t>
            </w:r>
            <w:r>
              <w:rPr>
                <w:rFonts w:hint="eastAsia" w:eastAsiaTheme="majorEastAsia"/>
                <w:color w:val="000000" w:themeColor="text1"/>
                <w14:textFill>
                  <w14:solidFill>
                    <w14:schemeClr w14:val="tx1"/>
                  </w14:solidFill>
                </w14:textFill>
              </w:rPr>
              <w:t>收集方式</w:t>
            </w:r>
            <w:r>
              <w:rPr>
                <w:rFonts w:eastAsiaTheme="majorEastAsia"/>
                <w:color w:val="000000" w:themeColor="text1"/>
                <w14:textFill>
                  <w14:solidFill>
                    <w14:schemeClr w14:val="tx1"/>
                  </w14:solidFill>
                </w14:textFill>
              </w:rPr>
              <w:t>及效率</w:t>
            </w:r>
            <w:r>
              <w:rPr>
                <w:rFonts w:hint="eastAsia" w:eastAsiaTheme="majorEastAsia"/>
                <w:color w:val="000000" w:themeColor="text1"/>
                <w14:textFill>
                  <w14:solidFill>
                    <w14:schemeClr w14:val="tx1"/>
                  </w14:solidFill>
                </w14:textFill>
              </w:rPr>
              <w:t>；气</w:t>
            </w:r>
            <w:r>
              <w:rPr>
                <w:rFonts w:eastAsiaTheme="majorEastAsia"/>
                <w:color w:val="000000" w:themeColor="text1"/>
                <w14:textFill>
                  <w14:solidFill>
                    <w14:schemeClr w14:val="tx1"/>
                  </w14:solidFill>
                </w14:textFill>
              </w:rPr>
              <w:t>体输送、</w:t>
            </w:r>
            <w:r>
              <w:rPr>
                <w:rFonts w:hint="eastAsia" w:eastAsiaTheme="majorEastAsia"/>
                <w:color w:val="000000" w:themeColor="text1"/>
                <w14:textFill>
                  <w14:solidFill>
                    <w14:schemeClr w14:val="tx1"/>
                  </w14:solidFill>
                </w14:textFill>
              </w:rPr>
              <w:t>提升机落料口、散装机废</w:t>
            </w:r>
            <w:r>
              <w:rPr>
                <w:rFonts w:eastAsiaTheme="majorEastAsia"/>
                <w:color w:val="000000" w:themeColor="text1"/>
                <w14:textFill>
                  <w14:solidFill>
                    <w14:schemeClr w14:val="tx1"/>
                  </w14:solidFill>
                </w14:textFill>
              </w:rPr>
              <w:t>气</w:t>
            </w:r>
            <w:r>
              <w:rPr>
                <w:rFonts w:hint="eastAsia" w:eastAsiaTheme="majorEastAsia"/>
                <w:color w:val="000000" w:themeColor="text1"/>
                <w14:textFill>
                  <w14:solidFill>
                    <w14:schemeClr w14:val="tx1"/>
                  </w14:solidFill>
                </w14:textFill>
              </w:rPr>
              <w:t>收集方式</w:t>
            </w:r>
            <w:r>
              <w:rPr>
                <w:rFonts w:eastAsiaTheme="majorEastAsia"/>
                <w:color w:val="000000" w:themeColor="text1"/>
                <w14:textFill>
                  <w14:solidFill>
                    <w14:schemeClr w14:val="tx1"/>
                  </w14:solidFill>
                </w14:textFill>
              </w:rPr>
              <w:t>及效率</w:t>
            </w:r>
            <w:r>
              <w:rPr>
                <w:rFonts w:hint="eastAsia" w:eastAsiaTheme="majorEastAsia"/>
                <w:color w:val="000000" w:themeColor="text1"/>
                <w14:textFill>
                  <w14:solidFill>
                    <w14:schemeClr w14:val="tx1"/>
                  </w14:solidFill>
                </w14:textFill>
              </w:rPr>
              <w:t>；校核源强，完善产生粉尘工艺节点污染防控内容，复核排放量相关数据，校核各收尘设施风量与处理能力匹配性，确保各类污染物达标排放；核实项目</w:t>
            </w:r>
            <w:r>
              <w:rPr>
                <w:rFonts w:eastAsiaTheme="majorEastAsia"/>
                <w:color w:val="000000" w:themeColor="text1"/>
                <w14:textFill>
                  <w14:solidFill>
                    <w14:schemeClr w14:val="tx1"/>
                  </w14:solidFill>
                </w14:textFill>
              </w:rPr>
              <w:t>排</w:t>
            </w:r>
            <w:r>
              <w:rPr>
                <w:rFonts w:hint="eastAsia" w:eastAsiaTheme="majorEastAsia"/>
                <w:color w:val="000000" w:themeColor="text1"/>
                <w14:textFill>
                  <w14:solidFill>
                    <w14:schemeClr w14:val="tx1"/>
                  </w14:solidFill>
                </w14:textFill>
              </w:rPr>
              <w:t>气</w:t>
            </w:r>
            <w:r>
              <w:rPr>
                <w:rFonts w:eastAsiaTheme="majorEastAsia"/>
                <w:color w:val="000000" w:themeColor="text1"/>
                <w14:textFill>
                  <w14:solidFill>
                    <w14:schemeClr w14:val="tx1"/>
                  </w14:solidFill>
                </w14:textFill>
              </w:rPr>
              <w:t>筒</w:t>
            </w:r>
            <w:r>
              <w:rPr>
                <w:rFonts w:hint="eastAsia" w:eastAsiaTheme="majorEastAsia"/>
                <w:color w:val="000000" w:themeColor="text1"/>
                <w14:textFill>
                  <w14:solidFill>
                    <w14:schemeClr w14:val="tx1"/>
                  </w14:solidFill>
                </w14:textFill>
              </w:rPr>
              <w:t>高</w:t>
            </w:r>
            <w:r>
              <w:rPr>
                <w:rFonts w:eastAsiaTheme="majorEastAsia"/>
                <w:color w:val="000000" w:themeColor="text1"/>
                <w14:textFill>
                  <w14:solidFill>
                    <w14:schemeClr w14:val="tx1"/>
                  </w14:solidFill>
                </w14:textFill>
              </w:rPr>
              <w:t>度</w:t>
            </w:r>
            <w:r>
              <w:rPr>
                <w:rFonts w:hint="eastAsia" w:eastAsiaTheme="majorEastAsia"/>
                <w:color w:val="000000" w:themeColor="text1"/>
                <w14:textFill>
                  <w14:solidFill>
                    <w14:schemeClr w14:val="tx1"/>
                  </w14:solidFill>
                </w14:textFill>
              </w:rPr>
              <w:t>。</w:t>
            </w:r>
          </w:p>
        </w:tc>
        <w:tc>
          <w:tcPr>
            <w:tcW w:w="1134" w:type="dxa"/>
            <w:tcMar>
              <w:left w:w="57" w:type="dxa"/>
              <w:right w:w="57" w:type="dxa"/>
            </w:tcMar>
            <w:vAlign w:val="center"/>
          </w:tcPr>
          <w:p>
            <w:pPr>
              <w:spacing w:line="400" w:lineRule="exact"/>
              <w:jc w:val="center"/>
              <w:rPr>
                <w:rFonts w:eastAsiaTheme="majorEastAsia"/>
                <w:color w:val="000000" w:themeColor="text1"/>
                <w14:textFill>
                  <w14:solidFill>
                    <w14:schemeClr w14:val="tx1"/>
                  </w14:solidFill>
                </w14:textFill>
              </w:rPr>
            </w:pPr>
            <w:r>
              <w:rPr>
                <w:rFonts w:hint="eastAsia" w:eastAsiaTheme="majorEastAsia"/>
                <w:color w:val="000000" w:themeColor="text1"/>
                <w14:textFill>
                  <w14:solidFill>
                    <w14:schemeClr w14:val="tx1"/>
                  </w14:solidFill>
                </w14:textFill>
              </w:rPr>
              <w:t>已修改</w:t>
            </w:r>
          </w:p>
        </w:tc>
        <w:tc>
          <w:tcPr>
            <w:tcW w:w="3685" w:type="dxa"/>
            <w:tcMar>
              <w:left w:w="57" w:type="dxa"/>
              <w:right w:w="57" w:type="dxa"/>
            </w:tcMar>
          </w:tcPr>
          <w:p>
            <w:pPr>
              <w:pStyle w:val="6"/>
              <w:spacing w:line="460" w:lineRule="exact"/>
              <w:ind w:firstLine="0"/>
              <w:rPr>
                <w:rFonts w:eastAsiaTheme="majorEastAsia"/>
                <w:color w:val="000000" w:themeColor="text1"/>
                <w14:textFill>
                  <w14:solidFill>
                    <w14:schemeClr w14:val="tx1"/>
                  </w14:solidFill>
                </w14:textFill>
              </w:rPr>
            </w:pPr>
            <w:r>
              <w:rPr>
                <w:rFonts w:hint="eastAsia" w:eastAsiaTheme="majorEastAsia"/>
                <w:color w:val="000000" w:themeColor="text1"/>
                <w14:textFill>
                  <w14:solidFill>
                    <w14:schemeClr w14:val="tx1"/>
                  </w14:solidFill>
                </w14:textFill>
              </w:rPr>
              <w:t>已</w:t>
            </w:r>
            <w:r>
              <w:rPr>
                <w:rFonts w:eastAsiaTheme="majorEastAsia"/>
                <w:color w:val="000000" w:themeColor="text1"/>
                <w14:textFill>
                  <w14:solidFill>
                    <w14:schemeClr w14:val="tx1"/>
                  </w14:solidFill>
                </w14:textFill>
              </w:rPr>
              <w:t>细化工程分析及</w:t>
            </w:r>
            <w:r>
              <w:rPr>
                <w:rFonts w:hint="eastAsia" w:eastAsiaTheme="majorEastAsia"/>
                <w:color w:val="000000" w:themeColor="text1"/>
                <w14:textFill>
                  <w14:solidFill>
                    <w14:schemeClr w14:val="tx1"/>
                  </w14:solidFill>
                </w14:textFill>
              </w:rPr>
              <w:t>产污</w:t>
            </w:r>
            <w:r>
              <w:rPr>
                <w:rFonts w:eastAsiaTheme="majorEastAsia"/>
                <w:color w:val="000000" w:themeColor="text1"/>
                <w14:textFill>
                  <w14:solidFill>
                    <w14:schemeClr w14:val="tx1"/>
                  </w14:solidFill>
                </w14:textFill>
              </w:rPr>
              <w:t>环节</w:t>
            </w:r>
            <w:r>
              <w:rPr>
                <w:rFonts w:hint="eastAsia" w:eastAsiaTheme="majorEastAsia"/>
                <w:color w:val="000000" w:themeColor="text1"/>
                <w14:textFill>
                  <w14:solidFill>
                    <w14:schemeClr w14:val="tx1"/>
                  </w14:solidFill>
                </w14:textFill>
              </w:rPr>
              <w:t>，详</w:t>
            </w:r>
            <w:r>
              <w:rPr>
                <w:rFonts w:eastAsiaTheme="majorEastAsia"/>
                <w:color w:val="000000" w:themeColor="text1"/>
                <w14:textFill>
                  <w14:solidFill>
                    <w14:schemeClr w14:val="tx1"/>
                  </w14:solidFill>
                </w14:textFill>
              </w:rPr>
              <w:t>见</w:t>
            </w:r>
            <w:r>
              <w:rPr>
                <w:rFonts w:hint="eastAsia" w:eastAsiaTheme="majorEastAsia"/>
                <w:color w:val="000000" w:themeColor="text1"/>
                <w14:textFill>
                  <w14:solidFill>
                    <w14:schemeClr w14:val="tx1"/>
                  </w14:solidFill>
                </w14:textFill>
              </w:rPr>
              <w:t>P</w:t>
            </w:r>
            <w:r>
              <w:rPr>
                <w:rFonts w:eastAsiaTheme="majorEastAsia"/>
                <w:color w:val="000000" w:themeColor="text1"/>
                <w14:textFill>
                  <w14:solidFill>
                    <w14:schemeClr w14:val="tx1"/>
                  </w14:solidFill>
                </w14:textFill>
              </w:rPr>
              <w:t>26-27</w:t>
            </w:r>
            <w:r>
              <w:rPr>
                <w:rFonts w:hint="eastAsia" w:eastAsiaTheme="majorEastAsia"/>
                <w:color w:val="000000" w:themeColor="text1"/>
                <w14:textFill>
                  <w14:solidFill>
                    <w14:schemeClr w14:val="tx1"/>
                  </w14:solidFill>
                </w14:textFill>
              </w:rPr>
              <w:t>，表1</w:t>
            </w:r>
            <w:r>
              <w:rPr>
                <w:rFonts w:eastAsiaTheme="majorEastAsia"/>
                <w:color w:val="000000" w:themeColor="text1"/>
                <w14:textFill>
                  <w14:solidFill>
                    <w14:schemeClr w14:val="tx1"/>
                  </w14:solidFill>
                </w14:textFill>
              </w:rPr>
              <w:t>5</w:t>
            </w:r>
            <w:r>
              <w:rPr>
                <w:rFonts w:hint="eastAsia" w:eastAsiaTheme="majorEastAsia"/>
                <w:color w:val="000000" w:themeColor="text1"/>
                <w14:textFill>
                  <w14:solidFill>
                    <w14:schemeClr w14:val="tx1"/>
                  </w14:solidFill>
                </w14:textFill>
              </w:rPr>
              <w:t>；</w:t>
            </w:r>
          </w:p>
          <w:p>
            <w:pPr>
              <w:pStyle w:val="6"/>
              <w:spacing w:line="460" w:lineRule="exact"/>
              <w:ind w:firstLine="0"/>
              <w:rPr>
                <w:rFonts w:eastAsiaTheme="majorEastAsia"/>
                <w:color w:val="000000" w:themeColor="text1"/>
                <w14:textFill>
                  <w14:solidFill>
                    <w14:schemeClr w14:val="tx1"/>
                  </w14:solidFill>
                </w14:textFill>
              </w:rPr>
            </w:pPr>
            <w:r>
              <w:rPr>
                <w:rFonts w:hint="eastAsia" w:eastAsiaTheme="majorEastAsia"/>
                <w:color w:val="000000" w:themeColor="text1"/>
                <w14:textFill>
                  <w14:solidFill>
                    <w14:schemeClr w14:val="tx1"/>
                  </w14:solidFill>
                </w14:textFill>
              </w:rPr>
              <w:t>已</w:t>
            </w:r>
            <w:r>
              <w:rPr>
                <w:rFonts w:eastAsiaTheme="majorEastAsia"/>
                <w:color w:val="000000" w:themeColor="text1"/>
                <w14:textFill>
                  <w14:solidFill>
                    <w14:schemeClr w14:val="tx1"/>
                  </w14:solidFill>
                </w14:textFill>
              </w:rPr>
              <w:t>校核</w:t>
            </w:r>
            <w:r>
              <w:rPr>
                <w:rFonts w:hint="eastAsia" w:eastAsiaTheme="majorEastAsia"/>
                <w:color w:val="000000" w:themeColor="text1"/>
                <w14:textFill>
                  <w14:solidFill>
                    <w14:schemeClr w14:val="tx1"/>
                  </w14:solidFill>
                </w14:textFill>
              </w:rPr>
              <w:t>粉磨机进出料方式、废</w:t>
            </w:r>
            <w:r>
              <w:rPr>
                <w:rFonts w:eastAsiaTheme="majorEastAsia"/>
                <w:color w:val="000000" w:themeColor="text1"/>
                <w14:textFill>
                  <w14:solidFill>
                    <w14:schemeClr w14:val="tx1"/>
                  </w14:solidFill>
                </w14:textFill>
              </w:rPr>
              <w:t>气</w:t>
            </w:r>
            <w:r>
              <w:rPr>
                <w:rFonts w:hint="eastAsia" w:eastAsiaTheme="majorEastAsia"/>
                <w:color w:val="000000" w:themeColor="text1"/>
                <w14:textFill>
                  <w14:solidFill>
                    <w14:schemeClr w14:val="tx1"/>
                  </w14:solidFill>
                </w14:textFill>
              </w:rPr>
              <w:t>收集方式</w:t>
            </w:r>
            <w:r>
              <w:rPr>
                <w:rFonts w:eastAsiaTheme="majorEastAsia"/>
                <w:color w:val="000000" w:themeColor="text1"/>
                <w14:textFill>
                  <w14:solidFill>
                    <w14:schemeClr w14:val="tx1"/>
                  </w14:solidFill>
                </w14:textFill>
              </w:rPr>
              <w:t>及效率</w:t>
            </w:r>
            <w:r>
              <w:rPr>
                <w:rFonts w:hint="eastAsia" w:eastAsiaTheme="majorEastAsia"/>
                <w:color w:val="000000" w:themeColor="text1"/>
                <w14:textFill>
                  <w14:solidFill>
                    <w14:schemeClr w14:val="tx1"/>
                  </w14:solidFill>
                </w14:textFill>
              </w:rPr>
              <w:t>；气</w:t>
            </w:r>
            <w:r>
              <w:rPr>
                <w:rFonts w:eastAsiaTheme="majorEastAsia"/>
                <w:color w:val="000000" w:themeColor="text1"/>
                <w14:textFill>
                  <w14:solidFill>
                    <w14:schemeClr w14:val="tx1"/>
                  </w14:solidFill>
                </w14:textFill>
              </w:rPr>
              <w:t>体输送、</w:t>
            </w:r>
            <w:r>
              <w:rPr>
                <w:rFonts w:hint="eastAsia" w:eastAsiaTheme="majorEastAsia"/>
                <w:color w:val="000000" w:themeColor="text1"/>
                <w14:textFill>
                  <w14:solidFill>
                    <w14:schemeClr w14:val="tx1"/>
                  </w14:solidFill>
                </w14:textFill>
              </w:rPr>
              <w:t>提升机落料口、散装机废</w:t>
            </w:r>
            <w:r>
              <w:rPr>
                <w:rFonts w:eastAsiaTheme="majorEastAsia"/>
                <w:color w:val="000000" w:themeColor="text1"/>
                <w14:textFill>
                  <w14:solidFill>
                    <w14:schemeClr w14:val="tx1"/>
                  </w14:solidFill>
                </w14:textFill>
              </w:rPr>
              <w:t>气</w:t>
            </w:r>
            <w:r>
              <w:rPr>
                <w:rFonts w:hint="eastAsia" w:eastAsiaTheme="majorEastAsia"/>
                <w:color w:val="000000" w:themeColor="text1"/>
                <w14:textFill>
                  <w14:solidFill>
                    <w14:schemeClr w14:val="tx1"/>
                  </w14:solidFill>
                </w14:textFill>
              </w:rPr>
              <w:t>收集方式</w:t>
            </w:r>
            <w:r>
              <w:rPr>
                <w:rFonts w:eastAsiaTheme="majorEastAsia"/>
                <w:color w:val="000000" w:themeColor="text1"/>
                <w14:textFill>
                  <w14:solidFill>
                    <w14:schemeClr w14:val="tx1"/>
                  </w14:solidFill>
                </w14:textFill>
              </w:rPr>
              <w:t>及效率，</w:t>
            </w:r>
            <w:r>
              <w:rPr>
                <w:rFonts w:hint="eastAsia" w:eastAsiaTheme="majorEastAsia"/>
                <w:color w:val="000000" w:themeColor="text1"/>
                <w14:textFill>
                  <w14:solidFill>
                    <w14:schemeClr w14:val="tx1"/>
                  </w14:solidFill>
                </w14:textFill>
              </w:rPr>
              <w:t>校核了源强和各收尘设施风量与处理能力匹配性，核实了项目</w:t>
            </w:r>
            <w:r>
              <w:rPr>
                <w:rFonts w:eastAsiaTheme="majorEastAsia"/>
                <w:color w:val="000000" w:themeColor="text1"/>
                <w14:textFill>
                  <w14:solidFill>
                    <w14:schemeClr w14:val="tx1"/>
                  </w14:solidFill>
                </w14:textFill>
              </w:rPr>
              <w:t>排</w:t>
            </w:r>
            <w:r>
              <w:rPr>
                <w:rFonts w:hint="eastAsia" w:eastAsiaTheme="majorEastAsia"/>
                <w:color w:val="000000" w:themeColor="text1"/>
                <w14:textFill>
                  <w14:solidFill>
                    <w14:schemeClr w14:val="tx1"/>
                  </w14:solidFill>
                </w14:textFill>
              </w:rPr>
              <w:t>气</w:t>
            </w:r>
            <w:r>
              <w:rPr>
                <w:rFonts w:eastAsiaTheme="majorEastAsia"/>
                <w:color w:val="000000" w:themeColor="text1"/>
                <w14:textFill>
                  <w14:solidFill>
                    <w14:schemeClr w14:val="tx1"/>
                  </w14:solidFill>
                </w14:textFill>
              </w:rPr>
              <w:t>筒</w:t>
            </w:r>
            <w:r>
              <w:rPr>
                <w:rFonts w:hint="eastAsia" w:eastAsiaTheme="majorEastAsia"/>
                <w:color w:val="000000" w:themeColor="text1"/>
                <w14:textFill>
                  <w14:solidFill>
                    <w14:schemeClr w14:val="tx1"/>
                  </w14:solidFill>
                </w14:textFill>
              </w:rPr>
              <w:t>高</w:t>
            </w:r>
            <w:r>
              <w:rPr>
                <w:rFonts w:eastAsiaTheme="majorEastAsia"/>
                <w:color w:val="000000" w:themeColor="text1"/>
                <w14:textFill>
                  <w14:solidFill>
                    <w14:schemeClr w14:val="tx1"/>
                  </w14:solidFill>
                </w14:textFill>
              </w:rPr>
              <w:t>度</w:t>
            </w:r>
            <w:r>
              <w:rPr>
                <w:rFonts w:hint="eastAsia" w:eastAsiaTheme="majorEastAsia"/>
                <w:color w:val="000000" w:themeColor="text1"/>
                <w14:textFill>
                  <w14:solidFill>
                    <w14:schemeClr w14:val="tx1"/>
                  </w14:solidFill>
                </w14:textFill>
              </w:rPr>
              <w:t>，</w:t>
            </w:r>
            <w:r>
              <w:rPr>
                <w:rFonts w:eastAsiaTheme="majorEastAsia"/>
                <w:color w:val="000000" w:themeColor="text1"/>
                <w14:textFill>
                  <w14:solidFill>
                    <w14:schemeClr w14:val="tx1"/>
                  </w14:solidFill>
                </w14:textFill>
              </w:rPr>
              <w:t>详见P36-40</w:t>
            </w:r>
            <w:r>
              <w:rPr>
                <w:rFonts w:hint="eastAsia" w:eastAsiaTheme="majorEastAsia"/>
                <w:color w:val="000000" w:themeColor="text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28" w:type="dxa"/>
            <w:bottom w:w="0" w:type="dxa"/>
            <w:right w:w="28" w:type="dxa"/>
          </w:tblCellMar>
        </w:tblPrEx>
        <w:tc>
          <w:tcPr>
            <w:tcW w:w="802" w:type="dxa"/>
            <w:tcMar>
              <w:left w:w="57" w:type="dxa"/>
              <w:right w:w="57" w:type="dxa"/>
            </w:tcMar>
            <w:vAlign w:val="center"/>
          </w:tcPr>
          <w:p>
            <w:pPr>
              <w:spacing w:line="400" w:lineRule="exact"/>
              <w:jc w:val="center"/>
              <w:rPr>
                <w:rFonts w:eastAsiaTheme="majorEastAsia"/>
                <w:color w:val="000000" w:themeColor="text1"/>
                <w14:textFill>
                  <w14:solidFill>
                    <w14:schemeClr w14:val="tx1"/>
                  </w14:solidFill>
                </w14:textFill>
              </w:rPr>
            </w:pPr>
            <w:r>
              <w:rPr>
                <w:rFonts w:eastAsiaTheme="majorEastAsia"/>
                <w:color w:val="000000" w:themeColor="text1"/>
                <w14:textFill>
                  <w14:solidFill>
                    <w14:schemeClr w14:val="tx1"/>
                  </w14:solidFill>
                </w14:textFill>
              </w:rPr>
              <w:t>4</w:t>
            </w:r>
          </w:p>
        </w:tc>
        <w:tc>
          <w:tcPr>
            <w:tcW w:w="2879" w:type="dxa"/>
            <w:tcMar>
              <w:left w:w="57" w:type="dxa"/>
              <w:right w:w="57" w:type="dxa"/>
            </w:tcMar>
            <w:vAlign w:val="center"/>
          </w:tcPr>
          <w:p>
            <w:pPr>
              <w:spacing w:line="400" w:lineRule="exact"/>
              <w:jc w:val="left"/>
              <w:rPr>
                <w:rFonts w:eastAsiaTheme="majorEastAsia"/>
                <w:color w:val="000000" w:themeColor="text1"/>
                <w14:textFill>
                  <w14:solidFill>
                    <w14:schemeClr w14:val="tx1"/>
                  </w14:solidFill>
                </w14:textFill>
              </w:rPr>
            </w:pPr>
            <w:r>
              <w:rPr>
                <w:rFonts w:eastAsiaTheme="majorEastAsia"/>
                <w:color w:val="000000" w:themeColor="text1"/>
                <w14:textFill>
                  <w14:solidFill>
                    <w14:schemeClr w14:val="tx1"/>
                  </w14:solidFill>
                </w14:textFill>
              </w:rPr>
              <w:t>完善项目</w:t>
            </w:r>
            <w:r>
              <w:rPr>
                <w:rFonts w:hint="eastAsia" w:eastAsiaTheme="majorEastAsia"/>
                <w:color w:val="000000" w:themeColor="text1"/>
                <w14:textFill>
                  <w14:solidFill>
                    <w14:schemeClr w14:val="tx1"/>
                  </w14:solidFill>
                </w14:textFill>
              </w:rPr>
              <w:t>环保设施竣工验收一览表</w:t>
            </w:r>
            <w:r>
              <w:rPr>
                <w:rFonts w:eastAsiaTheme="majorEastAsia"/>
                <w:color w:val="000000" w:themeColor="text1"/>
                <w14:textFill>
                  <w14:solidFill>
                    <w14:schemeClr w14:val="tx1"/>
                  </w14:solidFill>
                </w14:textFill>
              </w:rPr>
              <w:t>，细化</w:t>
            </w:r>
            <w:r>
              <w:rPr>
                <w:rFonts w:hint="eastAsia" w:eastAsiaTheme="majorEastAsia"/>
                <w:color w:val="000000" w:themeColor="text1"/>
                <w14:textFill>
                  <w14:solidFill>
                    <w14:schemeClr w14:val="tx1"/>
                  </w14:solidFill>
                </w14:textFill>
              </w:rPr>
              <w:t>环境保护措施监督检查清单</w:t>
            </w:r>
            <w:r>
              <w:rPr>
                <w:rFonts w:eastAsiaTheme="majorEastAsia"/>
                <w:color w:val="000000" w:themeColor="text1"/>
                <w14:textFill>
                  <w14:solidFill>
                    <w14:schemeClr w14:val="tx1"/>
                  </w14:solidFill>
                </w14:textFill>
              </w:rPr>
              <w:t>，补充完善相关</w:t>
            </w:r>
            <w:r>
              <w:rPr>
                <w:rFonts w:hint="eastAsia" w:eastAsiaTheme="majorEastAsia"/>
                <w:color w:val="000000" w:themeColor="text1"/>
                <w14:textFill>
                  <w14:solidFill>
                    <w14:schemeClr w14:val="tx1"/>
                  </w14:solidFill>
                </w14:textFill>
              </w:rPr>
              <w:t>附</w:t>
            </w:r>
            <w:r>
              <w:rPr>
                <w:rFonts w:eastAsiaTheme="majorEastAsia"/>
                <w:color w:val="000000" w:themeColor="text1"/>
                <w14:textFill>
                  <w14:solidFill>
                    <w14:schemeClr w14:val="tx1"/>
                  </w14:solidFill>
                </w14:textFill>
              </w:rPr>
              <w:t>件</w:t>
            </w:r>
            <w:r>
              <w:rPr>
                <w:rFonts w:hint="eastAsia" w:eastAsiaTheme="majorEastAsia"/>
                <w:color w:val="000000" w:themeColor="text1"/>
                <w14:textFill>
                  <w14:solidFill>
                    <w14:schemeClr w14:val="tx1"/>
                  </w14:solidFill>
                </w14:textFill>
              </w:rPr>
              <w:t>。</w:t>
            </w:r>
          </w:p>
        </w:tc>
        <w:tc>
          <w:tcPr>
            <w:tcW w:w="1134" w:type="dxa"/>
            <w:tcMar>
              <w:left w:w="57" w:type="dxa"/>
              <w:right w:w="57" w:type="dxa"/>
            </w:tcMar>
            <w:vAlign w:val="center"/>
          </w:tcPr>
          <w:p>
            <w:pPr>
              <w:spacing w:line="400" w:lineRule="exact"/>
              <w:jc w:val="center"/>
              <w:rPr>
                <w:rFonts w:cs="微软雅黑" w:asciiTheme="majorEastAsia" w:hAnsiTheme="majorEastAsia" w:eastAsiaTheme="majorEastAsia"/>
                <w:color w:val="000000" w:themeColor="text1"/>
                <w14:textFill>
                  <w14:solidFill>
                    <w14:schemeClr w14:val="tx1"/>
                  </w14:solidFill>
                </w14:textFill>
              </w:rPr>
            </w:pPr>
            <w:r>
              <w:rPr>
                <w:rFonts w:hint="eastAsia" w:eastAsiaTheme="majorEastAsia"/>
                <w:color w:val="000000" w:themeColor="text1"/>
                <w14:textFill>
                  <w14:solidFill>
                    <w14:schemeClr w14:val="tx1"/>
                  </w14:solidFill>
                </w14:textFill>
              </w:rPr>
              <w:t>已修改</w:t>
            </w:r>
          </w:p>
        </w:tc>
        <w:tc>
          <w:tcPr>
            <w:tcW w:w="3685" w:type="dxa"/>
            <w:tcMar>
              <w:left w:w="57" w:type="dxa"/>
              <w:right w:w="57" w:type="dxa"/>
            </w:tcMar>
          </w:tcPr>
          <w:p>
            <w:pPr>
              <w:spacing w:line="460" w:lineRule="exact"/>
              <w:rPr>
                <w:rFonts w:eastAsiaTheme="majorEastAsia"/>
                <w:color w:val="000000" w:themeColor="text1"/>
                <w14:textFill>
                  <w14:solidFill>
                    <w14:schemeClr w14:val="tx1"/>
                  </w14:solidFill>
                </w14:textFill>
              </w:rPr>
            </w:pPr>
            <w:r>
              <w:rPr>
                <w:rFonts w:hint="eastAsia" w:eastAsiaTheme="majorEastAsia"/>
                <w:color w:val="000000" w:themeColor="text1"/>
                <w14:textFill>
                  <w14:solidFill>
                    <w14:schemeClr w14:val="tx1"/>
                  </w14:solidFill>
                </w14:textFill>
              </w:rPr>
              <w:t>已完善</w:t>
            </w:r>
            <w:r>
              <w:rPr>
                <w:rFonts w:eastAsiaTheme="majorEastAsia"/>
                <w:color w:val="000000" w:themeColor="text1"/>
                <w14:textFill>
                  <w14:solidFill>
                    <w14:schemeClr w14:val="tx1"/>
                  </w14:solidFill>
                </w14:textFill>
              </w:rPr>
              <w:t>环保投资一览表</w:t>
            </w:r>
            <w:r>
              <w:rPr>
                <w:rFonts w:hint="eastAsia" w:eastAsiaTheme="majorEastAsia"/>
                <w:color w:val="000000" w:themeColor="text1"/>
                <w14:textFill>
                  <w14:solidFill>
                    <w14:schemeClr w14:val="tx1"/>
                  </w14:solidFill>
                </w14:textFill>
              </w:rPr>
              <w:t>及</w:t>
            </w:r>
            <w:r>
              <w:rPr>
                <w:rFonts w:eastAsiaTheme="majorEastAsia"/>
                <w:color w:val="000000" w:themeColor="text1"/>
                <w14:textFill>
                  <w14:solidFill>
                    <w14:schemeClr w14:val="tx1"/>
                  </w14:solidFill>
                </w14:textFill>
              </w:rPr>
              <w:t>竣工验收一览表，详见</w:t>
            </w:r>
            <w:r>
              <w:rPr>
                <w:rFonts w:hint="eastAsia" w:eastAsiaTheme="majorEastAsia"/>
                <w:color w:val="000000" w:themeColor="text1"/>
                <w14:textFill>
                  <w14:solidFill>
                    <w14:schemeClr w14:val="tx1"/>
                  </w14:solidFill>
                </w14:textFill>
              </w:rPr>
              <w:t>P</w:t>
            </w:r>
            <w:r>
              <w:rPr>
                <w:rFonts w:eastAsiaTheme="majorEastAsia"/>
                <w:color w:val="000000" w:themeColor="text1"/>
                <w14:textFill>
                  <w14:solidFill>
                    <w14:schemeClr w14:val="tx1"/>
                  </w14:solidFill>
                </w14:textFill>
              </w:rPr>
              <w:t>55-58</w:t>
            </w:r>
            <w:r>
              <w:rPr>
                <w:rFonts w:hint="eastAsia" w:eastAsiaTheme="majorEastAsia"/>
                <w:color w:val="000000" w:themeColor="text1"/>
                <w14:textFill>
                  <w14:solidFill>
                    <w14:schemeClr w14:val="tx1"/>
                  </w14:solidFill>
                </w14:textFill>
              </w:rPr>
              <w:t>；已</w:t>
            </w:r>
            <w:r>
              <w:rPr>
                <w:rFonts w:eastAsiaTheme="majorEastAsia"/>
                <w:color w:val="000000" w:themeColor="text1"/>
                <w14:textFill>
                  <w14:solidFill>
                    <w14:schemeClr w14:val="tx1"/>
                  </w14:solidFill>
                </w14:textFill>
              </w:rPr>
              <w:t>完善环境保护措施监督检查清单内容</w:t>
            </w:r>
            <w:r>
              <w:rPr>
                <w:rFonts w:hint="eastAsia" w:eastAsiaTheme="majorEastAsia"/>
                <w:color w:val="000000" w:themeColor="text1"/>
                <w14:textFill>
                  <w14:solidFill>
                    <w14:schemeClr w14:val="tx1"/>
                  </w14:solidFill>
                </w14:textFill>
              </w:rPr>
              <w:t>，</w:t>
            </w:r>
            <w:r>
              <w:rPr>
                <w:rFonts w:eastAsiaTheme="majorEastAsia"/>
                <w:color w:val="000000" w:themeColor="text1"/>
                <w14:textFill>
                  <w14:solidFill>
                    <w14:schemeClr w14:val="tx1"/>
                  </w14:solidFill>
                </w14:textFill>
              </w:rPr>
              <w:t>见</w:t>
            </w:r>
            <w:r>
              <w:rPr>
                <w:rFonts w:hint="eastAsia" w:eastAsiaTheme="majorEastAsia"/>
                <w:color w:val="000000" w:themeColor="text1"/>
                <w14:textFill>
                  <w14:solidFill>
                    <w14:schemeClr w14:val="tx1"/>
                  </w14:solidFill>
                </w14:textFill>
              </w:rPr>
              <w:t>P</w:t>
            </w:r>
            <w:r>
              <w:rPr>
                <w:rFonts w:eastAsiaTheme="majorEastAsia"/>
                <w:color w:val="000000" w:themeColor="text1"/>
                <w14:textFill>
                  <w14:solidFill>
                    <w14:schemeClr w14:val="tx1"/>
                  </w14:solidFill>
                </w14:textFill>
              </w:rPr>
              <w:t>58</w:t>
            </w:r>
            <w:r>
              <w:rPr>
                <w:rFonts w:hint="eastAsia" w:eastAsiaTheme="majorEastAsia"/>
                <w:color w:val="000000" w:themeColor="text1"/>
                <w14:textFill>
                  <w14:solidFill>
                    <w14:schemeClr w14:val="tx1"/>
                  </w14:solidFill>
                </w14:textFill>
              </w:rPr>
              <w:t>；</w:t>
            </w:r>
          </w:p>
          <w:p>
            <w:pPr>
              <w:spacing w:line="400" w:lineRule="exact"/>
              <w:rPr>
                <w:rFonts w:cs="微软雅黑" w:asciiTheme="majorEastAsia" w:hAnsiTheme="majorEastAsia" w:eastAsiaTheme="majorEastAsia"/>
                <w:color w:val="000000" w:themeColor="text1"/>
                <w14:textFill>
                  <w14:solidFill>
                    <w14:schemeClr w14:val="tx1"/>
                  </w14:solidFill>
                </w14:textFill>
              </w:rPr>
            </w:pPr>
            <w:r>
              <w:rPr>
                <w:rFonts w:hint="eastAsia" w:eastAsiaTheme="majorEastAsia"/>
                <w:color w:val="000000" w:themeColor="text1"/>
                <w14:textFill>
                  <w14:solidFill>
                    <w14:schemeClr w14:val="tx1"/>
                  </w14:solidFill>
                </w14:textFill>
              </w:rPr>
              <w:t>已补充</w:t>
            </w:r>
            <w:r>
              <w:rPr>
                <w:rFonts w:eastAsiaTheme="majorEastAsia"/>
                <w:color w:val="000000" w:themeColor="text1"/>
                <w14:textFill>
                  <w14:solidFill>
                    <w14:schemeClr w14:val="tx1"/>
                  </w14:solidFill>
                </w14:textFill>
              </w:rPr>
              <w:t>完善土地证明</w:t>
            </w:r>
            <w:r>
              <w:rPr>
                <w:rFonts w:hint="eastAsia" w:eastAsiaTheme="majorEastAsia"/>
                <w:color w:val="000000" w:themeColor="text1"/>
                <w14:textFill>
                  <w14:solidFill>
                    <w14:schemeClr w14:val="tx1"/>
                  </w14:solidFill>
                </w14:textFill>
              </w:rPr>
              <w:t>（见</w:t>
            </w:r>
            <w:r>
              <w:rPr>
                <w:rFonts w:eastAsiaTheme="majorEastAsia"/>
                <w:color w:val="000000" w:themeColor="text1"/>
                <w14:textFill>
                  <w14:solidFill>
                    <w14:schemeClr w14:val="tx1"/>
                  </w14:solidFill>
                </w14:textFill>
              </w:rPr>
              <w:t>附</w:t>
            </w:r>
            <w:r>
              <w:rPr>
                <w:rFonts w:hint="eastAsia" w:eastAsiaTheme="majorEastAsia"/>
                <w:color w:val="000000" w:themeColor="text1"/>
                <w14:textFill>
                  <w14:solidFill>
                    <w14:schemeClr w14:val="tx1"/>
                  </w14:solidFill>
                </w14:textFill>
              </w:rPr>
              <w:t>件三）和租赁合同（见</w:t>
            </w:r>
            <w:r>
              <w:rPr>
                <w:rFonts w:eastAsiaTheme="majorEastAsia"/>
                <w:color w:val="000000" w:themeColor="text1"/>
                <w14:textFill>
                  <w14:solidFill>
                    <w14:schemeClr w14:val="tx1"/>
                  </w14:solidFill>
                </w14:textFill>
              </w:rPr>
              <w:t>附</w:t>
            </w:r>
            <w:r>
              <w:rPr>
                <w:rFonts w:hint="eastAsia" w:eastAsiaTheme="majorEastAsia"/>
                <w:color w:val="000000" w:themeColor="text1"/>
                <w14:textFill>
                  <w14:solidFill>
                    <w14:schemeClr w14:val="tx1"/>
                  </w14:solidFill>
                </w14:textFill>
              </w:rPr>
              <w:t>件</w:t>
            </w:r>
            <w:r>
              <w:rPr>
                <w:rFonts w:eastAsiaTheme="majorEastAsia"/>
                <w:color w:val="000000" w:themeColor="text1"/>
                <w14:textFill>
                  <w14:solidFill>
                    <w14:schemeClr w14:val="tx1"/>
                  </w14:solidFill>
                </w14:textFill>
              </w:rPr>
              <w:t>四</w:t>
            </w:r>
            <w:r>
              <w:rPr>
                <w:rFonts w:hint="eastAsia" w:eastAsiaTheme="majorEastAsia"/>
                <w:color w:val="000000" w:themeColor="text1"/>
                <w14:textFill>
                  <w14:solidFill>
                    <w14:schemeClr w14:val="tx1"/>
                  </w14:solidFill>
                </w14:textFill>
              </w:rPr>
              <w:t>）。</w:t>
            </w:r>
          </w:p>
        </w:tc>
      </w:tr>
    </w:tbl>
    <w:p>
      <w:pPr>
        <w:pStyle w:val="10"/>
        <w:spacing w:line="520" w:lineRule="exact"/>
        <w:ind w:firstLine="3360" w:firstLineChars="1050"/>
        <w:rPr>
          <w:rFonts w:cs="微软雅黑" w:asciiTheme="minorEastAsia" w:hAnsiTheme="minorEastAsia" w:eastAsiaTheme="minorEastAsia"/>
          <w:color w:val="000000" w:themeColor="text1"/>
          <w:sz w:val="32"/>
          <w:szCs w:val="32"/>
          <w14:textFill>
            <w14:solidFill>
              <w14:schemeClr w14:val="tx1"/>
            </w14:solidFill>
          </w14:textFill>
        </w:rPr>
      </w:pPr>
    </w:p>
    <w:p>
      <w:pPr>
        <w:pStyle w:val="10"/>
        <w:spacing w:line="520" w:lineRule="exact"/>
        <w:ind w:firstLine="3360" w:firstLineChars="1050"/>
        <w:rPr>
          <w:rFonts w:cs="微软雅黑" w:asciiTheme="minorEastAsia" w:hAnsiTheme="minorEastAsia" w:eastAsiaTheme="minorEastAsia"/>
          <w:color w:val="000000" w:themeColor="text1"/>
          <w:sz w:val="32"/>
          <w:szCs w:val="32"/>
          <w14:textFill>
            <w14:solidFill>
              <w14:schemeClr w14:val="tx1"/>
            </w14:solidFill>
          </w14:textFill>
        </w:rPr>
      </w:pPr>
    </w:p>
    <w:p>
      <w:pPr>
        <w:pStyle w:val="10"/>
        <w:spacing w:line="520" w:lineRule="exact"/>
        <w:ind w:firstLine="3360" w:firstLineChars="1050"/>
        <w:rPr>
          <w:rFonts w:hint="eastAsia" w:cs="微软雅黑" w:asciiTheme="minorEastAsia" w:hAnsiTheme="minorEastAsia" w:eastAsiaTheme="minorEastAsia"/>
          <w:color w:val="000000" w:themeColor="text1"/>
          <w:sz w:val="32"/>
          <w:szCs w:val="32"/>
          <w14:textFill>
            <w14:solidFill>
              <w14:schemeClr w14:val="tx1"/>
            </w14:solidFill>
          </w14:textFill>
        </w:rPr>
      </w:pPr>
    </w:p>
    <w:p>
      <w:pPr>
        <w:pStyle w:val="10"/>
        <w:spacing w:line="520" w:lineRule="exact"/>
        <w:ind w:firstLine="3360" w:firstLineChars="1050"/>
        <w:rPr>
          <w:rFonts w:cs="微软雅黑" w:asciiTheme="minorEastAsia" w:hAnsiTheme="minorEastAsia" w:eastAsiaTheme="minorEastAsia"/>
          <w:color w:val="000000" w:themeColor="text1"/>
          <w:sz w:val="32"/>
          <w:szCs w:val="32"/>
          <w14:textFill>
            <w14:solidFill>
              <w14:schemeClr w14:val="tx1"/>
            </w14:solidFill>
          </w14:textFill>
        </w:rPr>
      </w:pPr>
      <w:r>
        <w:rPr>
          <w:rFonts w:hint="eastAsia" w:cs="微软雅黑" w:asciiTheme="minorEastAsia" w:hAnsiTheme="minorEastAsia" w:eastAsiaTheme="minorEastAsia"/>
          <w:color w:val="000000" w:themeColor="text1"/>
          <w:sz w:val="32"/>
          <w:szCs w:val="32"/>
          <w14:textFill>
            <w14:solidFill>
              <w14:schemeClr w14:val="tx1"/>
            </w14:solidFill>
          </w14:textFill>
        </w:rPr>
        <w:t>修改</w:t>
      </w:r>
      <w:r>
        <w:rPr>
          <w:rFonts w:cs="微软雅黑" w:asciiTheme="minorEastAsia" w:hAnsiTheme="minorEastAsia" w:eastAsiaTheme="minorEastAsia"/>
          <w:color w:val="000000" w:themeColor="text1"/>
          <w:sz w:val="32"/>
          <w:szCs w:val="32"/>
          <w14:textFill>
            <w14:solidFill>
              <w14:schemeClr w14:val="tx1"/>
            </w14:solidFill>
          </w14:textFill>
        </w:rPr>
        <w:t>说明</w:t>
      </w: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34" w:type="dxa"/>
          <w:left w:w="28" w:type="dxa"/>
          <w:bottom w:w="34" w:type="dxa"/>
          <w:right w:w="28" w:type="dxa"/>
        </w:tblCellMar>
      </w:tblPr>
      <w:tblGrid>
        <w:gridCol w:w="802"/>
        <w:gridCol w:w="3021"/>
        <w:gridCol w:w="1134"/>
        <w:gridCol w:w="33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02" w:type="dxa"/>
            <w:tcMar>
              <w:left w:w="57" w:type="dxa"/>
              <w:right w:w="57" w:type="dxa"/>
            </w:tcMar>
          </w:tcPr>
          <w:p>
            <w:pPr>
              <w:spacing w:line="460" w:lineRule="exact"/>
              <w:ind w:firstLine="105" w:firstLineChars="50"/>
              <w:jc w:val="center"/>
              <w:rPr>
                <w:rFonts w:eastAsiaTheme="majorEastAsia"/>
                <w:color w:val="000000" w:themeColor="text1"/>
                <w14:textFill>
                  <w14:solidFill>
                    <w14:schemeClr w14:val="tx1"/>
                  </w14:solidFill>
                </w14:textFill>
              </w:rPr>
            </w:pPr>
            <w:r>
              <w:rPr>
                <w:rFonts w:eastAsiaTheme="majorEastAsia"/>
                <w:color w:val="000000" w:themeColor="text1"/>
                <w14:textFill>
                  <w14:solidFill>
                    <w14:schemeClr w14:val="tx1"/>
                  </w14:solidFill>
                </w14:textFill>
              </w:rPr>
              <w:t>序号</w:t>
            </w:r>
          </w:p>
        </w:tc>
        <w:tc>
          <w:tcPr>
            <w:tcW w:w="3021" w:type="dxa"/>
            <w:tcMar>
              <w:left w:w="57" w:type="dxa"/>
              <w:right w:w="57" w:type="dxa"/>
            </w:tcMar>
          </w:tcPr>
          <w:p>
            <w:pPr>
              <w:spacing w:line="460" w:lineRule="exact"/>
              <w:jc w:val="center"/>
              <w:rPr>
                <w:rFonts w:eastAsiaTheme="majorEastAsia"/>
                <w:color w:val="000000" w:themeColor="text1"/>
                <w14:textFill>
                  <w14:solidFill>
                    <w14:schemeClr w14:val="tx1"/>
                  </w14:solidFill>
                </w14:textFill>
              </w:rPr>
            </w:pPr>
            <w:r>
              <w:rPr>
                <w:rFonts w:eastAsiaTheme="majorEastAsia"/>
                <w:color w:val="000000" w:themeColor="text1"/>
                <w14:textFill>
                  <w14:solidFill>
                    <w14:schemeClr w14:val="tx1"/>
                  </w14:solidFill>
                </w14:textFill>
              </w:rPr>
              <w:t>审查意见</w:t>
            </w:r>
          </w:p>
        </w:tc>
        <w:tc>
          <w:tcPr>
            <w:tcW w:w="1134" w:type="dxa"/>
            <w:tcMar>
              <w:left w:w="57" w:type="dxa"/>
              <w:right w:w="57" w:type="dxa"/>
            </w:tcMar>
          </w:tcPr>
          <w:p>
            <w:pPr>
              <w:spacing w:line="460" w:lineRule="exact"/>
              <w:jc w:val="center"/>
              <w:rPr>
                <w:rFonts w:eastAsiaTheme="majorEastAsia"/>
                <w:color w:val="000000" w:themeColor="text1"/>
                <w14:textFill>
                  <w14:solidFill>
                    <w14:schemeClr w14:val="tx1"/>
                  </w14:solidFill>
                </w14:textFill>
              </w:rPr>
            </w:pPr>
            <w:r>
              <w:rPr>
                <w:rFonts w:hint="eastAsia" w:eastAsiaTheme="majorEastAsia"/>
                <w:color w:val="000000" w:themeColor="text1"/>
                <w14:textFill>
                  <w14:solidFill>
                    <w14:schemeClr w14:val="tx1"/>
                  </w14:solidFill>
                </w14:textFill>
              </w:rPr>
              <w:t>修改</w:t>
            </w:r>
            <w:r>
              <w:rPr>
                <w:rFonts w:eastAsiaTheme="majorEastAsia"/>
                <w:color w:val="000000" w:themeColor="text1"/>
                <w14:textFill>
                  <w14:solidFill>
                    <w14:schemeClr w14:val="tx1"/>
                  </w14:solidFill>
                </w14:textFill>
              </w:rPr>
              <w:t>情况</w:t>
            </w:r>
          </w:p>
        </w:tc>
        <w:tc>
          <w:tcPr>
            <w:tcW w:w="3339" w:type="dxa"/>
            <w:tcMar>
              <w:left w:w="57" w:type="dxa"/>
              <w:right w:w="57" w:type="dxa"/>
            </w:tcMar>
          </w:tcPr>
          <w:p>
            <w:pPr>
              <w:spacing w:line="460" w:lineRule="exact"/>
              <w:ind w:firstLine="480"/>
              <w:jc w:val="center"/>
              <w:rPr>
                <w:rFonts w:eastAsiaTheme="majorEastAsia"/>
                <w:color w:val="000000" w:themeColor="text1"/>
                <w14:textFill>
                  <w14:solidFill>
                    <w14:schemeClr w14:val="tx1"/>
                  </w14:solidFill>
                </w14:textFill>
              </w:rPr>
            </w:pPr>
            <w:r>
              <w:rPr>
                <w:rFonts w:eastAsiaTheme="majorEastAsia"/>
                <w:color w:val="000000" w:themeColor="text1"/>
                <w14:textFill>
                  <w14:solidFill>
                    <w14:schemeClr w14:val="tx1"/>
                  </w14:solidFill>
                </w14:textFill>
              </w:rPr>
              <w:t>索引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4" w:type="dxa"/>
            <w:left w:w="28" w:type="dxa"/>
            <w:bottom w:w="34" w:type="dxa"/>
            <w:right w:w="28" w:type="dxa"/>
          </w:tblCellMar>
        </w:tblPrEx>
        <w:tc>
          <w:tcPr>
            <w:tcW w:w="802" w:type="dxa"/>
            <w:tcMar>
              <w:left w:w="57" w:type="dxa"/>
              <w:right w:w="57" w:type="dxa"/>
            </w:tcMar>
            <w:vAlign w:val="center"/>
          </w:tcPr>
          <w:p>
            <w:pPr>
              <w:spacing w:line="460" w:lineRule="exact"/>
              <w:jc w:val="center"/>
              <w:rPr>
                <w:rFonts w:eastAsiaTheme="majorEastAsia"/>
                <w:color w:val="000000" w:themeColor="text1"/>
                <w14:textFill>
                  <w14:solidFill>
                    <w14:schemeClr w14:val="tx1"/>
                  </w14:solidFill>
                </w14:textFill>
              </w:rPr>
            </w:pPr>
            <w:r>
              <w:rPr>
                <w:rFonts w:eastAsiaTheme="majorEastAsia"/>
                <w:color w:val="000000" w:themeColor="text1"/>
                <w14:textFill>
                  <w14:solidFill>
                    <w14:schemeClr w14:val="tx1"/>
                  </w14:solidFill>
                </w14:textFill>
              </w:rPr>
              <w:t>1</w:t>
            </w:r>
          </w:p>
        </w:tc>
        <w:tc>
          <w:tcPr>
            <w:tcW w:w="3021" w:type="dxa"/>
            <w:tcMar>
              <w:left w:w="57" w:type="dxa"/>
              <w:right w:w="57" w:type="dxa"/>
            </w:tcMar>
            <w:vAlign w:val="center"/>
          </w:tcPr>
          <w:p>
            <w:pPr>
              <w:spacing w:line="460" w:lineRule="exact"/>
              <w:jc w:val="left"/>
              <w:rPr>
                <w:rFonts w:eastAsiaTheme="majorEastAsia"/>
                <w:color w:val="000000" w:themeColor="text1"/>
                <w14:textFill>
                  <w14:solidFill>
                    <w14:schemeClr w14:val="tx1"/>
                  </w14:solidFill>
                </w14:textFill>
              </w:rPr>
            </w:pPr>
            <w:r>
              <w:rPr>
                <w:rFonts w:hint="eastAsia" w:eastAsiaTheme="majorEastAsia"/>
                <w:color w:val="000000" w:themeColor="text1"/>
                <w14:textFill>
                  <w14:solidFill>
                    <w14:schemeClr w14:val="tx1"/>
                  </w14:solidFill>
                </w14:textFill>
              </w:rPr>
              <w:t>进一步</w:t>
            </w:r>
            <w:r>
              <w:rPr>
                <w:rFonts w:eastAsiaTheme="majorEastAsia"/>
                <w:color w:val="000000" w:themeColor="text1"/>
                <w14:textFill>
                  <w14:solidFill>
                    <w14:schemeClr w14:val="tx1"/>
                  </w14:solidFill>
                </w14:textFill>
              </w:rPr>
              <w:t>完善环境现状调查与周边敏感点分析。</w:t>
            </w:r>
          </w:p>
        </w:tc>
        <w:tc>
          <w:tcPr>
            <w:tcW w:w="1134" w:type="dxa"/>
            <w:tcMar>
              <w:left w:w="57" w:type="dxa"/>
              <w:right w:w="57" w:type="dxa"/>
            </w:tcMar>
            <w:vAlign w:val="center"/>
          </w:tcPr>
          <w:p>
            <w:pPr>
              <w:spacing w:line="460" w:lineRule="exact"/>
              <w:jc w:val="center"/>
              <w:rPr>
                <w:rFonts w:eastAsiaTheme="majorEastAsia"/>
                <w:color w:val="000000" w:themeColor="text1"/>
                <w14:textFill>
                  <w14:solidFill>
                    <w14:schemeClr w14:val="tx1"/>
                  </w14:solidFill>
                </w14:textFill>
              </w:rPr>
            </w:pPr>
            <w:r>
              <w:rPr>
                <w:rFonts w:hint="eastAsia" w:eastAsiaTheme="majorEastAsia"/>
                <w:color w:val="000000" w:themeColor="text1"/>
                <w14:textFill>
                  <w14:solidFill>
                    <w14:schemeClr w14:val="tx1"/>
                  </w14:solidFill>
                </w14:textFill>
              </w:rPr>
              <w:t>已修改</w:t>
            </w:r>
          </w:p>
        </w:tc>
        <w:tc>
          <w:tcPr>
            <w:tcW w:w="3339" w:type="dxa"/>
            <w:tcMar>
              <w:left w:w="57" w:type="dxa"/>
              <w:right w:w="57" w:type="dxa"/>
            </w:tcMar>
          </w:tcPr>
          <w:p>
            <w:pPr>
              <w:spacing w:line="460" w:lineRule="exact"/>
              <w:rPr>
                <w:rFonts w:eastAsiaTheme="majorEastAsia"/>
                <w:color w:val="000000" w:themeColor="text1"/>
                <w14:textFill>
                  <w14:solidFill>
                    <w14:schemeClr w14:val="tx1"/>
                  </w14:solidFill>
                </w14:textFill>
              </w:rPr>
            </w:pPr>
            <w:r>
              <w:rPr>
                <w:rFonts w:hint="eastAsia" w:eastAsiaTheme="majorEastAsia"/>
                <w:color w:val="000000" w:themeColor="text1"/>
                <w14:textFill>
                  <w14:solidFill>
                    <w14:schemeClr w14:val="tx1"/>
                  </w14:solidFill>
                </w14:textFill>
              </w:rPr>
              <w:t>详见P</w:t>
            </w:r>
            <w:r>
              <w:rPr>
                <w:rFonts w:eastAsiaTheme="majorEastAsia"/>
                <w:color w:val="000000" w:themeColor="text1"/>
                <w14:textFill>
                  <w14:solidFill>
                    <w14:schemeClr w14:val="tx1"/>
                  </w14:solidFill>
                </w14:textFill>
              </w:rPr>
              <w:t>31</w:t>
            </w:r>
            <w:r>
              <w:rPr>
                <w:rFonts w:hint="eastAsia" w:eastAsiaTheme="majorEastAsia"/>
                <w:color w:val="000000" w:themeColor="text1"/>
                <w14:textFill>
                  <w14:solidFill>
                    <w14:schemeClr w14:val="tx1"/>
                  </w14:solidFill>
                </w14:textFill>
              </w:rPr>
              <w:t>下划线</w:t>
            </w:r>
            <w:r>
              <w:rPr>
                <w:rFonts w:eastAsiaTheme="majorEastAsia"/>
                <w:color w:val="000000" w:themeColor="text1"/>
                <w14:textFill>
                  <w14:solidFill>
                    <w14:schemeClr w14:val="tx1"/>
                  </w14:solidFill>
                </w14:textFill>
              </w:rPr>
              <w:t>黑体部分</w:t>
            </w:r>
            <w:r>
              <w:rPr>
                <w:rFonts w:hint="eastAsia" w:eastAsiaTheme="majorEastAsia"/>
                <w:color w:val="000000" w:themeColor="text1"/>
                <w14:textFill>
                  <w14:solidFill>
                    <w14:schemeClr w14:val="tx1"/>
                  </w14:solidFill>
                </w14:textFill>
              </w:rPr>
              <w:t>及</w:t>
            </w:r>
            <w:r>
              <w:rPr>
                <w:rFonts w:eastAsiaTheme="majorEastAsia"/>
                <w:color w:val="000000" w:themeColor="text1"/>
                <w14:textFill>
                  <w14:solidFill>
                    <w14:schemeClr w14:val="tx1"/>
                  </w14:solidFill>
                </w14:textFill>
              </w:rPr>
              <w:t>表18</w:t>
            </w:r>
            <w:r>
              <w:rPr>
                <w:rFonts w:hint="eastAsia" w:eastAsiaTheme="majorEastAsia"/>
                <w:color w:val="000000" w:themeColor="text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02" w:type="dxa"/>
            <w:tcMar>
              <w:left w:w="57" w:type="dxa"/>
              <w:right w:w="57" w:type="dxa"/>
            </w:tcMar>
            <w:vAlign w:val="center"/>
          </w:tcPr>
          <w:p>
            <w:pPr>
              <w:spacing w:line="460" w:lineRule="exact"/>
              <w:jc w:val="center"/>
              <w:rPr>
                <w:rFonts w:eastAsiaTheme="majorEastAsia"/>
                <w:color w:val="000000" w:themeColor="text1"/>
                <w14:textFill>
                  <w14:solidFill>
                    <w14:schemeClr w14:val="tx1"/>
                  </w14:solidFill>
                </w14:textFill>
              </w:rPr>
            </w:pPr>
            <w:r>
              <w:rPr>
                <w:rFonts w:eastAsiaTheme="majorEastAsia"/>
                <w:color w:val="000000" w:themeColor="text1"/>
                <w14:textFill>
                  <w14:solidFill>
                    <w14:schemeClr w14:val="tx1"/>
                  </w14:solidFill>
                </w14:textFill>
              </w:rPr>
              <w:t>2</w:t>
            </w:r>
          </w:p>
        </w:tc>
        <w:tc>
          <w:tcPr>
            <w:tcW w:w="3021" w:type="dxa"/>
            <w:tcMar>
              <w:left w:w="57" w:type="dxa"/>
              <w:right w:w="57" w:type="dxa"/>
            </w:tcMar>
            <w:vAlign w:val="center"/>
          </w:tcPr>
          <w:p>
            <w:pPr>
              <w:spacing w:line="460" w:lineRule="exact"/>
              <w:jc w:val="left"/>
              <w:rPr>
                <w:rFonts w:eastAsiaTheme="majorEastAsia"/>
                <w:color w:val="000000" w:themeColor="text1"/>
                <w14:textFill>
                  <w14:solidFill>
                    <w14:schemeClr w14:val="tx1"/>
                  </w14:solidFill>
                </w14:textFill>
              </w:rPr>
            </w:pPr>
            <w:r>
              <w:rPr>
                <w:rFonts w:hint="eastAsia" w:eastAsiaTheme="majorEastAsia"/>
                <w:color w:val="000000" w:themeColor="text1"/>
                <w14:textFill>
                  <w14:solidFill>
                    <w14:schemeClr w14:val="tx1"/>
                  </w14:solidFill>
                </w14:textFill>
              </w:rPr>
              <w:t>结合</w:t>
            </w:r>
            <w:r>
              <w:rPr>
                <w:rFonts w:eastAsiaTheme="majorEastAsia"/>
                <w:color w:val="000000" w:themeColor="text1"/>
                <w14:textFill>
                  <w14:solidFill>
                    <w14:schemeClr w14:val="tx1"/>
                  </w14:solidFill>
                </w14:textFill>
              </w:rPr>
              <w:t>环境攻坚战相关要求，强化施工期污染防治措施。</w:t>
            </w:r>
          </w:p>
        </w:tc>
        <w:tc>
          <w:tcPr>
            <w:tcW w:w="1134" w:type="dxa"/>
            <w:tcMar>
              <w:left w:w="57" w:type="dxa"/>
              <w:right w:w="57" w:type="dxa"/>
            </w:tcMar>
            <w:vAlign w:val="center"/>
          </w:tcPr>
          <w:p>
            <w:pPr>
              <w:spacing w:line="460" w:lineRule="exact"/>
              <w:jc w:val="center"/>
              <w:rPr>
                <w:rFonts w:eastAsiaTheme="majorEastAsia"/>
                <w:color w:val="000000" w:themeColor="text1"/>
                <w14:textFill>
                  <w14:solidFill>
                    <w14:schemeClr w14:val="tx1"/>
                  </w14:solidFill>
                </w14:textFill>
              </w:rPr>
            </w:pPr>
            <w:r>
              <w:rPr>
                <w:rFonts w:hint="eastAsia" w:eastAsiaTheme="majorEastAsia"/>
                <w:color w:val="000000" w:themeColor="text1"/>
                <w14:textFill>
                  <w14:solidFill>
                    <w14:schemeClr w14:val="tx1"/>
                  </w14:solidFill>
                </w14:textFill>
              </w:rPr>
              <w:t>已修改</w:t>
            </w:r>
          </w:p>
        </w:tc>
        <w:tc>
          <w:tcPr>
            <w:tcW w:w="3339" w:type="dxa"/>
            <w:tcMar>
              <w:left w:w="57" w:type="dxa"/>
              <w:right w:w="57" w:type="dxa"/>
            </w:tcMar>
          </w:tcPr>
          <w:p>
            <w:pPr>
              <w:spacing w:line="460" w:lineRule="exact"/>
              <w:rPr>
                <w:rFonts w:eastAsiaTheme="majorEastAsia"/>
                <w:color w:val="000000" w:themeColor="text1"/>
                <w14:textFill>
                  <w14:solidFill>
                    <w14:schemeClr w14:val="tx1"/>
                  </w14:solidFill>
                </w14:textFill>
              </w:rPr>
            </w:pPr>
            <w:r>
              <w:rPr>
                <w:rFonts w:hint="eastAsia" w:eastAsiaTheme="majorEastAsia"/>
                <w:color w:val="000000" w:themeColor="text1"/>
                <w14:textFill>
                  <w14:solidFill>
                    <w14:schemeClr w14:val="tx1"/>
                  </w14:solidFill>
                </w14:textFill>
              </w:rPr>
              <w:t>详见</w:t>
            </w:r>
            <w:r>
              <w:rPr>
                <w:rFonts w:eastAsiaTheme="majorEastAsia"/>
                <w:color w:val="000000" w:themeColor="text1"/>
                <w14:textFill>
                  <w14:solidFill>
                    <w14:schemeClr w14:val="tx1"/>
                  </w14:solidFill>
                </w14:textFill>
              </w:rPr>
              <w:t>P33-34</w:t>
            </w:r>
            <w:r>
              <w:rPr>
                <w:rFonts w:hint="eastAsia" w:eastAsiaTheme="majorEastAsia"/>
                <w:color w:val="000000" w:themeColor="text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4" w:type="dxa"/>
            <w:left w:w="28" w:type="dxa"/>
            <w:bottom w:w="34" w:type="dxa"/>
            <w:right w:w="28" w:type="dxa"/>
          </w:tblCellMar>
        </w:tblPrEx>
        <w:tc>
          <w:tcPr>
            <w:tcW w:w="802" w:type="dxa"/>
            <w:tcMar>
              <w:left w:w="57" w:type="dxa"/>
              <w:right w:w="57" w:type="dxa"/>
            </w:tcMar>
            <w:vAlign w:val="center"/>
          </w:tcPr>
          <w:p>
            <w:pPr>
              <w:spacing w:line="460" w:lineRule="exact"/>
              <w:jc w:val="center"/>
              <w:rPr>
                <w:rFonts w:eastAsiaTheme="majorEastAsia"/>
                <w:color w:val="000000" w:themeColor="text1"/>
                <w14:textFill>
                  <w14:solidFill>
                    <w14:schemeClr w14:val="tx1"/>
                  </w14:solidFill>
                </w14:textFill>
              </w:rPr>
            </w:pPr>
            <w:r>
              <w:rPr>
                <w:rFonts w:eastAsiaTheme="majorEastAsia"/>
                <w:color w:val="000000" w:themeColor="text1"/>
                <w14:textFill>
                  <w14:solidFill>
                    <w14:schemeClr w14:val="tx1"/>
                  </w14:solidFill>
                </w14:textFill>
              </w:rPr>
              <w:t>3</w:t>
            </w:r>
          </w:p>
        </w:tc>
        <w:tc>
          <w:tcPr>
            <w:tcW w:w="3021" w:type="dxa"/>
            <w:tcMar>
              <w:left w:w="57" w:type="dxa"/>
              <w:right w:w="57" w:type="dxa"/>
            </w:tcMar>
            <w:vAlign w:val="center"/>
          </w:tcPr>
          <w:p>
            <w:pPr>
              <w:spacing w:line="460" w:lineRule="exact"/>
              <w:jc w:val="left"/>
              <w:rPr>
                <w:rFonts w:eastAsiaTheme="majorEastAsia"/>
                <w:color w:val="000000" w:themeColor="text1"/>
                <w14:textFill>
                  <w14:solidFill>
                    <w14:schemeClr w14:val="tx1"/>
                  </w14:solidFill>
                </w14:textFill>
              </w:rPr>
            </w:pPr>
            <w:r>
              <w:rPr>
                <w:rFonts w:hint="eastAsia" w:eastAsiaTheme="majorEastAsia"/>
                <w:color w:val="000000" w:themeColor="text1"/>
                <w14:textFill>
                  <w14:solidFill>
                    <w14:schemeClr w14:val="tx1"/>
                  </w14:solidFill>
                </w14:textFill>
              </w:rPr>
              <w:t>根据</w:t>
            </w:r>
            <w:r>
              <w:rPr>
                <w:rFonts w:eastAsiaTheme="majorEastAsia"/>
                <w:color w:val="000000" w:themeColor="text1"/>
                <w14:textFill>
                  <w14:solidFill>
                    <w14:schemeClr w14:val="tx1"/>
                  </w14:solidFill>
                </w14:textFill>
              </w:rPr>
              <w:t>工程组成及工程分析内容，细化工艺流程及产污环节，校核</w:t>
            </w:r>
            <w:r>
              <w:rPr>
                <w:rFonts w:hint="eastAsia" w:eastAsiaTheme="majorEastAsia"/>
                <w:color w:val="000000" w:themeColor="text1"/>
                <w14:textFill>
                  <w14:solidFill>
                    <w14:schemeClr w14:val="tx1"/>
                  </w14:solidFill>
                </w14:textFill>
              </w:rPr>
              <w:t>源强</w:t>
            </w:r>
            <w:r>
              <w:rPr>
                <w:rFonts w:eastAsiaTheme="majorEastAsia"/>
                <w:color w:val="000000" w:themeColor="text1"/>
                <w14:textFill>
                  <w14:solidFill>
                    <w14:schemeClr w14:val="tx1"/>
                  </w14:solidFill>
                </w14:textFill>
              </w:rPr>
              <w:t>；核实风机风量，收集效率，进一步分析项目废气处理措施的可行性与可靠性；校核物料平衡和水平衡。核实</w:t>
            </w:r>
            <w:r>
              <w:rPr>
                <w:rFonts w:hint="eastAsia" w:eastAsiaTheme="majorEastAsia"/>
                <w:color w:val="000000" w:themeColor="text1"/>
                <w14:textFill>
                  <w14:solidFill>
                    <w14:schemeClr w14:val="tx1"/>
                  </w14:solidFill>
                </w14:textFill>
              </w:rPr>
              <w:t>固体废物</w:t>
            </w:r>
            <w:r>
              <w:rPr>
                <w:rFonts w:eastAsiaTheme="majorEastAsia"/>
                <w:color w:val="000000" w:themeColor="text1"/>
                <w14:textFill>
                  <w14:solidFill>
                    <w14:schemeClr w14:val="tx1"/>
                  </w14:solidFill>
                </w14:textFill>
              </w:rPr>
              <w:t>种类（</w:t>
            </w:r>
            <w:r>
              <w:rPr>
                <w:rFonts w:hint="eastAsia" w:eastAsiaTheme="majorEastAsia"/>
                <w:color w:val="000000" w:themeColor="text1"/>
                <w14:textFill>
                  <w14:solidFill>
                    <w14:schemeClr w14:val="tx1"/>
                  </w14:solidFill>
                </w14:textFill>
              </w:rPr>
              <w:t>含</w:t>
            </w:r>
            <w:r>
              <w:rPr>
                <w:rFonts w:eastAsiaTheme="majorEastAsia"/>
                <w:color w:val="000000" w:themeColor="text1"/>
                <w14:textFill>
                  <w14:solidFill>
                    <w14:schemeClr w14:val="tx1"/>
                  </w14:solidFill>
                </w14:textFill>
              </w:rPr>
              <w:t>危险废弃物）</w:t>
            </w:r>
            <w:r>
              <w:rPr>
                <w:rFonts w:hint="eastAsia" w:eastAsiaTheme="majorEastAsia"/>
                <w:color w:val="000000" w:themeColor="text1"/>
                <w14:textFill>
                  <w14:solidFill>
                    <w14:schemeClr w14:val="tx1"/>
                  </w14:solidFill>
                </w14:textFill>
              </w:rPr>
              <w:t>、</w:t>
            </w:r>
            <w:r>
              <w:rPr>
                <w:rFonts w:eastAsiaTheme="majorEastAsia"/>
                <w:color w:val="000000" w:themeColor="text1"/>
                <w14:textFill>
                  <w14:solidFill>
                    <w14:schemeClr w14:val="tx1"/>
                  </w14:solidFill>
                </w14:textFill>
              </w:rPr>
              <w:t>产生量，明确固废运输、</w:t>
            </w:r>
            <w:r>
              <w:rPr>
                <w:rFonts w:hint="eastAsia" w:eastAsiaTheme="majorEastAsia"/>
                <w:color w:val="000000" w:themeColor="text1"/>
                <w14:textFill>
                  <w14:solidFill>
                    <w14:schemeClr w14:val="tx1"/>
                  </w14:solidFill>
                </w14:textFill>
              </w:rPr>
              <w:t>暂存</w:t>
            </w:r>
            <w:r>
              <w:rPr>
                <w:rFonts w:eastAsiaTheme="majorEastAsia"/>
                <w:color w:val="000000" w:themeColor="text1"/>
                <w14:textFill>
                  <w14:solidFill>
                    <w14:schemeClr w14:val="tx1"/>
                  </w14:solidFill>
                </w14:textFill>
              </w:rPr>
              <w:t>、合理处置方式。</w:t>
            </w:r>
          </w:p>
        </w:tc>
        <w:tc>
          <w:tcPr>
            <w:tcW w:w="1134" w:type="dxa"/>
            <w:tcMar>
              <w:left w:w="57" w:type="dxa"/>
              <w:right w:w="57" w:type="dxa"/>
            </w:tcMar>
            <w:vAlign w:val="center"/>
          </w:tcPr>
          <w:p>
            <w:pPr>
              <w:spacing w:line="460" w:lineRule="exact"/>
              <w:jc w:val="center"/>
              <w:rPr>
                <w:rFonts w:eastAsiaTheme="majorEastAsia"/>
                <w:color w:val="000000" w:themeColor="text1"/>
                <w14:textFill>
                  <w14:solidFill>
                    <w14:schemeClr w14:val="tx1"/>
                  </w14:solidFill>
                </w14:textFill>
              </w:rPr>
            </w:pPr>
            <w:r>
              <w:rPr>
                <w:rFonts w:hint="eastAsia" w:eastAsiaTheme="majorEastAsia"/>
                <w:color w:val="000000" w:themeColor="text1"/>
                <w14:textFill>
                  <w14:solidFill>
                    <w14:schemeClr w14:val="tx1"/>
                  </w14:solidFill>
                </w14:textFill>
              </w:rPr>
              <w:t>已修改</w:t>
            </w:r>
          </w:p>
        </w:tc>
        <w:tc>
          <w:tcPr>
            <w:tcW w:w="3339" w:type="dxa"/>
            <w:tcMar>
              <w:left w:w="57" w:type="dxa"/>
              <w:right w:w="57" w:type="dxa"/>
            </w:tcMar>
          </w:tcPr>
          <w:p>
            <w:pPr>
              <w:pStyle w:val="6"/>
              <w:spacing w:line="460" w:lineRule="exact"/>
              <w:ind w:firstLine="0"/>
              <w:rPr>
                <w:rFonts w:eastAsiaTheme="majorEastAsia"/>
                <w:color w:val="000000" w:themeColor="text1"/>
                <w14:textFill>
                  <w14:solidFill>
                    <w14:schemeClr w14:val="tx1"/>
                  </w14:solidFill>
                </w14:textFill>
              </w:rPr>
            </w:pPr>
            <w:r>
              <w:rPr>
                <w:rFonts w:hint="eastAsia" w:eastAsiaTheme="majorEastAsia"/>
                <w:color w:val="000000" w:themeColor="text1"/>
                <w14:textFill>
                  <w14:solidFill>
                    <w14:schemeClr w14:val="tx1"/>
                  </w14:solidFill>
                </w14:textFill>
              </w:rPr>
              <w:t>已细化工艺流程和产污</w:t>
            </w:r>
            <w:r>
              <w:rPr>
                <w:rFonts w:eastAsiaTheme="majorEastAsia"/>
                <w:color w:val="000000" w:themeColor="text1"/>
                <w14:textFill>
                  <w14:solidFill>
                    <w14:schemeClr w14:val="tx1"/>
                  </w14:solidFill>
                </w14:textFill>
              </w:rPr>
              <w:t>环节</w:t>
            </w:r>
            <w:r>
              <w:rPr>
                <w:rFonts w:hint="eastAsia" w:eastAsiaTheme="majorEastAsia"/>
                <w:color w:val="000000" w:themeColor="text1"/>
                <w14:textFill>
                  <w14:solidFill>
                    <w14:schemeClr w14:val="tx1"/>
                  </w14:solidFill>
                </w14:textFill>
              </w:rPr>
              <w:t>，</w:t>
            </w:r>
            <w:r>
              <w:rPr>
                <w:rFonts w:eastAsiaTheme="majorEastAsia"/>
                <w:color w:val="000000" w:themeColor="text1"/>
                <w14:textFill>
                  <w14:solidFill>
                    <w14:schemeClr w14:val="tx1"/>
                  </w14:solidFill>
                </w14:textFill>
              </w:rPr>
              <w:t>详见</w:t>
            </w:r>
            <w:r>
              <w:rPr>
                <w:rFonts w:hint="eastAsia" w:eastAsiaTheme="majorEastAsia"/>
                <w:color w:val="000000" w:themeColor="text1"/>
                <w14:textFill>
                  <w14:solidFill>
                    <w14:schemeClr w14:val="tx1"/>
                  </w14:solidFill>
                </w14:textFill>
              </w:rPr>
              <w:t>P</w:t>
            </w:r>
            <w:r>
              <w:rPr>
                <w:rFonts w:eastAsiaTheme="majorEastAsia"/>
                <w:color w:val="000000" w:themeColor="text1"/>
                <w14:textFill>
                  <w14:solidFill>
                    <w14:schemeClr w14:val="tx1"/>
                  </w14:solidFill>
                </w14:textFill>
              </w:rPr>
              <w:t>26</w:t>
            </w:r>
            <w:r>
              <w:rPr>
                <w:rFonts w:hint="eastAsia" w:eastAsiaTheme="majorEastAsia"/>
                <w:color w:val="000000" w:themeColor="text1"/>
                <w14:textFill>
                  <w14:solidFill>
                    <w14:schemeClr w14:val="tx1"/>
                  </w14:solidFill>
                </w14:textFill>
              </w:rPr>
              <w:t>-</w:t>
            </w:r>
            <w:r>
              <w:rPr>
                <w:rFonts w:eastAsiaTheme="majorEastAsia"/>
                <w:color w:val="000000" w:themeColor="text1"/>
                <w14:textFill>
                  <w14:solidFill>
                    <w14:schemeClr w14:val="tx1"/>
                  </w14:solidFill>
                </w14:textFill>
              </w:rPr>
              <w:t>27</w:t>
            </w:r>
            <w:r>
              <w:rPr>
                <w:rFonts w:hint="eastAsia" w:eastAsiaTheme="majorEastAsia"/>
                <w:color w:val="000000" w:themeColor="text1"/>
                <w14:textFill>
                  <w14:solidFill>
                    <w14:schemeClr w14:val="tx1"/>
                  </w14:solidFill>
                </w14:textFill>
              </w:rPr>
              <w:t>，已</w:t>
            </w:r>
            <w:r>
              <w:rPr>
                <w:rFonts w:eastAsiaTheme="majorEastAsia"/>
                <w:color w:val="000000" w:themeColor="text1"/>
                <w14:textFill>
                  <w14:solidFill>
                    <w14:schemeClr w14:val="tx1"/>
                  </w14:solidFill>
                </w14:textFill>
              </w:rPr>
              <w:t>校核</w:t>
            </w:r>
            <w:r>
              <w:rPr>
                <w:rFonts w:hint="eastAsia" w:eastAsiaTheme="majorEastAsia"/>
                <w:color w:val="000000" w:themeColor="text1"/>
                <w14:textFill>
                  <w14:solidFill>
                    <w14:schemeClr w14:val="tx1"/>
                  </w14:solidFill>
                </w14:textFill>
              </w:rPr>
              <w:t>产污</w:t>
            </w:r>
            <w:r>
              <w:rPr>
                <w:rFonts w:eastAsiaTheme="majorEastAsia"/>
                <w:color w:val="000000" w:themeColor="text1"/>
                <w14:textFill>
                  <w14:solidFill>
                    <w14:schemeClr w14:val="tx1"/>
                  </w14:solidFill>
                </w14:textFill>
              </w:rPr>
              <w:t>源强</w:t>
            </w:r>
            <w:r>
              <w:rPr>
                <w:rFonts w:hint="eastAsia" w:eastAsiaTheme="majorEastAsia"/>
                <w:color w:val="000000" w:themeColor="text1"/>
                <w14:textFill>
                  <w14:solidFill>
                    <w14:schemeClr w14:val="tx1"/>
                  </w14:solidFill>
                </w14:textFill>
              </w:rPr>
              <w:t>、</w:t>
            </w:r>
            <w:r>
              <w:rPr>
                <w:rFonts w:eastAsiaTheme="majorEastAsia"/>
                <w:color w:val="000000" w:themeColor="text1"/>
                <w14:textFill>
                  <w14:solidFill>
                    <w14:schemeClr w14:val="tx1"/>
                  </w14:solidFill>
                </w14:textFill>
              </w:rPr>
              <w:t>核实风机风量</w:t>
            </w:r>
            <w:r>
              <w:rPr>
                <w:rFonts w:hint="eastAsia" w:eastAsiaTheme="majorEastAsia"/>
                <w:color w:val="000000" w:themeColor="text1"/>
                <w14:textFill>
                  <w14:solidFill>
                    <w14:schemeClr w14:val="tx1"/>
                  </w14:solidFill>
                </w14:textFill>
              </w:rPr>
              <w:t>、集气罩</w:t>
            </w:r>
            <w:r>
              <w:rPr>
                <w:rFonts w:eastAsiaTheme="majorEastAsia"/>
                <w:color w:val="000000" w:themeColor="text1"/>
                <w14:textFill>
                  <w14:solidFill>
                    <w14:schemeClr w14:val="tx1"/>
                  </w14:solidFill>
                </w14:textFill>
              </w:rPr>
              <w:t>收集效率，详见P36-40</w:t>
            </w:r>
            <w:r>
              <w:rPr>
                <w:rFonts w:hint="eastAsia" w:eastAsiaTheme="majorEastAsia"/>
                <w:color w:val="000000" w:themeColor="text1"/>
                <w14:textFill>
                  <w14:solidFill>
                    <w14:schemeClr w14:val="tx1"/>
                  </w14:solidFill>
                </w14:textFill>
              </w:rPr>
              <w:t>；</w:t>
            </w:r>
          </w:p>
          <w:p>
            <w:pPr>
              <w:pStyle w:val="6"/>
              <w:spacing w:line="460" w:lineRule="exact"/>
              <w:ind w:firstLine="0"/>
              <w:rPr>
                <w:rFonts w:eastAsiaTheme="majorEastAsia"/>
                <w:color w:val="000000" w:themeColor="text1"/>
                <w14:textFill>
                  <w14:solidFill>
                    <w14:schemeClr w14:val="tx1"/>
                  </w14:solidFill>
                </w14:textFill>
              </w:rPr>
            </w:pPr>
            <w:r>
              <w:rPr>
                <w:rFonts w:hint="eastAsia" w:eastAsiaTheme="majorEastAsia"/>
                <w:color w:val="000000" w:themeColor="text1"/>
                <w14:textFill>
                  <w14:solidFill>
                    <w14:schemeClr w14:val="tx1"/>
                  </w14:solidFill>
                </w14:textFill>
              </w:rPr>
              <w:t>已</w:t>
            </w:r>
            <w:r>
              <w:rPr>
                <w:rFonts w:eastAsiaTheme="majorEastAsia"/>
                <w:color w:val="000000" w:themeColor="text1"/>
                <w14:textFill>
                  <w14:solidFill>
                    <w14:schemeClr w14:val="tx1"/>
                  </w14:solidFill>
                </w14:textFill>
              </w:rPr>
              <w:t>分析废气处理设施的可行性及可靠性，</w:t>
            </w:r>
            <w:r>
              <w:rPr>
                <w:rFonts w:hint="eastAsia" w:eastAsiaTheme="majorEastAsia"/>
                <w:color w:val="000000" w:themeColor="text1"/>
                <w14:textFill>
                  <w14:solidFill>
                    <w14:schemeClr w14:val="tx1"/>
                  </w14:solidFill>
                </w14:textFill>
              </w:rPr>
              <w:t>见</w:t>
            </w:r>
            <w:r>
              <w:rPr>
                <w:rFonts w:eastAsiaTheme="majorEastAsia"/>
                <w:color w:val="000000" w:themeColor="text1"/>
                <w14:textFill>
                  <w14:solidFill>
                    <w14:schemeClr w14:val="tx1"/>
                  </w14:solidFill>
                </w14:textFill>
              </w:rPr>
              <w:t>P46-47；</w:t>
            </w:r>
          </w:p>
          <w:p>
            <w:pPr>
              <w:pStyle w:val="6"/>
              <w:spacing w:line="460" w:lineRule="exact"/>
              <w:ind w:firstLine="0"/>
              <w:rPr>
                <w:rFonts w:eastAsiaTheme="majorEastAsia"/>
                <w:color w:val="000000" w:themeColor="text1"/>
                <w14:textFill>
                  <w14:solidFill>
                    <w14:schemeClr w14:val="tx1"/>
                  </w14:solidFill>
                </w14:textFill>
              </w:rPr>
            </w:pPr>
            <w:r>
              <w:rPr>
                <w:rFonts w:hint="eastAsia" w:eastAsiaTheme="majorEastAsia"/>
                <w:color w:val="000000" w:themeColor="text1"/>
                <w14:textFill>
                  <w14:solidFill>
                    <w14:schemeClr w14:val="tx1"/>
                  </w14:solidFill>
                </w14:textFill>
              </w:rPr>
              <w:t>已校核</w:t>
            </w:r>
            <w:r>
              <w:rPr>
                <w:rFonts w:eastAsiaTheme="majorEastAsia"/>
                <w:color w:val="000000" w:themeColor="text1"/>
                <w14:textFill>
                  <w14:solidFill>
                    <w14:schemeClr w14:val="tx1"/>
                  </w14:solidFill>
                </w14:textFill>
              </w:rPr>
              <w:t>物料平衡见P41</w:t>
            </w:r>
            <w:r>
              <w:rPr>
                <w:rFonts w:hint="eastAsia" w:eastAsiaTheme="majorEastAsia"/>
                <w:color w:val="000000" w:themeColor="text1"/>
                <w14:textFill>
                  <w14:solidFill>
                    <w14:schemeClr w14:val="tx1"/>
                  </w14:solidFill>
                </w14:textFill>
              </w:rPr>
              <w:t>图4，</w:t>
            </w:r>
            <w:r>
              <w:rPr>
                <w:rFonts w:eastAsiaTheme="majorEastAsia"/>
                <w:color w:val="000000" w:themeColor="text1"/>
                <w14:textFill>
                  <w14:solidFill>
                    <w14:schemeClr w14:val="tx1"/>
                  </w14:solidFill>
                </w14:textFill>
              </w:rPr>
              <w:t>水平衡</w:t>
            </w:r>
            <w:r>
              <w:rPr>
                <w:rFonts w:hint="eastAsia" w:eastAsiaTheme="majorEastAsia"/>
                <w:color w:val="000000" w:themeColor="text1"/>
                <w14:textFill>
                  <w14:solidFill>
                    <w14:schemeClr w14:val="tx1"/>
                  </w14:solidFill>
                </w14:textFill>
              </w:rPr>
              <w:t>见P</w:t>
            </w:r>
            <w:r>
              <w:rPr>
                <w:rFonts w:eastAsiaTheme="majorEastAsia"/>
                <w:color w:val="000000" w:themeColor="text1"/>
                <w14:textFill>
                  <w14:solidFill>
                    <w14:schemeClr w14:val="tx1"/>
                  </w14:solidFill>
                </w14:textFill>
              </w:rPr>
              <w:t>24</w:t>
            </w:r>
            <w:r>
              <w:rPr>
                <w:rFonts w:hint="eastAsia" w:eastAsiaTheme="majorEastAsia"/>
                <w:color w:val="000000" w:themeColor="text1"/>
                <w14:textFill>
                  <w14:solidFill>
                    <w14:schemeClr w14:val="tx1"/>
                  </w14:solidFill>
                </w14:textFill>
              </w:rPr>
              <w:t>图1；</w:t>
            </w:r>
          </w:p>
          <w:p>
            <w:pPr>
              <w:pStyle w:val="6"/>
              <w:spacing w:line="460" w:lineRule="exact"/>
              <w:ind w:firstLine="0"/>
              <w:rPr>
                <w:rFonts w:eastAsiaTheme="majorEastAsia"/>
                <w:color w:val="000000" w:themeColor="text1"/>
                <w14:textFill>
                  <w14:solidFill>
                    <w14:schemeClr w14:val="tx1"/>
                  </w14:solidFill>
                </w14:textFill>
              </w:rPr>
            </w:pPr>
            <w:r>
              <w:rPr>
                <w:rFonts w:hint="eastAsia" w:eastAsiaTheme="majorEastAsia"/>
                <w:color w:val="000000" w:themeColor="text1"/>
                <w14:textFill>
                  <w14:solidFill>
                    <w14:schemeClr w14:val="tx1"/>
                  </w14:solidFill>
                </w14:textFill>
              </w:rPr>
              <w:t>已</w:t>
            </w:r>
            <w:r>
              <w:rPr>
                <w:rFonts w:eastAsiaTheme="majorEastAsia"/>
                <w:color w:val="000000" w:themeColor="text1"/>
                <w14:textFill>
                  <w14:solidFill>
                    <w14:schemeClr w14:val="tx1"/>
                  </w14:solidFill>
                </w14:textFill>
              </w:rPr>
              <w:t>核实</w:t>
            </w:r>
            <w:r>
              <w:rPr>
                <w:rFonts w:hint="eastAsia" w:eastAsiaTheme="majorEastAsia"/>
                <w:color w:val="000000" w:themeColor="text1"/>
                <w14:textFill>
                  <w14:solidFill>
                    <w14:schemeClr w14:val="tx1"/>
                  </w14:solidFill>
                </w14:textFill>
              </w:rPr>
              <w:t>项目</w:t>
            </w:r>
            <w:r>
              <w:rPr>
                <w:rFonts w:eastAsiaTheme="majorEastAsia"/>
                <w:color w:val="000000" w:themeColor="text1"/>
                <w14:textFill>
                  <w14:solidFill>
                    <w14:schemeClr w14:val="tx1"/>
                  </w14:solidFill>
                </w14:textFill>
              </w:rPr>
              <w:t>固体废物种类及产生量</w:t>
            </w:r>
            <w:r>
              <w:rPr>
                <w:rFonts w:hint="eastAsia" w:eastAsiaTheme="majorEastAsia"/>
                <w:color w:val="000000" w:themeColor="text1"/>
                <w14:textFill>
                  <w14:solidFill>
                    <w14:schemeClr w14:val="tx1"/>
                  </w14:solidFill>
                </w14:textFill>
              </w:rPr>
              <w:t>，明确了</w:t>
            </w:r>
            <w:r>
              <w:rPr>
                <w:rFonts w:eastAsiaTheme="majorEastAsia"/>
                <w:color w:val="000000" w:themeColor="text1"/>
                <w14:textFill>
                  <w14:solidFill>
                    <w14:schemeClr w14:val="tx1"/>
                  </w14:solidFill>
                </w14:textFill>
              </w:rPr>
              <w:t>固废运输、</w:t>
            </w:r>
            <w:r>
              <w:rPr>
                <w:rFonts w:hint="eastAsia" w:eastAsiaTheme="majorEastAsia"/>
                <w:color w:val="000000" w:themeColor="text1"/>
                <w14:textFill>
                  <w14:solidFill>
                    <w14:schemeClr w14:val="tx1"/>
                  </w14:solidFill>
                </w14:textFill>
              </w:rPr>
              <w:t>暂存</w:t>
            </w:r>
            <w:r>
              <w:rPr>
                <w:rFonts w:eastAsiaTheme="majorEastAsia"/>
                <w:color w:val="000000" w:themeColor="text1"/>
                <w14:textFill>
                  <w14:solidFill>
                    <w14:schemeClr w14:val="tx1"/>
                  </w14:solidFill>
                </w14:textFill>
              </w:rPr>
              <w:t>、处置方式见P51-53</w:t>
            </w:r>
            <w:r>
              <w:rPr>
                <w:rFonts w:hint="eastAsia" w:eastAsiaTheme="majorEastAsia"/>
                <w:color w:val="000000" w:themeColor="text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4" w:type="dxa"/>
            <w:left w:w="28" w:type="dxa"/>
            <w:bottom w:w="34" w:type="dxa"/>
            <w:right w:w="28" w:type="dxa"/>
          </w:tblCellMar>
        </w:tblPrEx>
        <w:tc>
          <w:tcPr>
            <w:tcW w:w="802" w:type="dxa"/>
            <w:tcMar>
              <w:left w:w="57" w:type="dxa"/>
              <w:right w:w="57" w:type="dxa"/>
            </w:tcMar>
            <w:vAlign w:val="center"/>
          </w:tcPr>
          <w:p>
            <w:pPr>
              <w:spacing w:line="460" w:lineRule="exact"/>
              <w:jc w:val="center"/>
              <w:rPr>
                <w:rFonts w:eastAsiaTheme="majorEastAsia"/>
                <w:color w:val="000000" w:themeColor="text1"/>
                <w14:textFill>
                  <w14:solidFill>
                    <w14:schemeClr w14:val="tx1"/>
                  </w14:solidFill>
                </w14:textFill>
              </w:rPr>
            </w:pPr>
            <w:r>
              <w:rPr>
                <w:rFonts w:eastAsiaTheme="majorEastAsia"/>
                <w:color w:val="000000" w:themeColor="text1"/>
                <w14:textFill>
                  <w14:solidFill>
                    <w14:schemeClr w14:val="tx1"/>
                  </w14:solidFill>
                </w14:textFill>
              </w:rPr>
              <w:t>4</w:t>
            </w:r>
          </w:p>
        </w:tc>
        <w:tc>
          <w:tcPr>
            <w:tcW w:w="3021" w:type="dxa"/>
            <w:tcMar>
              <w:left w:w="57" w:type="dxa"/>
              <w:right w:w="57" w:type="dxa"/>
            </w:tcMar>
            <w:vAlign w:val="center"/>
          </w:tcPr>
          <w:p>
            <w:pPr>
              <w:spacing w:line="460" w:lineRule="exact"/>
              <w:jc w:val="left"/>
              <w:rPr>
                <w:rFonts w:cs="微软雅黑" w:asciiTheme="majorEastAsia" w:hAnsiTheme="majorEastAsia" w:eastAsiaTheme="majorEastAsia"/>
                <w:color w:val="000000" w:themeColor="text1"/>
                <w14:textFill>
                  <w14:solidFill>
                    <w14:schemeClr w14:val="tx1"/>
                  </w14:solidFill>
                </w14:textFill>
              </w:rPr>
            </w:pPr>
            <w:r>
              <w:rPr>
                <w:rFonts w:hint="eastAsia" w:cs="微软雅黑" w:asciiTheme="majorEastAsia" w:hAnsiTheme="majorEastAsia" w:eastAsiaTheme="majorEastAsia"/>
                <w:color w:val="000000" w:themeColor="text1"/>
                <w14:textFill>
                  <w14:solidFill>
                    <w14:schemeClr w14:val="tx1"/>
                  </w14:solidFill>
                </w14:textFill>
              </w:rPr>
              <w:t>完善</w:t>
            </w:r>
            <w:r>
              <w:rPr>
                <w:rFonts w:cs="微软雅黑" w:asciiTheme="majorEastAsia" w:hAnsiTheme="majorEastAsia" w:eastAsiaTheme="majorEastAsia"/>
                <w:color w:val="000000" w:themeColor="text1"/>
                <w14:textFill>
                  <w14:solidFill>
                    <w14:schemeClr w14:val="tx1"/>
                  </w14:solidFill>
                </w14:textFill>
              </w:rPr>
              <w:t>平面布置</w:t>
            </w:r>
            <w:r>
              <w:rPr>
                <w:rFonts w:hint="eastAsia" w:cs="微软雅黑" w:asciiTheme="majorEastAsia" w:hAnsiTheme="majorEastAsia" w:eastAsiaTheme="majorEastAsia"/>
                <w:color w:val="000000" w:themeColor="text1"/>
                <w14:textFill>
                  <w14:solidFill>
                    <w14:schemeClr w14:val="tx1"/>
                  </w14:solidFill>
                </w14:textFill>
              </w:rPr>
              <w:t>图</w:t>
            </w:r>
            <w:r>
              <w:rPr>
                <w:rFonts w:cs="微软雅黑" w:asciiTheme="majorEastAsia" w:hAnsiTheme="majorEastAsia" w:eastAsiaTheme="majorEastAsia"/>
                <w:color w:val="000000" w:themeColor="text1"/>
                <w14:textFill>
                  <w14:solidFill>
                    <w14:schemeClr w14:val="tx1"/>
                  </w14:solidFill>
                </w14:textFill>
              </w:rPr>
              <w:t>，明确</w:t>
            </w:r>
            <w:r>
              <w:rPr>
                <w:rFonts w:hint="eastAsia" w:cs="微软雅黑" w:asciiTheme="majorEastAsia" w:hAnsiTheme="majorEastAsia" w:eastAsiaTheme="majorEastAsia"/>
                <w:color w:val="000000" w:themeColor="text1"/>
                <w14:textFill>
                  <w14:solidFill>
                    <w14:schemeClr w14:val="tx1"/>
                  </w14:solidFill>
                </w14:textFill>
              </w:rPr>
              <w:t>各</w:t>
            </w:r>
            <w:r>
              <w:rPr>
                <w:rFonts w:cs="微软雅黑" w:asciiTheme="majorEastAsia" w:hAnsiTheme="majorEastAsia" w:eastAsiaTheme="majorEastAsia"/>
                <w:color w:val="000000" w:themeColor="text1"/>
                <w14:textFill>
                  <w14:solidFill>
                    <w14:schemeClr w14:val="tx1"/>
                  </w14:solidFill>
                </w14:textFill>
              </w:rPr>
              <w:t>主要</w:t>
            </w:r>
            <w:r>
              <w:rPr>
                <w:rFonts w:hint="eastAsia" w:cs="微软雅黑" w:asciiTheme="majorEastAsia" w:hAnsiTheme="majorEastAsia" w:eastAsiaTheme="majorEastAsia"/>
                <w:color w:val="000000" w:themeColor="text1"/>
                <w14:textFill>
                  <w14:solidFill>
                    <w14:schemeClr w14:val="tx1"/>
                  </w14:solidFill>
                </w14:textFill>
              </w:rPr>
              <w:t>设备、</w:t>
            </w:r>
            <w:r>
              <w:rPr>
                <w:rFonts w:cs="微软雅黑" w:asciiTheme="majorEastAsia" w:hAnsiTheme="majorEastAsia" w:eastAsiaTheme="majorEastAsia"/>
                <w:color w:val="000000" w:themeColor="text1"/>
                <w14:textFill>
                  <w14:solidFill>
                    <w14:schemeClr w14:val="tx1"/>
                  </w14:solidFill>
                </w14:textFill>
              </w:rPr>
              <w:t>环保设施布局位置</w:t>
            </w:r>
            <w:r>
              <w:rPr>
                <w:rFonts w:hint="eastAsia" w:cs="微软雅黑" w:asciiTheme="majorEastAsia" w:hAnsiTheme="majorEastAsia" w:eastAsiaTheme="majorEastAsia"/>
                <w:color w:val="000000" w:themeColor="text1"/>
                <w14:textFill>
                  <w14:solidFill>
                    <w14:schemeClr w14:val="tx1"/>
                  </w14:solidFill>
                </w14:textFill>
              </w:rPr>
              <w:t>；</w:t>
            </w:r>
            <w:r>
              <w:rPr>
                <w:rFonts w:cs="微软雅黑" w:asciiTheme="majorEastAsia" w:hAnsiTheme="majorEastAsia" w:eastAsiaTheme="majorEastAsia"/>
                <w:color w:val="000000" w:themeColor="text1"/>
                <w14:textFill>
                  <w14:solidFill>
                    <w14:schemeClr w14:val="tx1"/>
                  </w14:solidFill>
                </w14:textFill>
              </w:rPr>
              <w:t>校核项目环保投资一览表，完善环境保护措施监督检查清单内容，完善项目相关附图、附件。</w:t>
            </w:r>
          </w:p>
        </w:tc>
        <w:tc>
          <w:tcPr>
            <w:tcW w:w="1134" w:type="dxa"/>
            <w:tcMar>
              <w:left w:w="57" w:type="dxa"/>
              <w:right w:w="57" w:type="dxa"/>
            </w:tcMar>
            <w:vAlign w:val="center"/>
          </w:tcPr>
          <w:p>
            <w:pPr>
              <w:spacing w:line="460" w:lineRule="exact"/>
              <w:jc w:val="center"/>
              <w:rPr>
                <w:rFonts w:cs="微软雅黑" w:asciiTheme="majorEastAsia" w:hAnsiTheme="majorEastAsia" w:eastAsiaTheme="majorEastAsia"/>
                <w:color w:val="000000" w:themeColor="text1"/>
                <w14:textFill>
                  <w14:solidFill>
                    <w14:schemeClr w14:val="tx1"/>
                  </w14:solidFill>
                </w14:textFill>
              </w:rPr>
            </w:pPr>
            <w:r>
              <w:rPr>
                <w:rFonts w:hint="eastAsia" w:eastAsiaTheme="majorEastAsia"/>
                <w:color w:val="000000" w:themeColor="text1"/>
                <w14:textFill>
                  <w14:solidFill>
                    <w14:schemeClr w14:val="tx1"/>
                  </w14:solidFill>
                </w14:textFill>
              </w:rPr>
              <w:t>已修改</w:t>
            </w:r>
          </w:p>
        </w:tc>
        <w:tc>
          <w:tcPr>
            <w:tcW w:w="3339" w:type="dxa"/>
            <w:tcMar>
              <w:left w:w="57" w:type="dxa"/>
              <w:right w:w="57" w:type="dxa"/>
            </w:tcMar>
          </w:tcPr>
          <w:p>
            <w:pPr>
              <w:spacing w:line="460" w:lineRule="exact"/>
              <w:rPr>
                <w:rFonts w:eastAsiaTheme="majorEastAsia"/>
                <w:color w:val="000000" w:themeColor="text1"/>
                <w14:textFill>
                  <w14:solidFill>
                    <w14:schemeClr w14:val="tx1"/>
                  </w14:solidFill>
                </w14:textFill>
              </w:rPr>
            </w:pPr>
            <w:r>
              <w:rPr>
                <w:rFonts w:hint="eastAsia" w:eastAsiaTheme="majorEastAsia"/>
                <w:color w:val="000000" w:themeColor="text1"/>
                <w14:textFill>
                  <w14:solidFill>
                    <w14:schemeClr w14:val="tx1"/>
                  </w14:solidFill>
                </w14:textFill>
              </w:rPr>
              <w:t>已</w:t>
            </w:r>
            <w:r>
              <w:rPr>
                <w:rFonts w:eastAsiaTheme="majorEastAsia"/>
                <w:color w:val="000000" w:themeColor="text1"/>
                <w14:textFill>
                  <w14:solidFill>
                    <w14:schemeClr w14:val="tx1"/>
                  </w14:solidFill>
                </w14:textFill>
              </w:rPr>
              <w:t>校核环保投资一览表，详见</w:t>
            </w:r>
            <w:r>
              <w:rPr>
                <w:rFonts w:hint="eastAsia" w:eastAsiaTheme="majorEastAsia"/>
                <w:color w:val="000000" w:themeColor="text1"/>
                <w14:textFill>
                  <w14:solidFill>
                    <w14:schemeClr w14:val="tx1"/>
                  </w14:solidFill>
                </w14:textFill>
              </w:rPr>
              <w:t>P</w:t>
            </w:r>
            <w:r>
              <w:rPr>
                <w:rFonts w:eastAsiaTheme="majorEastAsia"/>
                <w:color w:val="000000" w:themeColor="text1"/>
                <w14:textFill>
                  <w14:solidFill>
                    <w14:schemeClr w14:val="tx1"/>
                  </w14:solidFill>
                </w14:textFill>
              </w:rPr>
              <w:t>55-56</w:t>
            </w:r>
            <w:r>
              <w:rPr>
                <w:rFonts w:hint="eastAsia" w:eastAsiaTheme="majorEastAsia"/>
                <w:color w:val="000000" w:themeColor="text1"/>
                <w14:textFill>
                  <w14:solidFill>
                    <w14:schemeClr w14:val="tx1"/>
                  </w14:solidFill>
                </w14:textFill>
              </w:rPr>
              <w:t>；已</w:t>
            </w:r>
            <w:r>
              <w:rPr>
                <w:rFonts w:eastAsiaTheme="majorEastAsia"/>
                <w:color w:val="000000" w:themeColor="text1"/>
                <w14:textFill>
                  <w14:solidFill>
                    <w14:schemeClr w14:val="tx1"/>
                  </w14:solidFill>
                </w14:textFill>
              </w:rPr>
              <w:t>完善环境保护措施监督检查清单内容</w:t>
            </w:r>
            <w:r>
              <w:rPr>
                <w:rFonts w:hint="eastAsia" w:eastAsiaTheme="majorEastAsia"/>
                <w:color w:val="000000" w:themeColor="text1"/>
                <w14:textFill>
                  <w14:solidFill>
                    <w14:schemeClr w14:val="tx1"/>
                  </w14:solidFill>
                </w14:textFill>
              </w:rPr>
              <w:t>，</w:t>
            </w:r>
            <w:r>
              <w:rPr>
                <w:rFonts w:eastAsiaTheme="majorEastAsia"/>
                <w:color w:val="000000" w:themeColor="text1"/>
                <w14:textFill>
                  <w14:solidFill>
                    <w14:schemeClr w14:val="tx1"/>
                  </w14:solidFill>
                </w14:textFill>
              </w:rPr>
              <w:t>见</w:t>
            </w:r>
            <w:r>
              <w:rPr>
                <w:rFonts w:hint="eastAsia" w:eastAsiaTheme="majorEastAsia"/>
                <w:color w:val="000000" w:themeColor="text1"/>
                <w14:textFill>
                  <w14:solidFill>
                    <w14:schemeClr w14:val="tx1"/>
                  </w14:solidFill>
                </w14:textFill>
              </w:rPr>
              <w:t>P</w:t>
            </w:r>
            <w:r>
              <w:rPr>
                <w:rFonts w:eastAsiaTheme="majorEastAsia"/>
                <w:color w:val="000000" w:themeColor="text1"/>
                <w14:textFill>
                  <w14:solidFill>
                    <w14:schemeClr w14:val="tx1"/>
                  </w14:solidFill>
                </w14:textFill>
              </w:rPr>
              <w:t>58</w:t>
            </w:r>
            <w:r>
              <w:rPr>
                <w:rFonts w:hint="eastAsia" w:eastAsiaTheme="majorEastAsia"/>
                <w:color w:val="000000" w:themeColor="text1"/>
                <w14:textFill>
                  <w14:solidFill>
                    <w14:schemeClr w14:val="tx1"/>
                  </w14:solidFill>
                </w14:textFill>
              </w:rPr>
              <w:t>；</w:t>
            </w:r>
          </w:p>
          <w:p>
            <w:pPr>
              <w:pStyle w:val="6"/>
              <w:ind w:firstLine="0"/>
            </w:pPr>
            <w:r>
              <w:rPr>
                <w:rFonts w:hint="eastAsia" w:eastAsiaTheme="majorEastAsia"/>
                <w:color w:val="000000" w:themeColor="text1"/>
                <w14:textFill>
                  <w14:solidFill>
                    <w14:schemeClr w14:val="tx1"/>
                  </w14:solidFill>
                </w14:textFill>
              </w:rPr>
              <w:t>已</w:t>
            </w:r>
            <w:r>
              <w:rPr>
                <w:rFonts w:eastAsiaTheme="majorEastAsia"/>
                <w:color w:val="000000" w:themeColor="text1"/>
                <w14:textFill>
                  <w14:solidFill>
                    <w14:schemeClr w14:val="tx1"/>
                  </w14:solidFill>
                </w14:textFill>
              </w:rPr>
              <w:t>完善</w:t>
            </w:r>
            <w:r>
              <w:rPr>
                <w:rFonts w:hint="eastAsia" w:eastAsiaTheme="majorEastAsia"/>
                <w:color w:val="000000" w:themeColor="text1"/>
                <w14:textFill>
                  <w14:solidFill>
                    <w14:schemeClr w14:val="tx1"/>
                  </w14:solidFill>
                </w14:textFill>
              </w:rPr>
              <w:t>环境保护目标示意图和</w:t>
            </w:r>
            <w:r>
              <w:rPr>
                <w:rFonts w:eastAsiaTheme="majorEastAsia"/>
                <w:color w:val="000000" w:themeColor="text1"/>
                <w14:textFill>
                  <w14:solidFill>
                    <w14:schemeClr w14:val="tx1"/>
                  </w14:solidFill>
                </w14:textFill>
              </w:rPr>
              <w:t>平面布置图，</w:t>
            </w:r>
            <w:r>
              <w:rPr>
                <w:rFonts w:hint="eastAsia" w:eastAsiaTheme="majorEastAsia"/>
                <w:color w:val="000000" w:themeColor="text1"/>
                <w14:textFill>
                  <w14:solidFill>
                    <w14:schemeClr w14:val="tx1"/>
                  </w14:solidFill>
                </w14:textFill>
              </w:rPr>
              <w:t>见</w:t>
            </w:r>
            <w:r>
              <w:rPr>
                <w:rFonts w:eastAsiaTheme="majorEastAsia"/>
                <w:color w:val="000000" w:themeColor="text1"/>
                <w14:textFill>
                  <w14:solidFill>
                    <w14:schemeClr w14:val="tx1"/>
                  </w14:solidFill>
                </w14:textFill>
              </w:rPr>
              <w:t>附图</w:t>
            </w:r>
            <w:r>
              <w:rPr>
                <w:rFonts w:hint="eastAsia" w:eastAsiaTheme="majorEastAsia"/>
                <w:color w:val="000000" w:themeColor="text1"/>
                <w14:textFill>
                  <w14:solidFill>
                    <w14:schemeClr w14:val="tx1"/>
                  </w14:solidFill>
                </w14:textFill>
              </w:rPr>
              <w:t>二及</w:t>
            </w:r>
            <w:r>
              <w:rPr>
                <w:rFonts w:eastAsiaTheme="majorEastAsia"/>
                <w:color w:val="000000" w:themeColor="text1"/>
                <w14:textFill>
                  <w14:solidFill>
                    <w14:schemeClr w14:val="tx1"/>
                  </w14:solidFill>
                </w14:textFill>
              </w:rPr>
              <w:t>附图</w:t>
            </w:r>
            <w:r>
              <w:rPr>
                <w:rFonts w:hint="eastAsia" w:eastAsiaTheme="majorEastAsia"/>
                <w:color w:val="000000" w:themeColor="text1"/>
                <w14:textFill>
                  <w14:solidFill>
                    <w14:schemeClr w14:val="tx1"/>
                  </w14:solidFill>
                </w14:textFill>
              </w:rPr>
              <w:t>六。</w:t>
            </w:r>
          </w:p>
        </w:tc>
      </w:tr>
    </w:tbl>
    <w:p>
      <w:pPr>
        <w:ind w:firstLine="480"/>
      </w:pPr>
    </w:p>
    <w:p>
      <w:pPr>
        <w:pStyle w:val="6"/>
        <w:ind w:firstLine="480"/>
      </w:pPr>
    </w:p>
    <w:p>
      <w:pPr>
        <w:pStyle w:val="18"/>
        <w:tabs>
          <w:tab w:val="left" w:pos="2196"/>
          <w:tab w:val="center" w:pos="4422"/>
        </w:tabs>
        <w:outlineLvl w:val="0"/>
        <w:rPr>
          <w:rFonts w:ascii="Times New Roman" w:hAnsi="Times New Roman"/>
          <w:b/>
          <w:bCs/>
          <w:snapToGrid w:val="0"/>
          <w:sz w:val="30"/>
          <w:szCs w:val="30"/>
        </w:rPr>
      </w:pPr>
      <w:r>
        <w:rPr>
          <w:rFonts w:ascii="Times New Roman" w:hAnsi="Times New Roman"/>
          <w:b/>
          <w:bCs/>
          <w:snapToGrid w:val="0"/>
          <w:sz w:val="30"/>
          <w:szCs w:val="30"/>
        </w:rPr>
        <w:br w:type="page"/>
      </w:r>
    </w:p>
    <w:p>
      <w:pPr>
        <w:pStyle w:val="18"/>
        <w:jc w:val="center"/>
        <w:outlineLvl w:val="0"/>
        <w:rPr>
          <w:rFonts w:ascii="Times New Roman" w:hAnsi="Times New Roman"/>
          <w:b/>
          <w:bCs/>
          <w:snapToGrid w:val="0"/>
          <w:sz w:val="30"/>
          <w:szCs w:val="30"/>
        </w:rPr>
      </w:pPr>
      <w:r>
        <w:rPr>
          <w:rFonts w:hint="eastAsia" w:ascii="Times New Roman" w:hAnsi="Times New Roman"/>
          <w:b/>
          <w:bCs/>
          <w:snapToGrid w:val="0"/>
          <w:sz w:val="30"/>
          <w:szCs w:val="30"/>
        </w:rPr>
        <w:t>一、建设项目基本情况</w:t>
      </w:r>
    </w:p>
    <w:tbl>
      <w:tblPr>
        <w:tblStyle w:val="22"/>
        <w:tblW w:w="887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856"/>
        <w:gridCol w:w="2163"/>
        <w:gridCol w:w="2072"/>
        <w:gridCol w:w="140"/>
        <w:gridCol w:w="263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1856" w:type="dxa"/>
            <w:tcMar>
              <w:top w:w="16" w:type="dxa"/>
              <w:left w:w="16" w:type="dxa"/>
              <w:right w:w="16" w:type="dxa"/>
            </w:tcMar>
            <w:vAlign w:val="center"/>
          </w:tcPr>
          <w:p>
            <w:pPr>
              <w:adjustRightInd w:val="0"/>
              <w:snapToGrid w:val="0"/>
              <w:spacing w:line="300" w:lineRule="exact"/>
              <w:jc w:val="center"/>
              <w:rPr>
                <w:rFonts w:cs="宋体"/>
                <w:sz w:val="24"/>
              </w:rPr>
            </w:pPr>
            <w:r>
              <w:rPr>
                <w:rFonts w:hint="eastAsia" w:cs="宋体"/>
                <w:sz w:val="24"/>
              </w:rPr>
              <w:t>建设项目名称</w:t>
            </w:r>
          </w:p>
        </w:tc>
        <w:tc>
          <w:tcPr>
            <w:tcW w:w="7014" w:type="dxa"/>
            <w:gridSpan w:val="4"/>
            <w:vAlign w:val="center"/>
          </w:tcPr>
          <w:p>
            <w:pPr>
              <w:adjustRightInd w:val="0"/>
              <w:snapToGrid w:val="0"/>
              <w:spacing w:line="300" w:lineRule="exact"/>
              <w:jc w:val="center"/>
              <w:rPr>
                <w:rFonts w:cs="宋体"/>
                <w:sz w:val="24"/>
              </w:rPr>
            </w:pPr>
            <w:r>
              <w:rPr>
                <w:rFonts w:hint="eastAsia" w:cs="宋体"/>
                <w:sz w:val="24"/>
              </w:rPr>
              <w:t>年产3万吨固废粉末罐装储存项目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1856" w:type="dxa"/>
            <w:tcMar>
              <w:top w:w="16" w:type="dxa"/>
              <w:left w:w="16" w:type="dxa"/>
              <w:right w:w="16" w:type="dxa"/>
            </w:tcMar>
            <w:vAlign w:val="center"/>
          </w:tcPr>
          <w:p>
            <w:pPr>
              <w:adjustRightInd w:val="0"/>
              <w:snapToGrid w:val="0"/>
              <w:spacing w:line="300" w:lineRule="exact"/>
              <w:jc w:val="center"/>
              <w:rPr>
                <w:rFonts w:cs="宋体"/>
                <w:sz w:val="24"/>
              </w:rPr>
            </w:pPr>
            <w:r>
              <w:rPr>
                <w:rFonts w:hint="eastAsia" w:cs="宋体"/>
                <w:sz w:val="24"/>
              </w:rPr>
              <w:t>项目代码</w:t>
            </w:r>
          </w:p>
        </w:tc>
        <w:tc>
          <w:tcPr>
            <w:tcW w:w="7014" w:type="dxa"/>
            <w:gridSpan w:val="4"/>
            <w:vAlign w:val="center"/>
          </w:tcPr>
          <w:p>
            <w:pPr>
              <w:adjustRightInd w:val="0"/>
              <w:snapToGrid w:val="0"/>
              <w:spacing w:line="300" w:lineRule="exact"/>
              <w:jc w:val="center"/>
              <w:rPr>
                <w:rFonts w:cs="宋体"/>
                <w:sz w:val="24"/>
              </w:rPr>
            </w:pPr>
            <w:r>
              <w:rPr>
                <w:rFonts w:hint="eastAsia" w:cs="宋体"/>
                <w:sz w:val="24"/>
              </w:rPr>
              <w:t>2112-410423-04-05-391147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1856" w:type="dxa"/>
            <w:tcMar>
              <w:top w:w="16" w:type="dxa"/>
              <w:left w:w="16" w:type="dxa"/>
              <w:right w:w="16" w:type="dxa"/>
            </w:tcMar>
            <w:vAlign w:val="center"/>
          </w:tcPr>
          <w:p>
            <w:pPr>
              <w:adjustRightInd w:val="0"/>
              <w:snapToGrid w:val="0"/>
              <w:spacing w:line="300" w:lineRule="exact"/>
              <w:jc w:val="center"/>
              <w:rPr>
                <w:rFonts w:cs="宋体"/>
                <w:sz w:val="24"/>
              </w:rPr>
            </w:pPr>
            <w:r>
              <w:rPr>
                <w:rFonts w:hint="eastAsia" w:cs="宋体"/>
                <w:sz w:val="24"/>
              </w:rPr>
              <w:t>建设单位联系人</w:t>
            </w:r>
          </w:p>
        </w:tc>
        <w:tc>
          <w:tcPr>
            <w:tcW w:w="2163" w:type="dxa"/>
            <w:vAlign w:val="center"/>
          </w:tcPr>
          <w:p>
            <w:pPr>
              <w:adjustRightInd w:val="0"/>
              <w:snapToGrid w:val="0"/>
              <w:spacing w:line="300" w:lineRule="exact"/>
              <w:jc w:val="center"/>
              <w:rPr>
                <w:rFonts w:cs="宋体"/>
                <w:sz w:val="24"/>
              </w:rPr>
            </w:pPr>
            <w:r>
              <w:rPr>
                <w:rFonts w:hint="eastAsia" w:cs="宋体"/>
                <w:sz w:val="24"/>
              </w:rPr>
              <w:t>宋国强</w:t>
            </w:r>
          </w:p>
        </w:tc>
        <w:tc>
          <w:tcPr>
            <w:tcW w:w="2212" w:type="dxa"/>
            <w:gridSpan w:val="2"/>
            <w:vAlign w:val="center"/>
          </w:tcPr>
          <w:p>
            <w:pPr>
              <w:adjustRightInd w:val="0"/>
              <w:snapToGrid w:val="0"/>
              <w:spacing w:line="300" w:lineRule="exact"/>
              <w:jc w:val="center"/>
              <w:rPr>
                <w:rFonts w:cs="宋体"/>
                <w:sz w:val="24"/>
              </w:rPr>
            </w:pPr>
            <w:r>
              <w:rPr>
                <w:rFonts w:hint="eastAsia" w:cs="宋体"/>
                <w:sz w:val="24"/>
              </w:rPr>
              <w:t>联系方式</w:t>
            </w:r>
          </w:p>
        </w:tc>
        <w:tc>
          <w:tcPr>
            <w:tcW w:w="2639" w:type="dxa"/>
            <w:vAlign w:val="center"/>
          </w:tcPr>
          <w:p>
            <w:pPr>
              <w:adjustRightInd w:val="0"/>
              <w:snapToGrid w:val="0"/>
              <w:spacing w:line="300" w:lineRule="exact"/>
              <w:jc w:val="center"/>
              <w:rPr>
                <w:rFonts w:cs="宋体"/>
                <w:sz w:val="24"/>
              </w:rPr>
            </w:pPr>
            <w:r>
              <w:rPr>
                <w:rFonts w:hint="eastAsia" w:cs="宋体"/>
                <w:sz w:val="24"/>
              </w:rPr>
              <w:t>13607625</w:t>
            </w:r>
            <w:r>
              <w:rPr>
                <w:rFonts w:cs="宋体"/>
                <w:sz w:val="24"/>
              </w:rPr>
              <w:t>122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1856" w:type="dxa"/>
            <w:tcMar>
              <w:top w:w="16" w:type="dxa"/>
              <w:left w:w="16" w:type="dxa"/>
              <w:right w:w="16" w:type="dxa"/>
            </w:tcMar>
            <w:vAlign w:val="center"/>
          </w:tcPr>
          <w:p>
            <w:pPr>
              <w:adjustRightInd w:val="0"/>
              <w:snapToGrid w:val="0"/>
              <w:spacing w:line="300" w:lineRule="exact"/>
              <w:jc w:val="center"/>
              <w:rPr>
                <w:rFonts w:cs="宋体"/>
                <w:sz w:val="24"/>
              </w:rPr>
            </w:pPr>
            <w:r>
              <w:rPr>
                <w:rFonts w:hint="eastAsia" w:cs="宋体"/>
                <w:sz w:val="24"/>
              </w:rPr>
              <w:t>建设地点</w:t>
            </w:r>
          </w:p>
        </w:tc>
        <w:tc>
          <w:tcPr>
            <w:tcW w:w="7014" w:type="dxa"/>
            <w:gridSpan w:val="4"/>
            <w:vAlign w:val="center"/>
          </w:tcPr>
          <w:p>
            <w:pPr>
              <w:adjustRightInd w:val="0"/>
              <w:snapToGrid w:val="0"/>
              <w:spacing w:line="300" w:lineRule="exact"/>
              <w:jc w:val="center"/>
              <w:rPr>
                <w:rFonts w:cs="宋体"/>
                <w:sz w:val="24"/>
              </w:rPr>
            </w:pPr>
            <w:r>
              <w:rPr>
                <w:rFonts w:hint="eastAsia" w:cs="宋体"/>
                <w:sz w:val="24"/>
                <w:u w:val="single"/>
              </w:rPr>
              <w:t>河南</w:t>
            </w:r>
            <w:r>
              <w:rPr>
                <w:rFonts w:hint="eastAsia" w:cs="宋体"/>
                <w:sz w:val="24"/>
              </w:rPr>
              <w:t>省</w:t>
            </w:r>
            <w:r>
              <w:rPr>
                <w:rFonts w:hint="eastAsia" w:cs="宋体"/>
                <w:sz w:val="24"/>
                <w:u w:val="single"/>
              </w:rPr>
              <w:t>平顶山</w:t>
            </w:r>
            <w:r>
              <w:rPr>
                <w:rFonts w:hint="eastAsia" w:cs="宋体"/>
                <w:sz w:val="24"/>
              </w:rPr>
              <w:t>市</w:t>
            </w:r>
            <w:r>
              <w:rPr>
                <w:rFonts w:hint="eastAsia" w:cs="宋体"/>
                <w:sz w:val="24"/>
                <w:u w:val="single"/>
              </w:rPr>
              <w:t>鲁山</w:t>
            </w:r>
            <w:r>
              <w:rPr>
                <w:rFonts w:hint="eastAsia" w:cs="宋体"/>
                <w:sz w:val="24"/>
              </w:rPr>
              <w:t>县</w:t>
            </w:r>
            <w:r>
              <w:rPr>
                <w:rFonts w:hint="eastAsia" w:cs="宋体"/>
                <w:sz w:val="24"/>
                <w:u w:val="single"/>
              </w:rPr>
              <w:t>辛集乡曲店村三组</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21" w:hRule="atLeast"/>
          <w:jc w:val="center"/>
        </w:trPr>
        <w:tc>
          <w:tcPr>
            <w:tcW w:w="1856" w:type="dxa"/>
            <w:tcMar>
              <w:top w:w="16" w:type="dxa"/>
              <w:left w:w="16" w:type="dxa"/>
              <w:right w:w="16" w:type="dxa"/>
            </w:tcMar>
            <w:vAlign w:val="center"/>
          </w:tcPr>
          <w:p>
            <w:pPr>
              <w:adjustRightInd w:val="0"/>
              <w:snapToGrid w:val="0"/>
              <w:spacing w:line="300" w:lineRule="exact"/>
              <w:jc w:val="center"/>
              <w:rPr>
                <w:rFonts w:cs="宋体"/>
                <w:sz w:val="24"/>
              </w:rPr>
            </w:pPr>
            <w:r>
              <w:rPr>
                <w:rFonts w:hint="eastAsia" w:cs="宋体"/>
                <w:sz w:val="24"/>
              </w:rPr>
              <w:t>地理坐标</w:t>
            </w:r>
          </w:p>
        </w:tc>
        <w:tc>
          <w:tcPr>
            <w:tcW w:w="7014" w:type="dxa"/>
            <w:gridSpan w:val="4"/>
            <w:vAlign w:val="center"/>
          </w:tcPr>
          <w:p>
            <w:pPr>
              <w:spacing w:line="300" w:lineRule="exact"/>
              <w:jc w:val="center"/>
              <w:rPr>
                <w:sz w:val="24"/>
              </w:rPr>
            </w:pPr>
            <w:r>
              <w:rPr>
                <w:rFonts w:hint="eastAsia"/>
                <w:sz w:val="24"/>
                <w:u w:val="single"/>
              </w:rPr>
              <w:t>112</w:t>
            </w:r>
            <w:r>
              <w:rPr>
                <w:rFonts w:hint="eastAsia"/>
                <w:sz w:val="24"/>
              </w:rPr>
              <w:t>度</w:t>
            </w:r>
            <w:r>
              <w:rPr>
                <w:sz w:val="24"/>
                <w:u w:val="single"/>
              </w:rPr>
              <w:t>57</w:t>
            </w:r>
            <w:r>
              <w:rPr>
                <w:rFonts w:hint="eastAsia"/>
                <w:sz w:val="24"/>
              </w:rPr>
              <w:t>分</w:t>
            </w:r>
            <w:r>
              <w:rPr>
                <w:sz w:val="24"/>
                <w:u w:val="single"/>
              </w:rPr>
              <w:t>53.472</w:t>
            </w:r>
            <w:r>
              <w:rPr>
                <w:rFonts w:hint="eastAsia"/>
                <w:sz w:val="24"/>
              </w:rPr>
              <w:t>秒，</w:t>
            </w:r>
            <w:r>
              <w:rPr>
                <w:rFonts w:hint="eastAsia"/>
                <w:sz w:val="24"/>
                <w:u w:val="single"/>
              </w:rPr>
              <w:t>33</w:t>
            </w:r>
            <w:r>
              <w:rPr>
                <w:rFonts w:hint="eastAsia"/>
                <w:sz w:val="24"/>
              </w:rPr>
              <w:t>度</w:t>
            </w:r>
            <w:r>
              <w:rPr>
                <w:rFonts w:hint="eastAsia"/>
                <w:sz w:val="24"/>
                <w:u w:val="single"/>
              </w:rPr>
              <w:t>4</w:t>
            </w:r>
            <w:r>
              <w:rPr>
                <w:sz w:val="24"/>
                <w:u w:val="single"/>
              </w:rPr>
              <w:t>5</w:t>
            </w:r>
            <w:r>
              <w:rPr>
                <w:rFonts w:hint="eastAsia"/>
                <w:sz w:val="24"/>
              </w:rPr>
              <w:t>分</w:t>
            </w:r>
            <w:r>
              <w:rPr>
                <w:sz w:val="24"/>
                <w:u w:val="single"/>
              </w:rPr>
              <w:t>51.145</w:t>
            </w:r>
            <w:r>
              <w:rPr>
                <w:rFonts w:hint="eastAsia"/>
                <w:sz w:val="24"/>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1856" w:type="dxa"/>
            <w:tcMar>
              <w:top w:w="16" w:type="dxa"/>
              <w:left w:w="16" w:type="dxa"/>
              <w:right w:w="16" w:type="dxa"/>
            </w:tcMar>
            <w:vAlign w:val="center"/>
          </w:tcPr>
          <w:p>
            <w:pPr>
              <w:adjustRightInd w:val="0"/>
              <w:snapToGrid w:val="0"/>
              <w:spacing w:line="300" w:lineRule="exact"/>
              <w:jc w:val="center"/>
              <w:rPr>
                <w:rFonts w:cs="宋体"/>
                <w:sz w:val="24"/>
              </w:rPr>
            </w:pPr>
            <w:r>
              <w:rPr>
                <w:rFonts w:hint="eastAsia" w:cs="宋体"/>
                <w:sz w:val="24"/>
              </w:rPr>
              <w:t>国民经济</w:t>
            </w:r>
          </w:p>
          <w:p>
            <w:pPr>
              <w:adjustRightInd w:val="0"/>
              <w:snapToGrid w:val="0"/>
              <w:spacing w:line="300" w:lineRule="exact"/>
              <w:jc w:val="center"/>
              <w:rPr>
                <w:rFonts w:cs="宋体"/>
                <w:sz w:val="24"/>
              </w:rPr>
            </w:pPr>
            <w:r>
              <w:rPr>
                <w:rFonts w:hint="eastAsia" w:cs="宋体"/>
                <w:sz w:val="24"/>
              </w:rPr>
              <w:t>行业类别</w:t>
            </w:r>
          </w:p>
        </w:tc>
        <w:tc>
          <w:tcPr>
            <w:tcW w:w="2163" w:type="dxa"/>
            <w:vAlign w:val="center"/>
          </w:tcPr>
          <w:p>
            <w:pPr>
              <w:pStyle w:val="20"/>
              <w:spacing w:after="0" w:line="300" w:lineRule="exact"/>
              <w:ind w:firstLine="0" w:firstLineChars="0"/>
              <w:rPr>
                <w:rFonts w:cs="宋体"/>
                <w:sz w:val="24"/>
              </w:rPr>
            </w:pPr>
            <w:r>
              <w:rPr>
                <w:rFonts w:hint="eastAsia" w:cs="宋体"/>
                <w:sz w:val="24"/>
              </w:rPr>
              <w:t>C30</w:t>
            </w:r>
            <w:r>
              <w:rPr>
                <w:rFonts w:cs="宋体"/>
                <w:sz w:val="24"/>
              </w:rPr>
              <w:t xml:space="preserve">422 </w:t>
            </w:r>
            <w:r>
              <w:rPr>
                <w:rFonts w:hint="eastAsia" w:cs="宋体"/>
                <w:sz w:val="24"/>
              </w:rPr>
              <w:t>非</w:t>
            </w:r>
            <w:r>
              <w:rPr>
                <w:rFonts w:cs="宋体"/>
                <w:sz w:val="24"/>
              </w:rPr>
              <w:t>金属废料和碎屑加工处理</w:t>
            </w:r>
          </w:p>
        </w:tc>
        <w:tc>
          <w:tcPr>
            <w:tcW w:w="2072" w:type="dxa"/>
            <w:vAlign w:val="center"/>
          </w:tcPr>
          <w:p>
            <w:pPr>
              <w:adjustRightInd w:val="0"/>
              <w:snapToGrid w:val="0"/>
              <w:spacing w:line="300" w:lineRule="exact"/>
              <w:jc w:val="center"/>
              <w:rPr>
                <w:rFonts w:cs="宋体"/>
                <w:sz w:val="24"/>
              </w:rPr>
            </w:pPr>
            <w:bookmarkStart w:id="0" w:name="_Hlk49843745"/>
            <w:r>
              <w:rPr>
                <w:rFonts w:hint="eastAsia" w:cs="宋体"/>
                <w:sz w:val="24"/>
              </w:rPr>
              <w:t>建设项目</w:t>
            </w:r>
          </w:p>
          <w:p>
            <w:pPr>
              <w:adjustRightInd w:val="0"/>
              <w:snapToGrid w:val="0"/>
              <w:spacing w:line="300" w:lineRule="exact"/>
              <w:jc w:val="center"/>
              <w:rPr>
                <w:rFonts w:cs="宋体"/>
                <w:sz w:val="24"/>
              </w:rPr>
            </w:pPr>
            <w:r>
              <w:rPr>
                <w:rFonts w:hint="eastAsia" w:cs="宋体"/>
                <w:sz w:val="24"/>
              </w:rPr>
              <w:t>行业类别</w:t>
            </w:r>
            <w:bookmarkEnd w:id="0"/>
          </w:p>
        </w:tc>
        <w:tc>
          <w:tcPr>
            <w:tcW w:w="2779" w:type="dxa"/>
            <w:gridSpan w:val="2"/>
            <w:vAlign w:val="center"/>
          </w:tcPr>
          <w:p>
            <w:pPr>
              <w:spacing w:line="300" w:lineRule="exact"/>
              <w:jc w:val="left"/>
              <w:rPr>
                <w:rFonts w:cs="宋体"/>
                <w:sz w:val="24"/>
              </w:rPr>
            </w:pPr>
            <w:r>
              <w:rPr>
                <w:rFonts w:hint="eastAsia" w:cs="宋体"/>
                <w:sz w:val="24"/>
              </w:rPr>
              <w:t>三十九、</w:t>
            </w:r>
            <w:r>
              <w:rPr>
                <w:rFonts w:cs="宋体"/>
                <w:sz w:val="24"/>
              </w:rPr>
              <w:t>废弃资源综合利用业</w:t>
            </w:r>
          </w:p>
          <w:p>
            <w:pPr>
              <w:spacing w:line="300" w:lineRule="exact"/>
              <w:jc w:val="left"/>
              <w:rPr>
                <w:rFonts w:cs="宋体"/>
                <w:sz w:val="24"/>
              </w:rPr>
            </w:pPr>
            <w:r>
              <w:rPr>
                <w:rFonts w:cs="宋体"/>
                <w:sz w:val="24"/>
              </w:rPr>
              <w:t xml:space="preserve">85 </w:t>
            </w:r>
            <w:r>
              <w:rPr>
                <w:rFonts w:hint="eastAsia" w:cs="宋体"/>
                <w:sz w:val="24"/>
              </w:rPr>
              <w:t>非金属</w:t>
            </w:r>
            <w:r>
              <w:rPr>
                <w:rFonts w:cs="宋体"/>
                <w:sz w:val="24"/>
              </w:rPr>
              <w:t>废料和碎屑加工处理</w:t>
            </w:r>
            <w:r>
              <w:rPr>
                <w:rFonts w:hint="eastAsia" w:cs="宋体"/>
                <w:sz w:val="24"/>
              </w:rPr>
              <w:t>422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1856" w:type="dxa"/>
            <w:tcMar>
              <w:top w:w="16" w:type="dxa"/>
              <w:left w:w="16" w:type="dxa"/>
              <w:right w:w="16" w:type="dxa"/>
            </w:tcMar>
            <w:vAlign w:val="center"/>
          </w:tcPr>
          <w:p>
            <w:pPr>
              <w:adjustRightInd w:val="0"/>
              <w:snapToGrid w:val="0"/>
              <w:spacing w:line="300" w:lineRule="exact"/>
              <w:jc w:val="center"/>
              <w:rPr>
                <w:rFonts w:cs="宋体"/>
                <w:sz w:val="24"/>
              </w:rPr>
            </w:pPr>
            <w:r>
              <w:rPr>
                <w:rFonts w:hint="eastAsia" w:cs="宋体"/>
                <w:sz w:val="24"/>
              </w:rPr>
              <w:t>建设性质</w:t>
            </w:r>
          </w:p>
        </w:tc>
        <w:tc>
          <w:tcPr>
            <w:tcW w:w="2163" w:type="dxa"/>
            <w:vAlign w:val="center"/>
          </w:tcPr>
          <w:p>
            <w:pPr>
              <w:spacing w:line="300" w:lineRule="exact"/>
              <w:jc w:val="left"/>
              <w:rPr>
                <w:rFonts w:cs="宋体"/>
                <w:sz w:val="24"/>
              </w:rPr>
            </w:pPr>
            <w:r>
              <w:rPr>
                <w:rFonts w:hint="eastAsia" w:cs="宋体"/>
                <w:sz w:val="24"/>
              </w:rPr>
              <w:sym w:font="Wingdings 2" w:char="0052"/>
            </w:r>
            <w:r>
              <w:rPr>
                <w:rFonts w:hint="eastAsia" w:cs="宋体"/>
                <w:sz w:val="24"/>
              </w:rPr>
              <w:t>新建（迁建）</w:t>
            </w:r>
          </w:p>
          <w:p>
            <w:pPr>
              <w:spacing w:line="300" w:lineRule="exact"/>
              <w:jc w:val="left"/>
              <w:rPr>
                <w:rFonts w:cs="宋体"/>
                <w:sz w:val="24"/>
              </w:rPr>
            </w:pPr>
            <w:r>
              <w:rPr>
                <w:rFonts w:hint="eastAsia" w:cs="宋体"/>
                <w:sz w:val="24"/>
              </w:rPr>
              <w:t>□改建</w:t>
            </w:r>
          </w:p>
          <w:p>
            <w:pPr>
              <w:spacing w:line="300" w:lineRule="exact"/>
              <w:jc w:val="left"/>
              <w:rPr>
                <w:rFonts w:cs="宋体"/>
                <w:sz w:val="24"/>
              </w:rPr>
            </w:pPr>
            <w:r>
              <w:rPr>
                <w:rFonts w:hint="eastAsia" w:cs="宋体"/>
                <w:sz w:val="24"/>
              </w:rPr>
              <w:t>□扩建</w:t>
            </w:r>
          </w:p>
          <w:p>
            <w:pPr>
              <w:spacing w:line="300" w:lineRule="exact"/>
              <w:jc w:val="left"/>
              <w:rPr>
                <w:rFonts w:cs="宋体"/>
                <w:sz w:val="24"/>
              </w:rPr>
            </w:pPr>
            <w:r>
              <w:rPr>
                <w:rFonts w:hint="eastAsia" w:cs="宋体"/>
                <w:sz w:val="24"/>
              </w:rPr>
              <w:t>□技术改造</w:t>
            </w:r>
          </w:p>
        </w:tc>
        <w:tc>
          <w:tcPr>
            <w:tcW w:w="2072" w:type="dxa"/>
            <w:vAlign w:val="center"/>
          </w:tcPr>
          <w:p>
            <w:pPr>
              <w:adjustRightInd w:val="0"/>
              <w:snapToGrid w:val="0"/>
              <w:spacing w:line="300" w:lineRule="exact"/>
              <w:jc w:val="center"/>
              <w:rPr>
                <w:rFonts w:cs="宋体"/>
                <w:sz w:val="24"/>
              </w:rPr>
            </w:pPr>
            <w:r>
              <w:rPr>
                <w:rFonts w:hint="eastAsia" w:cs="宋体"/>
                <w:sz w:val="24"/>
              </w:rPr>
              <w:t>建设项目</w:t>
            </w:r>
          </w:p>
          <w:p>
            <w:pPr>
              <w:adjustRightInd w:val="0"/>
              <w:snapToGrid w:val="0"/>
              <w:spacing w:line="300" w:lineRule="exact"/>
              <w:jc w:val="center"/>
              <w:rPr>
                <w:rFonts w:cs="宋体"/>
                <w:sz w:val="24"/>
              </w:rPr>
            </w:pPr>
            <w:r>
              <w:rPr>
                <w:rFonts w:hint="eastAsia" w:cs="宋体"/>
                <w:sz w:val="24"/>
              </w:rPr>
              <w:t>申报情形</w:t>
            </w:r>
          </w:p>
        </w:tc>
        <w:tc>
          <w:tcPr>
            <w:tcW w:w="2779" w:type="dxa"/>
            <w:gridSpan w:val="2"/>
            <w:vAlign w:val="center"/>
          </w:tcPr>
          <w:p>
            <w:pPr>
              <w:spacing w:line="300" w:lineRule="exact"/>
              <w:jc w:val="left"/>
              <w:rPr>
                <w:rFonts w:cs="宋体"/>
                <w:sz w:val="24"/>
              </w:rPr>
            </w:pPr>
            <w:r>
              <w:rPr>
                <w:rFonts w:hint="eastAsia" w:cs="宋体"/>
                <w:sz w:val="24"/>
              </w:rPr>
              <w:sym w:font="Wingdings 2" w:char="0052"/>
            </w:r>
            <w:r>
              <w:rPr>
                <w:rFonts w:hint="eastAsia" w:cs="宋体"/>
                <w:sz w:val="24"/>
              </w:rPr>
              <w:t>首次申报项目</w:t>
            </w:r>
            <w:r>
              <w:rPr>
                <w:rFonts w:cs="宋体"/>
                <w:sz w:val="24"/>
              </w:rPr>
              <w:t xml:space="preserve">             </w:t>
            </w:r>
          </w:p>
          <w:p>
            <w:pPr>
              <w:spacing w:line="300" w:lineRule="exact"/>
              <w:jc w:val="left"/>
              <w:rPr>
                <w:rFonts w:cs="宋体"/>
                <w:sz w:val="24"/>
              </w:rPr>
            </w:pPr>
            <w:r>
              <w:rPr>
                <w:rFonts w:hint="eastAsia" w:cs="宋体"/>
                <w:sz w:val="24"/>
              </w:rPr>
              <w:t>□不予批准后再次申报项目</w:t>
            </w:r>
          </w:p>
          <w:p>
            <w:pPr>
              <w:spacing w:line="300" w:lineRule="exact"/>
              <w:jc w:val="left"/>
              <w:rPr>
                <w:rFonts w:cs="宋体"/>
                <w:sz w:val="24"/>
              </w:rPr>
            </w:pPr>
            <w:r>
              <w:rPr>
                <w:rFonts w:hint="eastAsia" w:cs="宋体"/>
                <w:sz w:val="24"/>
              </w:rPr>
              <w:sym w:font="Wingdings 2" w:char="00A3"/>
            </w:r>
            <w:r>
              <w:rPr>
                <w:rFonts w:hint="eastAsia" w:cs="宋体"/>
                <w:sz w:val="24"/>
              </w:rPr>
              <w:t>超五年重新审核项目</w:t>
            </w:r>
            <w:r>
              <w:rPr>
                <w:rFonts w:cs="宋体"/>
                <w:sz w:val="24"/>
              </w:rPr>
              <w:t xml:space="preserve">     </w:t>
            </w:r>
          </w:p>
          <w:p>
            <w:pPr>
              <w:spacing w:line="300" w:lineRule="exact"/>
              <w:jc w:val="left"/>
              <w:rPr>
                <w:rFonts w:cs="宋体"/>
                <w:sz w:val="24"/>
              </w:rPr>
            </w:pPr>
            <w:r>
              <w:rPr>
                <w:rFonts w:hint="eastAsia" w:cs="宋体"/>
                <w:sz w:val="24"/>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1856" w:type="dxa"/>
            <w:tcMar>
              <w:top w:w="16" w:type="dxa"/>
              <w:left w:w="16" w:type="dxa"/>
              <w:right w:w="16" w:type="dxa"/>
            </w:tcMar>
            <w:vAlign w:val="center"/>
          </w:tcPr>
          <w:p>
            <w:pPr>
              <w:adjustRightInd w:val="0"/>
              <w:snapToGrid w:val="0"/>
              <w:spacing w:line="300" w:lineRule="exact"/>
              <w:jc w:val="center"/>
              <w:rPr>
                <w:rFonts w:cs="宋体"/>
                <w:sz w:val="24"/>
              </w:rPr>
            </w:pPr>
            <w:r>
              <w:rPr>
                <w:rFonts w:hint="eastAsia" w:cs="宋体"/>
                <w:sz w:val="24"/>
              </w:rPr>
              <w:t>项目审批（核准</w:t>
            </w:r>
            <w:r>
              <w:rPr>
                <w:rFonts w:cs="宋体"/>
                <w:sz w:val="24"/>
              </w:rPr>
              <w:t>/</w:t>
            </w:r>
          </w:p>
          <w:p>
            <w:pPr>
              <w:adjustRightInd w:val="0"/>
              <w:snapToGrid w:val="0"/>
              <w:spacing w:line="300" w:lineRule="exact"/>
              <w:jc w:val="center"/>
              <w:rPr>
                <w:rFonts w:cs="宋体"/>
                <w:sz w:val="24"/>
              </w:rPr>
            </w:pPr>
            <w:r>
              <w:rPr>
                <w:rFonts w:hint="eastAsia" w:cs="宋体"/>
                <w:sz w:val="24"/>
              </w:rPr>
              <w:t>备案）部门（选填）</w:t>
            </w:r>
          </w:p>
        </w:tc>
        <w:tc>
          <w:tcPr>
            <w:tcW w:w="2163" w:type="dxa"/>
            <w:vAlign w:val="center"/>
          </w:tcPr>
          <w:p>
            <w:pPr>
              <w:adjustRightInd w:val="0"/>
              <w:snapToGrid w:val="0"/>
              <w:spacing w:line="300" w:lineRule="exact"/>
              <w:jc w:val="center"/>
              <w:rPr>
                <w:rFonts w:cs="宋体"/>
                <w:sz w:val="24"/>
              </w:rPr>
            </w:pPr>
            <w:r>
              <w:rPr>
                <w:rFonts w:hint="eastAsia" w:cs="宋体"/>
                <w:sz w:val="24"/>
              </w:rPr>
              <w:t>鲁山县发展和改革委员会</w:t>
            </w:r>
          </w:p>
        </w:tc>
        <w:tc>
          <w:tcPr>
            <w:tcW w:w="2072" w:type="dxa"/>
            <w:vAlign w:val="center"/>
          </w:tcPr>
          <w:p>
            <w:pPr>
              <w:adjustRightInd w:val="0"/>
              <w:snapToGrid w:val="0"/>
              <w:spacing w:line="300" w:lineRule="exact"/>
              <w:jc w:val="center"/>
              <w:rPr>
                <w:rFonts w:cs="宋体"/>
                <w:sz w:val="24"/>
              </w:rPr>
            </w:pPr>
            <w:r>
              <w:rPr>
                <w:rFonts w:hint="eastAsia" w:cs="宋体"/>
                <w:sz w:val="24"/>
              </w:rPr>
              <w:t>项目审批（核准</w:t>
            </w:r>
            <w:r>
              <w:rPr>
                <w:rFonts w:cs="宋体"/>
                <w:sz w:val="24"/>
              </w:rPr>
              <w:t>/</w:t>
            </w:r>
          </w:p>
          <w:p>
            <w:pPr>
              <w:adjustRightInd w:val="0"/>
              <w:snapToGrid w:val="0"/>
              <w:spacing w:line="300" w:lineRule="exact"/>
              <w:jc w:val="center"/>
              <w:rPr>
                <w:rFonts w:cs="宋体"/>
                <w:sz w:val="24"/>
              </w:rPr>
            </w:pPr>
            <w:r>
              <w:rPr>
                <w:rFonts w:hint="eastAsia" w:cs="宋体"/>
                <w:sz w:val="24"/>
              </w:rPr>
              <w:t>备案）文号（选填）</w:t>
            </w:r>
          </w:p>
        </w:tc>
        <w:tc>
          <w:tcPr>
            <w:tcW w:w="2779" w:type="dxa"/>
            <w:gridSpan w:val="2"/>
            <w:vAlign w:val="center"/>
          </w:tcPr>
          <w:p>
            <w:pPr>
              <w:adjustRightInd w:val="0"/>
              <w:snapToGrid w:val="0"/>
              <w:spacing w:line="300" w:lineRule="exact"/>
              <w:jc w:val="center"/>
              <w:rPr>
                <w:rFonts w:cs="宋体"/>
                <w:sz w:val="24"/>
              </w:rPr>
            </w:pPr>
            <w:r>
              <w:rPr>
                <w:rFonts w:hint="eastAsia" w:cs="宋体"/>
                <w:sz w:val="24"/>
              </w:rPr>
              <w:t>2112-410423-04-05-391147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1856" w:type="dxa"/>
            <w:tcMar>
              <w:top w:w="16" w:type="dxa"/>
              <w:left w:w="16" w:type="dxa"/>
              <w:right w:w="16" w:type="dxa"/>
            </w:tcMar>
            <w:vAlign w:val="center"/>
          </w:tcPr>
          <w:p>
            <w:pPr>
              <w:adjustRightInd w:val="0"/>
              <w:snapToGrid w:val="0"/>
              <w:spacing w:line="300" w:lineRule="exact"/>
              <w:jc w:val="center"/>
              <w:rPr>
                <w:rFonts w:cs="宋体"/>
                <w:sz w:val="24"/>
              </w:rPr>
            </w:pPr>
            <w:r>
              <w:rPr>
                <w:rFonts w:hint="eastAsia" w:cs="宋体"/>
                <w:sz w:val="24"/>
              </w:rPr>
              <w:t>总投资（万元）</w:t>
            </w:r>
          </w:p>
        </w:tc>
        <w:tc>
          <w:tcPr>
            <w:tcW w:w="2163" w:type="dxa"/>
            <w:vAlign w:val="center"/>
          </w:tcPr>
          <w:p>
            <w:pPr>
              <w:adjustRightInd w:val="0"/>
              <w:snapToGrid w:val="0"/>
              <w:spacing w:line="300" w:lineRule="exact"/>
              <w:jc w:val="center"/>
              <w:rPr>
                <w:rFonts w:cs="宋体"/>
                <w:sz w:val="24"/>
              </w:rPr>
            </w:pPr>
            <w:r>
              <w:rPr>
                <w:rFonts w:cs="宋体"/>
                <w:sz w:val="24"/>
              </w:rPr>
              <w:t>200</w:t>
            </w:r>
          </w:p>
        </w:tc>
        <w:tc>
          <w:tcPr>
            <w:tcW w:w="2072" w:type="dxa"/>
            <w:tcMar>
              <w:top w:w="16" w:type="dxa"/>
              <w:left w:w="16" w:type="dxa"/>
              <w:right w:w="16" w:type="dxa"/>
            </w:tcMar>
            <w:vAlign w:val="center"/>
          </w:tcPr>
          <w:p>
            <w:pPr>
              <w:adjustRightInd w:val="0"/>
              <w:snapToGrid w:val="0"/>
              <w:spacing w:line="300" w:lineRule="exact"/>
              <w:jc w:val="center"/>
              <w:rPr>
                <w:rFonts w:cs="宋体"/>
                <w:sz w:val="24"/>
              </w:rPr>
            </w:pPr>
            <w:r>
              <w:rPr>
                <w:rFonts w:hint="eastAsia" w:cs="宋体"/>
                <w:sz w:val="24"/>
              </w:rPr>
              <w:t>环保投资（万元）</w:t>
            </w:r>
          </w:p>
        </w:tc>
        <w:tc>
          <w:tcPr>
            <w:tcW w:w="2779" w:type="dxa"/>
            <w:gridSpan w:val="2"/>
            <w:vAlign w:val="center"/>
          </w:tcPr>
          <w:p>
            <w:pPr>
              <w:adjustRightInd w:val="0"/>
              <w:snapToGrid w:val="0"/>
              <w:spacing w:line="300" w:lineRule="exact"/>
              <w:jc w:val="center"/>
              <w:rPr>
                <w:rFonts w:cs="宋体"/>
                <w:sz w:val="24"/>
              </w:rPr>
            </w:pPr>
            <w:r>
              <w:rPr>
                <w:rFonts w:cs="宋体"/>
                <w:sz w:val="24"/>
              </w:rPr>
              <w:t>65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1856" w:type="dxa"/>
            <w:tcMar>
              <w:top w:w="16" w:type="dxa"/>
              <w:left w:w="16" w:type="dxa"/>
              <w:right w:w="16" w:type="dxa"/>
            </w:tcMar>
            <w:vAlign w:val="center"/>
          </w:tcPr>
          <w:p>
            <w:pPr>
              <w:adjustRightInd w:val="0"/>
              <w:snapToGrid w:val="0"/>
              <w:spacing w:line="300" w:lineRule="exact"/>
              <w:jc w:val="center"/>
              <w:rPr>
                <w:rFonts w:cs="宋体"/>
                <w:sz w:val="24"/>
              </w:rPr>
            </w:pPr>
            <w:r>
              <w:rPr>
                <w:rFonts w:hint="eastAsia" w:cs="宋体"/>
                <w:sz w:val="24"/>
              </w:rPr>
              <w:t>环保投资占比（</w:t>
            </w:r>
            <w:r>
              <w:rPr>
                <w:rFonts w:cs="宋体"/>
                <w:sz w:val="24"/>
              </w:rPr>
              <w:t>%</w:t>
            </w:r>
            <w:r>
              <w:rPr>
                <w:rFonts w:hint="eastAsia" w:cs="宋体"/>
                <w:sz w:val="24"/>
              </w:rPr>
              <w:t>）</w:t>
            </w:r>
          </w:p>
        </w:tc>
        <w:tc>
          <w:tcPr>
            <w:tcW w:w="2163" w:type="dxa"/>
            <w:vAlign w:val="center"/>
          </w:tcPr>
          <w:p>
            <w:pPr>
              <w:adjustRightInd w:val="0"/>
              <w:snapToGrid w:val="0"/>
              <w:spacing w:line="300" w:lineRule="exact"/>
              <w:jc w:val="center"/>
              <w:rPr>
                <w:rFonts w:cs="宋体"/>
                <w:sz w:val="24"/>
              </w:rPr>
            </w:pPr>
            <w:r>
              <w:rPr>
                <w:rFonts w:cs="宋体"/>
                <w:sz w:val="24"/>
              </w:rPr>
              <w:t>32.5</w:t>
            </w:r>
          </w:p>
        </w:tc>
        <w:tc>
          <w:tcPr>
            <w:tcW w:w="2072" w:type="dxa"/>
            <w:tcMar>
              <w:top w:w="16" w:type="dxa"/>
              <w:left w:w="16" w:type="dxa"/>
              <w:right w:w="16" w:type="dxa"/>
            </w:tcMar>
            <w:vAlign w:val="center"/>
          </w:tcPr>
          <w:p>
            <w:pPr>
              <w:adjustRightInd w:val="0"/>
              <w:snapToGrid w:val="0"/>
              <w:spacing w:line="300" w:lineRule="exact"/>
              <w:jc w:val="center"/>
              <w:rPr>
                <w:rFonts w:cs="宋体"/>
                <w:sz w:val="24"/>
              </w:rPr>
            </w:pPr>
            <w:r>
              <w:rPr>
                <w:rFonts w:hint="eastAsia" w:cs="宋体"/>
                <w:sz w:val="24"/>
              </w:rPr>
              <w:t>施工工期</w:t>
            </w:r>
          </w:p>
        </w:tc>
        <w:tc>
          <w:tcPr>
            <w:tcW w:w="2779" w:type="dxa"/>
            <w:gridSpan w:val="2"/>
            <w:vAlign w:val="center"/>
          </w:tcPr>
          <w:p>
            <w:pPr>
              <w:adjustRightInd w:val="0"/>
              <w:snapToGrid w:val="0"/>
              <w:spacing w:line="300" w:lineRule="exact"/>
              <w:jc w:val="center"/>
              <w:rPr>
                <w:rFonts w:cs="宋体"/>
                <w:sz w:val="24"/>
              </w:rPr>
            </w:pPr>
            <w:r>
              <w:rPr>
                <w:rFonts w:cs="宋体"/>
                <w:sz w:val="24"/>
              </w:rPr>
              <w:t>2</w:t>
            </w:r>
            <w:r>
              <w:rPr>
                <w:rFonts w:hint="eastAsia" w:cs="宋体"/>
                <w:sz w:val="24"/>
              </w:rPr>
              <w:t>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1856" w:type="dxa"/>
            <w:tcMar>
              <w:top w:w="16" w:type="dxa"/>
              <w:left w:w="16" w:type="dxa"/>
              <w:right w:w="16" w:type="dxa"/>
            </w:tcMar>
            <w:vAlign w:val="center"/>
          </w:tcPr>
          <w:p>
            <w:pPr>
              <w:adjustRightInd w:val="0"/>
              <w:snapToGrid w:val="0"/>
              <w:spacing w:line="300" w:lineRule="exact"/>
              <w:jc w:val="center"/>
              <w:rPr>
                <w:rFonts w:cs="宋体"/>
                <w:sz w:val="24"/>
              </w:rPr>
            </w:pPr>
            <w:r>
              <w:rPr>
                <w:rFonts w:hint="eastAsia" w:cs="宋体"/>
                <w:sz w:val="24"/>
              </w:rPr>
              <w:t>是否开工建设</w:t>
            </w:r>
          </w:p>
        </w:tc>
        <w:tc>
          <w:tcPr>
            <w:tcW w:w="2163" w:type="dxa"/>
            <w:vAlign w:val="center"/>
          </w:tcPr>
          <w:p>
            <w:pPr>
              <w:adjustRightInd w:val="0"/>
              <w:snapToGrid w:val="0"/>
              <w:spacing w:line="300" w:lineRule="exact"/>
              <w:rPr>
                <w:rFonts w:cs="宋体"/>
                <w:sz w:val="24"/>
              </w:rPr>
            </w:pPr>
            <w:r>
              <w:rPr>
                <w:rFonts w:hint="eastAsia" w:cs="宋体"/>
                <w:sz w:val="24"/>
              </w:rPr>
              <w:sym w:font="Wingdings 2" w:char="0052"/>
            </w:r>
            <w:r>
              <w:rPr>
                <w:rFonts w:hint="eastAsia" w:cs="宋体"/>
                <w:sz w:val="24"/>
              </w:rPr>
              <w:t>否</w:t>
            </w:r>
          </w:p>
          <w:p>
            <w:pPr>
              <w:adjustRightInd w:val="0"/>
              <w:snapToGrid w:val="0"/>
              <w:spacing w:line="300" w:lineRule="exact"/>
              <w:rPr>
                <w:rFonts w:cs="宋体"/>
                <w:sz w:val="24"/>
              </w:rPr>
            </w:pPr>
            <w:r>
              <w:rPr>
                <w:rFonts w:hint="eastAsia" w:cs="宋体"/>
                <w:sz w:val="24"/>
              </w:rPr>
              <w:sym w:font="Wingdings 2" w:char="00A3"/>
            </w:r>
            <w:r>
              <w:rPr>
                <w:rFonts w:hint="eastAsia" w:cs="宋体"/>
                <w:sz w:val="24"/>
              </w:rPr>
              <w:t>是：</w:t>
            </w:r>
            <w:r>
              <w:rPr>
                <w:rFonts w:hint="eastAsia" w:cs="宋体"/>
                <w:sz w:val="24"/>
                <w:u w:val="single"/>
              </w:rPr>
              <w:t xml:space="preserve">             </w:t>
            </w:r>
          </w:p>
        </w:tc>
        <w:tc>
          <w:tcPr>
            <w:tcW w:w="2072" w:type="dxa"/>
            <w:tcMar>
              <w:top w:w="16" w:type="dxa"/>
              <w:left w:w="16" w:type="dxa"/>
              <w:right w:w="16" w:type="dxa"/>
            </w:tcMar>
            <w:vAlign w:val="center"/>
          </w:tcPr>
          <w:p>
            <w:pPr>
              <w:adjustRightInd w:val="0"/>
              <w:snapToGrid w:val="0"/>
              <w:spacing w:line="300" w:lineRule="exact"/>
              <w:jc w:val="center"/>
              <w:rPr>
                <w:rFonts w:cs="宋体"/>
                <w:spacing w:val="-6"/>
                <w:sz w:val="24"/>
              </w:rPr>
            </w:pPr>
            <w:r>
              <w:rPr>
                <w:rFonts w:hint="eastAsia" w:cs="宋体"/>
                <w:spacing w:val="-6"/>
                <w:sz w:val="24"/>
              </w:rPr>
              <w:t>用地（用海）</w:t>
            </w:r>
          </w:p>
          <w:p>
            <w:pPr>
              <w:adjustRightInd w:val="0"/>
              <w:snapToGrid w:val="0"/>
              <w:spacing w:line="300" w:lineRule="exact"/>
              <w:jc w:val="center"/>
              <w:rPr>
                <w:rFonts w:cs="宋体"/>
                <w:sz w:val="24"/>
              </w:rPr>
            </w:pPr>
            <w:r>
              <w:rPr>
                <w:rFonts w:hint="eastAsia" w:cs="宋体"/>
                <w:spacing w:val="-6"/>
                <w:sz w:val="24"/>
              </w:rPr>
              <w:t>面积（</w:t>
            </w:r>
            <w:r>
              <w:rPr>
                <w:rFonts w:cs="宋体"/>
                <w:spacing w:val="-6"/>
                <w:sz w:val="24"/>
              </w:rPr>
              <w:t>m</w:t>
            </w:r>
            <w:r>
              <w:rPr>
                <w:rFonts w:cs="宋体"/>
                <w:spacing w:val="-6"/>
                <w:sz w:val="24"/>
                <w:vertAlign w:val="superscript"/>
              </w:rPr>
              <w:t>2</w:t>
            </w:r>
            <w:r>
              <w:rPr>
                <w:rFonts w:hint="eastAsia" w:cs="宋体"/>
                <w:spacing w:val="-6"/>
                <w:sz w:val="24"/>
              </w:rPr>
              <w:t>）</w:t>
            </w:r>
          </w:p>
        </w:tc>
        <w:tc>
          <w:tcPr>
            <w:tcW w:w="2779" w:type="dxa"/>
            <w:gridSpan w:val="2"/>
            <w:vAlign w:val="center"/>
          </w:tcPr>
          <w:p>
            <w:pPr>
              <w:adjustRightInd w:val="0"/>
              <w:snapToGrid w:val="0"/>
              <w:spacing w:line="300" w:lineRule="exact"/>
              <w:jc w:val="center"/>
              <w:rPr>
                <w:rFonts w:cs="宋体"/>
                <w:sz w:val="24"/>
              </w:rPr>
            </w:pPr>
            <w:r>
              <w:rPr>
                <w:rFonts w:cs="宋体"/>
                <w:sz w:val="24"/>
              </w:rPr>
              <w:t>3000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856" w:type="dxa"/>
            <w:vAlign w:val="center"/>
          </w:tcPr>
          <w:p>
            <w:pPr>
              <w:autoSpaceDE w:val="0"/>
              <w:autoSpaceDN w:val="0"/>
              <w:adjustRightInd w:val="0"/>
              <w:snapToGrid w:val="0"/>
              <w:spacing w:line="300" w:lineRule="exact"/>
              <w:jc w:val="center"/>
              <w:rPr>
                <w:rFonts w:cs="宋体"/>
                <w:kern w:val="0"/>
                <w:sz w:val="24"/>
              </w:rPr>
            </w:pPr>
            <w:r>
              <w:rPr>
                <w:rFonts w:hint="eastAsia" w:cs="宋体"/>
                <w:kern w:val="0"/>
                <w:sz w:val="24"/>
              </w:rPr>
              <w:t>专项评价设置情况</w:t>
            </w:r>
          </w:p>
        </w:tc>
        <w:tc>
          <w:tcPr>
            <w:tcW w:w="7014" w:type="dxa"/>
            <w:gridSpan w:val="4"/>
            <w:vAlign w:val="center"/>
          </w:tcPr>
          <w:p>
            <w:pPr>
              <w:autoSpaceDE w:val="0"/>
              <w:autoSpaceDN w:val="0"/>
              <w:adjustRightInd w:val="0"/>
              <w:snapToGrid w:val="0"/>
              <w:spacing w:line="300" w:lineRule="exact"/>
              <w:jc w:val="center"/>
            </w:pPr>
            <w:r>
              <w:rPr>
                <w:rFonts w:hint="eastAsia" w:cs="宋体"/>
                <w:sz w:val="24"/>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856" w:type="dxa"/>
            <w:vAlign w:val="center"/>
          </w:tcPr>
          <w:p>
            <w:pPr>
              <w:autoSpaceDE w:val="0"/>
              <w:autoSpaceDN w:val="0"/>
              <w:adjustRightInd w:val="0"/>
              <w:snapToGrid w:val="0"/>
              <w:spacing w:line="300" w:lineRule="exact"/>
              <w:jc w:val="center"/>
              <w:rPr>
                <w:rFonts w:cs="宋体"/>
                <w:sz w:val="24"/>
              </w:rPr>
            </w:pPr>
            <w:r>
              <w:rPr>
                <w:rFonts w:hint="eastAsia" w:cs="宋体"/>
                <w:sz w:val="24"/>
              </w:rPr>
              <w:t>规划情况</w:t>
            </w:r>
          </w:p>
        </w:tc>
        <w:tc>
          <w:tcPr>
            <w:tcW w:w="7014" w:type="dxa"/>
            <w:gridSpan w:val="4"/>
            <w:vAlign w:val="center"/>
          </w:tcPr>
          <w:p>
            <w:pPr>
              <w:autoSpaceDE w:val="0"/>
              <w:autoSpaceDN w:val="0"/>
              <w:adjustRightInd w:val="0"/>
              <w:snapToGrid w:val="0"/>
              <w:spacing w:line="300" w:lineRule="exact"/>
              <w:jc w:val="left"/>
              <w:rPr>
                <w:kern w:val="0"/>
                <w:sz w:val="24"/>
              </w:rPr>
            </w:pPr>
            <w:r>
              <w:rPr>
                <w:rFonts w:hint="eastAsia" w:ascii="宋体" w:hAnsi="宋体" w:cs="宋体"/>
                <w:kern w:val="0"/>
                <w:sz w:val="24"/>
              </w:rPr>
              <w:t>规划名称</w:t>
            </w:r>
            <w:r>
              <w:rPr>
                <w:rFonts w:ascii="宋体" w:hAnsi="宋体" w:cs="宋体"/>
                <w:kern w:val="0"/>
                <w:sz w:val="24"/>
              </w:rPr>
              <w:t>：《</w:t>
            </w:r>
            <w:r>
              <w:rPr>
                <w:rFonts w:hint="eastAsia" w:ascii="宋体" w:hAnsi="宋体" w:cs="宋体"/>
                <w:kern w:val="0"/>
                <w:sz w:val="24"/>
              </w:rPr>
              <w:t>鲁山县土地</w:t>
            </w:r>
            <w:r>
              <w:rPr>
                <w:rFonts w:ascii="宋体" w:hAnsi="宋体" w:cs="宋体"/>
                <w:kern w:val="0"/>
                <w:sz w:val="24"/>
              </w:rPr>
              <w:t>利用总体规划（</w:t>
            </w:r>
            <w:r>
              <w:rPr>
                <w:rFonts w:hint="eastAsia" w:ascii="宋体" w:hAnsi="宋体" w:cs="宋体"/>
                <w:kern w:val="0"/>
                <w:sz w:val="24"/>
              </w:rPr>
              <w:t>201</w:t>
            </w:r>
            <w:r>
              <w:rPr>
                <w:kern w:val="0"/>
                <w:sz w:val="24"/>
              </w:rPr>
              <w:t>0-2020年）》</w:t>
            </w:r>
          </w:p>
          <w:p>
            <w:pPr>
              <w:autoSpaceDE w:val="0"/>
              <w:autoSpaceDN w:val="0"/>
              <w:adjustRightInd w:val="0"/>
              <w:snapToGrid w:val="0"/>
              <w:spacing w:line="300" w:lineRule="exact"/>
              <w:jc w:val="left"/>
              <w:rPr>
                <w:kern w:val="0"/>
                <w:sz w:val="24"/>
              </w:rPr>
            </w:pPr>
            <w:r>
              <w:rPr>
                <w:kern w:val="0"/>
                <w:sz w:val="24"/>
              </w:rPr>
              <w:t>审批机关：河南省人民政府</w:t>
            </w:r>
          </w:p>
          <w:p>
            <w:pPr>
              <w:autoSpaceDE w:val="0"/>
              <w:autoSpaceDN w:val="0"/>
              <w:adjustRightInd w:val="0"/>
              <w:snapToGrid w:val="0"/>
              <w:spacing w:line="300" w:lineRule="exact"/>
              <w:jc w:val="left"/>
              <w:rPr>
                <w:rFonts w:cs="宋体"/>
                <w:kern w:val="0"/>
                <w:sz w:val="24"/>
                <w:highlight w:val="yellow"/>
              </w:rPr>
            </w:pPr>
            <w:r>
              <w:rPr>
                <w:kern w:val="0"/>
                <w:sz w:val="24"/>
              </w:rPr>
              <w:t>审批文件名称及文号：河南省人民政府关于平顶山市所辖县（市、区）土地利用总体规划（2010-2020年）有关指标调整的批复，豫政土[2017]800号。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856" w:type="dxa"/>
            <w:vAlign w:val="center"/>
          </w:tcPr>
          <w:p>
            <w:pPr>
              <w:adjustRightInd w:val="0"/>
              <w:snapToGrid w:val="0"/>
              <w:spacing w:line="300" w:lineRule="exact"/>
              <w:jc w:val="center"/>
              <w:rPr>
                <w:rFonts w:cs="宋体"/>
                <w:sz w:val="24"/>
              </w:rPr>
            </w:pPr>
            <w:r>
              <w:rPr>
                <w:rFonts w:hint="eastAsia" w:cs="宋体"/>
                <w:sz w:val="24"/>
              </w:rPr>
              <w:t>规划环境影响</w:t>
            </w:r>
          </w:p>
          <w:p>
            <w:pPr>
              <w:adjustRightInd w:val="0"/>
              <w:snapToGrid w:val="0"/>
              <w:spacing w:line="300" w:lineRule="exact"/>
              <w:jc w:val="center"/>
              <w:rPr>
                <w:rFonts w:cs="宋体"/>
                <w:sz w:val="24"/>
              </w:rPr>
            </w:pPr>
            <w:r>
              <w:rPr>
                <w:rFonts w:hint="eastAsia" w:cs="宋体"/>
                <w:sz w:val="24"/>
              </w:rPr>
              <w:t>评价情况</w:t>
            </w:r>
          </w:p>
        </w:tc>
        <w:tc>
          <w:tcPr>
            <w:tcW w:w="7014" w:type="dxa"/>
            <w:gridSpan w:val="4"/>
            <w:vAlign w:val="center"/>
          </w:tcPr>
          <w:p>
            <w:pPr>
              <w:autoSpaceDE w:val="0"/>
              <w:autoSpaceDN w:val="0"/>
              <w:adjustRightInd w:val="0"/>
              <w:snapToGrid w:val="0"/>
              <w:spacing w:line="300" w:lineRule="exact"/>
              <w:jc w:val="center"/>
              <w:rPr>
                <w:rFonts w:cs="宋体"/>
                <w:kern w:val="0"/>
                <w:sz w:val="24"/>
                <w:highlight w:val="yellow"/>
              </w:rPr>
            </w:pPr>
            <w:r>
              <w:rPr>
                <w:rFonts w:hint="eastAsia" w:ascii="宋体" w:hAnsi="宋体" w:cs="宋体"/>
                <w:kern w:val="0"/>
                <w:sz w:val="24"/>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856" w:type="dxa"/>
            <w:vAlign w:val="center"/>
          </w:tcPr>
          <w:p>
            <w:pPr>
              <w:autoSpaceDE w:val="0"/>
              <w:autoSpaceDN w:val="0"/>
              <w:adjustRightInd w:val="0"/>
              <w:snapToGrid w:val="0"/>
              <w:spacing w:line="300" w:lineRule="exact"/>
              <w:jc w:val="center"/>
              <w:rPr>
                <w:rFonts w:cs="宋体"/>
                <w:spacing w:val="-16"/>
                <w:sz w:val="24"/>
              </w:rPr>
            </w:pPr>
            <w:r>
              <w:rPr>
                <w:rFonts w:hint="eastAsia" w:cs="宋体"/>
                <w:sz w:val="24"/>
              </w:rPr>
              <w:t>规划及</w:t>
            </w:r>
            <w:r>
              <w:rPr>
                <w:rFonts w:hint="eastAsia" w:cs="宋体"/>
                <w:spacing w:val="-16"/>
                <w:sz w:val="24"/>
              </w:rPr>
              <w:t>规划环境</w:t>
            </w:r>
          </w:p>
          <w:p>
            <w:pPr>
              <w:autoSpaceDE w:val="0"/>
              <w:autoSpaceDN w:val="0"/>
              <w:adjustRightInd w:val="0"/>
              <w:snapToGrid w:val="0"/>
              <w:spacing w:line="300" w:lineRule="exact"/>
              <w:jc w:val="center"/>
              <w:rPr>
                <w:rFonts w:cs="宋体"/>
                <w:sz w:val="24"/>
              </w:rPr>
            </w:pPr>
            <w:r>
              <w:rPr>
                <w:rFonts w:hint="eastAsia" w:cs="宋体"/>
                <w:spacing w:val="-16"/>
                <w:sz w:val="24"/>
              </w:rPr>
              <w:t>影响评价符合性分析</w:t>
            </w:r>
          </w:p>
        </w:tc>
        <w:tc>
          <w:tcPr>
            <w:tcW w:w="7014" w:type="dxa"/>
            <w:gridSpan w:val="4"/>
            <w:vAlign w:val="center"/>
          </w:tcPr>
          <w:p>
            <w:pPr>
              <w:rPr>
                <w:rFonts w:cs="宋体"/>
                <w:kern w:val="0"/>
                <w:sz w:val="24"/>
              </w:rPr>
            </w:pPr>
            <w:r>
              <w:rPr>
                <w:rFonts w:hint="eastAsia" w:ascii="宋体" w:hAnsi="宋体" w:cs="宋体"/>
                <w:kern w:val="0"/>
                <w:sz w:val="24"/>
              </w:rPr>
              <w:t>本项目利用</w:t>
            </w:r>
            <w:r>
              <w:rPr>
                <w:rFonts w:hint="eastAsia" w:cs="宋体"/>
                <w:bCs/>
                <w:kern w:val="0"/>
                <w:sz w:val="24"/>
              </w:rPr>
              <w:t>鲁山县远宏炭素材料有限公司</w:t>
            </w:r>
            <w:r>
              <w:rPr>
                <w:rFonts w:ascii="宋体" w:hAnsi="宋体" w:cs="宋体"/>
                <w:kern w:val="0"/>
                <w:sz w:val="24"/>
              </w:rPr>
              <w:t>原厂区空地建设，</w:t>
            </w:r>
            <w:r>
              <w:rPr>
                <w:rFonts w:hint="eastAsia" w:ascii="宋体" w:hAnsi="宋体" w:cs="宋体"/>
                <w:kern w:val="0"/>
                <w:sz w:val="24"/>
              </w:rPr>
              <w:t>属于建设用地</w:t>
            </w:r>
            <w:r>
              <w:rPr>
                <w:rFonts w:ascii="宋体" w:hAnsi="宋体" w:cs="宋体"/>
                <w:kern w:val="0"/>
                <w:sz w:val="24"/>
              </w:rPr>
              <w:t>，</w:t>
            </w:r>
            <w:r>
              <w:rPr>
                <w:rFonts w:hint="eastAsia" w:ascii="宋体" w:hAnsi="宋体" w:cs="宋体"/>
                <w:kern w:val="0"/>
                <w:sz w:val="24"/>
              </w:rPr>
              <w:t>符合辛集乡土地</w:t>
            </w:r>
            <w:r>
              <w:rPr>
                <w:rFonts w:ascii="宋体" w:hAnsi="宋体" w:cs="宋体"/>
                <w:kern w:val="0"/>
                <w:sz w:val="24"/>
              </w:rPr>
              <w:t>利用总体规划，证明见</w:t>
            </w:r>
            <w:r>
              <w:rPr>
                <w:rFonts w:hint="eastAsia" w:ascii="宋体" w:hAnsi="宋体" w:cs="宋体"/>
                <w:kern w:val="0"/>
                <w:sz w:val="24"/>
              </w:rPr>
              <w:t>附件五</w:t>
            </w:r>
            <w:r>
              <w:rPr>
                <w:rFonts w:ascii="宋体" w:hAnsi="宋体" w:cs="宋体"/>
                <w:kern w:val="0"/>
                <w:sz w:val="24"/>
              </w:rPr>
              <w:t>。</w:t>
            </w:r>
          </w:p>
        </w:tc>
      </w:tr>
    </w:tbl>
    <w:p>
      <w:pPr>
        <w:spacing w:line="360" w:lineRule="auto"/>
        <w:outlineLvl w:val="0"/>
        <w:rPr>
          <w:sz w:val="30"/>
        </w:rPr>
        <w:sectPr>
          <w:footerReference r:id="rId3" w:type="default"/>
          <w:pgSz w:w="11906" w:h="16838"/>
          <w:pgMar w:top="1701" w:right="1531" w:bottom="1701" w:left="1531" w:header="851" w:footer="1077" w:gutter="0"/>
          <w:pgNumType w:start="1"/>
          <w:cols w:space="720" w:num="1"/>
          <w:docGrid w:linePitch="312" w:charSpace="0"/>
        </w:sectPr>
      </w:pPr>
    </w:p>
    <w:tbl>
      <w:tblPr>
        <w:tblStyle w:val="22"/>
        <w:tblW w:w="13457"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45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762" w:hRule="atLeast"/>
        </w:trPr>
        <w:tc>
          <w:tcPr>
            <w:tcW w:w="13457" w:type="dxa"/>
            <w:vAlign w:val="center"/>
          </w:tcPr>
          <w:p>
            <w:pPr>
              <w:autoSpaceDE w:val="0"/>
              <w:autoSpaceDN w:val="0"/>
              <w:adjustRightInd w:val="0"/>
              <w:snapToGrid w:val="0"/>
              <w:spacing w:line="360" w:lineRule="auto"/>
              <w:jc w:val="left"/>
              <w:rPr>
                <w:sz w:val="24"/>
              </w:rPr>
            </w:pPr>
            <w:r>
              <w:rPr>
                <w:rFonts w:hint="eastAsia"/>
                <w:sz w:val="24"/>
              </w:rPr>
              <w:t>其他符合性分析</w:t>
            </w:r>
          </w:p>
          <w:p>
            <w:pPr>
              <w:autoSpaceDE w:val="0"/>
              <w:autoSpaceDN w:val="0"/>
              <w:adjustRightInd w:val="0"/>
              <w:snapToGrid w:val="0"/>
              <w:spacing w:line="400" w:lineRule="exact"/>
              <w:ind w:firstLine="361" w:firstLineChars="150"/>
              <w:rPr>
                <w:rFonts w:cs="宋体"/>
                <w:b/>
                <w:bCs/>
                <w:kern w:val="0"/>
                <w:sz w:val="24"/>
              </w:rPr>
            </w:pPr>
            <w:r>
              <w:rPr>
                <w:rFonts w:hint="eastAsia" w:cs="宋体"/>
                <w:b/>
                <w:bCs/>
                <w:kern w:val="0"/>
                <w:sz w:val="24"/>
              </w:rPr>
              <w:t>1</w:t>
            </w:r>
            <w:r>
              <w:rPr>
                <w:rFonts w:cs="宋体"/>
                <w:b/>
                <w:bCs/>
                <w:kern w:val="0"/>
                <w:sz w:val="24"/>
              </w:rPr>
              <w:t>、项目与“三线一单”相</w:t>
            </w:r>
            <w:r>
              <w:rPr>
                <w:rFonts w:hint="eastAsia" w:cs="宋体"/>
                <w:b/>
                <w:bCs/>
                <w:kern w:val="0"/>
                <w:sz w:val="24"/>
              </w:rPr>
              <w:t>符</w:t>
            </w:r>
            <w:r>
              <w:rPr>
                <w:rFonts w:cs="宋体"/>
                <w:b/>
                <w:bCs/>
                <w:kern w:val="0"/>
                <w:sz w:val="24"/>
              </w:rPr>
              <w:t>性</w:t>
            </w:r>
            <w:r>
              <w:rPr>
                <w:rFonts w:hint="eastAsia" w:cs="宋体"/>
                <w:b/>
                <w:bCs/>
                <w:kern w:val="0"/>
                <w:sz w:val="24"/>
              </w:rPr>
              <w:t>分析</w:t>
            </w:r>
          </w:p>
          <w:p>
            <w:pPr>
              <w:autoSpaceDE w:val="0"/>
              <w:autoSpaceDN w:val="0"/>
              <w:adjustRightInd w:val="0"/>
              <w:snapToGrid w:val="0"/>
              <w:spacing w:line="400" w:lineRule="exact"/>
              <w:ind w:firstLine="480" w:firstLineChars="200"/>
              <w:rPr>
                <w:rFonts w:cs="宋体"/>
                <w:kern w:val="0"/>
                <w:sz w:val="24"/>
              </w:rPr>
            </w:pPr>
            <w:r>
              <w:rPr>
                <w:rFonts w:hint="eastAsia" w:cs="宋体"/>
                <w:kern w:val="0"/>
                <w:sz w:val="24"/>
              </w:rPr>
              <w:t>根据2021</w:t>
            </w:r>
            <w:r>
              <w:rPr>
                <w:rFonts w:cs="宋体"/>
                <w:kern w:val="0"/>
                <w:sz w:val="24"/>
              </w:rPr>
              <w:t>年9月30日</w:t>
            </w:r>
            <w:r>
              <w:rPr>
                <w:rFonts w:hint="eastAsia" w:cs="宋体"/>
                <w:kern w:val="0"/>
                <w:sz w:val="24"/>
              </w:rPr>
              <w:t>平顶山市生态</w:t>
            </w:r>
            <w:r>
              <w:rPr>
                <w:rFonts w:cs="宋体"/>
                <w:kern w:val="0"/>
                <w:sz w:val="24"/>
              </w:rPr>
              <w:t>环境局发布</w:t>
            </w:r>
            <w:r>
              <w:rPr>
                <w:rFonts w:hint="eastAsia" w:cs="宋体"/>
                <w:kern w:val="0"/>
                <w:sz w:val="24"/>
              </w:rPr>
              <w:t>的《平顶山市生态</w:t>
            </w:r>
            <w:r>
              <w:rPr>
                <w:rFonts w:cs="宋体"/>
                <w:kern w:val="0"/>
                <w:sz w:val="24"/>
              </w:rPr>
              <w:t>环境局关于组织实施平顶山市“</w:t>
            </w:r>
            <w:r>
              <w:rPr>
                <w:rFonts w:hint="eastAsia" w:cs="宋体"/>
                <w:kern w:val="0"/>
                <w:sz w:val="24"/>
              </w:rPr>
              <w:t>三线一单</w:t>
            </w:r>
            <w:r>
              <w:rPr>
                <w:rFonts w:cs="宋体"/>
                <w:kern w:val="0"/>
                <w:sz w:val="24"/>
              </w:rPr>
              <w:t>”</w:t>
            </w:r>
            <w:r>
              <w:rPr>
                <w:rFonts w:hint="eastAsia" w:cs="宋体"/>
                <w:kern w:val="0"/>
                <w:sz w:val="24"/>
              </w:rPr>
              <w:t>生态</w:t>
            </w:r>
            <w:r>
              <w:rPr>
                <w:rFonts w:cs="宋体"/>
                <w:kern w:val="0"/>
                <w:sz w:val="24"/>
              </w:rPr>
              <w:t>环境</w:t>
            </w:r>
            <w:r>
              <w:rPr>
                <w:rFonts w:hint="eastAsia" w:cs="宋体"/>
                <w:kern w:val="0"/>
                <w:sz w:val="24"/>
              </w:rPr>
              <w:t>分区</w:t>
            </w:r>
            <w:r>
              <w:rPr>
                <w:rFonts w:cs="宋体"/>
                <w:kern w:val="0"/>
                <w:sz w:val="24"/>
              </w:rPr>
              <w:t>管控准入清单的函》（</w:t>
            </w:r>
            <w:r>
              <w:rPr>
                <w:rFonts w:hint="eastAsia" w:cs="宋体"/>
                <w:kern w:val="0"/>
                <w:sz w:val="24"/>
              </w:rPr>
              <w:t>平</w:t>
            </w:r>
            <w:r>
              <w:rPr>
                <w:rFonts w:cs="宋体"/>
                <w:kern w:val="0"/>
                <w:sz w:val="24"/>
              </w:rPr>
              <w:t>政</w:t>
            </w:r>
            <w:r>
              <w:rPr>
                <w:rFonts w:hint="eastAsia" w:cs="宋体"/>
                <w:kern w:val="0"/>
                <w:sz w:val="24"/>
              </w:rPr>
              <w:t>〔2021〕</w:t>
            </w:r>
            <w:r>
              <w:rPr>
                <w:rFonts w:cs="宋体"/>
                <w:kern w:val="0"/>
                <w:sz w:val="24"/>
              </w:rPr>
              <w:t>121号），</w:t>
            </w:r>
            <w:r>
              <w:rPr>
                <w:rFonts w:hint="eastAsia" w:cs="宋体"/>
                <w:kern w:val="0"/>
                <w:sz w:val="24"/>
              </w:rPr>
              <w:t>平顶山市</w:t>
            </w:r>
            <w:r>
              <w:rPr>
                <w:rFonts w:cs="宋体"/>
                <w:kern w:val="0"/>
                <w:sz w:val="24"/>
              </w:rPr>
              <w:t>生态环境总体准入要求见表</w:t>
            </w:r>
            <w:r>
              <w:rPr>
                <w:rFonts w:hint="eastAsia" w:cs="宋体"/>
                <w:kern w:val="0"/>
                <w:sz w:val="24"/>
              </w:rPr>
              <w:t>1-1，管控单元的管控要求以及本项目与有关要求的相符性见表1~</w:t>
            </w:r>
            <w:r>
              <w:rPr>
                <w:rFonts w:cs="宋体"/>
                <w:kern w:val="0"/>
                <w:sz w:val="24"/>
              </w:rPr>
              <w:t>2</w:t>
            </w:r>
            <w:r>
              <w:rPr>
                <w:rFonts w:hint="eastAsia" w:cs="宋体"/>
                <w:kern w:val="0"/>
                <w:sz w:val="24"/>
              </w:rPr>
              <w:t>和</w:t>
            </w:r>
            <w:r>
              <w:rPr>
                <w:rFonts w:cs="宋体"/>
                <w:kern w:val="0"/>
                <w:sz w:val="24"/>
              </w:rPr>
              <w:t>附图</w:t>
            </w:r>
            <w:r>
              <w:rPr>
                <w:rFonts w:hint="eastAsia" w:cs="宋体"/>
                <w:kern w:val="0"/>
                <w:sz w:val="24"/>
              </w:rPr>
              <w:t>三。</w:t>
            </w:r>
          </w:p>
          <w:p>
            <w:pPr>
              <w:pStyle w:val="44"/>
              <w:tabs>
                <w:tab w:val="left" w:pos="895"/>
                <w:tab w:val="clear" w:pos="1322"/>
              </w:tabs>
              <w:spacing w:line="320" w:lineRule="exact"/>
              <w:ind w:firstLine="1800" w:firstLineChars="750"/>
              <w:jc w:val="both"/>
              <w:rPr>
                <w:rFonts w:ascii="黑体" w:hAnsi="黑体"/>
                <w:b w:val="0"/>
                <w:sz w:val="24"/>
                <w:szCs w:val="24"/>
              </w:rPr>
            </w:pPr>
            <w:r>
              <w:rPr>
                <w:rFonts w:hint="eastAsia" w:ascii="黑体" w:hAnsi="黑体" w:cs="宋体"/>
                <w:b w:val="0"/>
                <w:sz w:val="24"/>
              </w:rPr>
              <w:t>表</w:t>
            </w:r>
            <w:r>
              <w:rPr>
                <w:rFonts w:ascii="黑体" w:hAnsi="黑体"/>
                <w:b w:val="0"/>
                <w:sz w:val="24"/>
                <w:szCs w:val="24"/>
              </w:rPr>
              <w:t xml:space="preserve">1           </w:t>
            </w:r>
            <w:r>
              <w:rPr>
                <w:rFonts w:hint="eastAsia" w:ascii="黑体" w:hAnsi="黑体"/>
                <w:b w:val="0"/>
                <w:sz w:val="24"/>
                <w:szCs w:val="24"/>
              </w:rPr>
              <w:t xml:space="preserve"> 平顶山市生态</w:t>
            </w:r>
            <w:r>
              <w:rPr>
                <w:rFonts w:ascii="黑体" w:hAnsi="黑体"/>
                <w:b w:val="0"/>
                <w:sz w:val="24"/>
                <w:szCs w:val="24"/>
              </w:rPr>
              <w:t>环境总体准入要求</w:t>
            </w:r>
            <w:r>
              <w:rPr>
                <w:rFonts w:hint="eastAsia" w:ascii="黑体" w:hAnsi="黑体"/>
                <w:b w:val="0"/>
                <w:sz w:val="24"/>
                <w:szCs w:val="24"/>
              </w:rPr>
              <w:t>相符性一览表</w:t>
            </w:r>
          </w:p>
          <w:tbl>
            <w:tblPr>
              <w:tblStyle w:val="23"/>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873"/>
              <w:gridCol w:w="7240"/>
              <w:gridCol w:w="3958"/>
              <w:gridCol w:w="1136"/>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65" w:hRule="atLeast"/>
              </w:trPr>
              <w:tc>
                <w:tcPr>
                  <w:tcW w:w="873" w:type="dxa"/>
                  <w:tcMar>
                    <w:top w:w="28" w:type="dxa"/>
                    <w:left w:w="85" w:type="dxa"/>
                    <w:bottom w:w="28" w:type="dxa"/>
                    <w:right w:w="85" w:type="dxa"/>
                  </w:tcMar>
                  <w:vAlign w:val="center"/>
                </w:tcPr>
                <w:p>
                  <w:pPr>
                    <w:autoSpaceDE w:val="0"/>
                    <w:autoSpaceDN w:val="0"/>
                    <w:adjustRightInd w:val="0"/>
                    <w:snapToGrid w:val="0"/>
                    <w:spacing w:line="26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维度</w:t>
                  </w:r>
                </w:p>
              </w:tc>
              <w:tc>
                <w:tcPr>
                  <w:tcW w:w="7240" w:type="dxa"/>
                  <w:tcMar>
                    <w:top w:w="28" w:type="dxa"/>
                    <w:left w:w="85" w:type="dxa"/>
                    <w:bottom w:w="28" w:type="dxa"/>
                    <w:right w:w="85" w:type="dxa"/>
                  </w:tcMar>
                  <w:vAlign w:val="center"/>
                </w:tcPr>
                <w:p>
                  <w:pPr>
                    <w:pStyle w:val="44"/>
                    <w:tabs>
                      <w:tab w:val="left" w:pos="895"/>
                      <w:tab w:val="clear" w:pos="1322"/>
                    </w:tabs>
                    <w:spacing w:line="260" w:lineRule="exact"/>
                    <w:rPr>
                      <w:rFonts w:asciiTheme="minorEastAsia" w:hAnsiTheme="minorEastAsia" w:eastAsiaTheme="minorEastAsia"/>
                      <w:b w:val="0"/>
                      <w:sz w:val="24"/>
                      <w:szCs w:val="24"/>
                    </w:rPr>
                  </w:pPr>
                  <w:r>
                    <w:rPr>
                      <w:rFonts w:hint="eastAsia" w:cs="宋体" w:asciiTheme="minorEastAsia" w:hAnsiTheme="minorEastAsia" w:eastAsiaTheme="minorEastAsia"/>
                      <w:b w:val="0"/>
                      <w:sz w:val="21"/>
                      <w:szCs w:val="21"/>
                    </w:rPr>
                    <w:t>管控</w:t>
                  </w:r>
                  <w:r>
                    <w:rPr>
                      <w:rFonts w:cs="宋体" w:asciiTheme="minorEastAsia" w:hAnsiTheme="minorEastAsia" w:eastAsiaTheme="minorEastAsia"/>
                      <w:b w:val="0"/>
                      <w:sz w:val="21"/>
                      <w:szCs w:val="21"/>
                    </w:rPr>
                    <w:t>要求</w:t>
                  </w:r>
                </w:p>
              </w:tc>
              <w:tc>
                <w:tcPr>
                  <w:tcW w:w="3958" w:type="dxa"/>
                  <w:vAlign w:val="center"/>
                </w:tcPr>
                <w:p>
                  <w:pPr>
                    <w:pStyle w:val="44"/>
                    <w:tabs>
                      <w:tab w:val="left" w:pos="895"/>
                      <w:tab w:val="clear" w:pos="1322"/>
                    </w:tabs>
                    <w:spacing w:line="280" w:lineRule="exact"/>
                    <w:rPr>
                      <w:rFonts w:asciiTheme="minorEastAsia" w:hAnsiTheme="minorEastAsia" w:eastAsiaTheme="minorEastAsia"/>
                      <w:b w:val="0"/>
                      <w:sz w:val="24"/>
                      <w:szCs w:val="24"/>
                    </w:rPr>
                  </w:pPr>
                  <w:r>
                    <w:rPr>
                      <w:rFonts w:hint="eastAsia" w:cs="宋体" w:asciiTheme="minorEastAsia" w:hAnsiTheme="minorEastAsia" w:eastAsiaTheme="minorEastAsia"/>
                      <w:b w:val="0"/>
                      <w:sz w:val="21"/>
                      <w:szCs w:val="21"/>
                    </w:rPr>
                    <w:t>本</w:t>
                  </w:r>
                  <w:r>
                    <w:rPr>
                      <w:rFonts w:cs="宋体" w:asciiTheme="minorEastAsia" w:hAnsiTheme="minorEastAsia" w:eastAsiaTheme="minorEastAsia"/>
                      <w:b w:val="0"/>
                      <w:sz w:val="21"/>
                      <w:szCs w:val="21"/>
                    </w:rPr>
                    <w:t>项目情况</w:t>
                  </w:r>
                </w:p>
              </w:tc>
              <w:tc>
                <w:tcPr>
                  <w:tcW w:w="1136" w:type="dxa"/>
                  <w:vAlign w:val="center"/>
                </w:tcPr>
                <w:p>
                  <w:pPr>
                    <w:pStyle w:val="44"/>
                    <w:tabs>
                      <w:tab w:val="left" w:pos="895"/>
                      <w:tab w:val="clear" w:pos="1322"/>
                    </w:tabs>
                    <w:spacing w:line="280" w:lineRule="exact"/>
                    <w:rPr>
                      <w:rFonts w:ascii="黑体" w:hAnsi="黑体"/>
                      <w:b w:val="0"/>
                      <w:sz w:val="24"/>
                      <w:szCs w:val="24"/>
                    </w:rPr>
                  </w:pPr>
                  <w:r>
                    <w:rPr>
                      <w:rFonts w:hint="eastAsia" w:cs="宋体"/>
                      <w:b w:val="0"/>
                      <w:sz w:val="21"/>
                      <w:szCs w:val="21"/>
                    </w:rPr>
                    <w:t>相符性</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65" w:hRule="atLeast"/>
              </w:trPr>
              <w:tc>
                <w:tcPr>
                  <w:tcW w:w="873" w:type="dxa"/>
                  <w:tcMar>
                    <w:top w:w="28" w:type="dxa"/>
                    <w:left w:w="85" w:type="dxa"/>
                    <w:bottom w:w="28" w:type="dxa"/>
                    <w:right w:w="85" w:type="dxa"/>
                  </w:tcMar>
                  <w:vAlign w:val="center"/>
                </w:tcPr>
                <w:p>
                  <w:pPr>
                    <w:autoSpaceDE w:val="0"/>
                    <w:autoSpaceDN w:val="0"/>
                    <w:adjustRightInd w:val="0"/>
                    <w:snapToGrid w:val="0"/>
                    <w:spacing w:line="260" w:lineRule="exact"/>
                    <w:jc w:val="center"/>
                    <w:rPr>
                      <w:rFonts w:cs="宋体"/>
                      <w:kern w:val="0"/>
                      <w:szCs w:val="21"/>
                    </w:rPr>
                  </w:pPr>
                  <w:r>
                    <w:rPr>
                      <w:rFonts w:hint="eastAsia" w:cs="宋体"/>
                      <w:kern w:val="0"/>
                      <w:szCs w:val="21"/>
                    </w:rPr>
                    <w:t>空间布局约束</w:t>
                  </w:r>
                </w:p>
              </w:tc>
              <w:tc>
                <w:tcPr>
                  <w:tcW w:w="7240" w:type="dxa"/>
                  <w:tcMar>
                    <w:top w:w="28" w:type="dxa"/>
                    <w:left w:w="85" w:type="dxa"/>
                    <w:bottom w:w="28" w:type="dxa"/>
                    <w:right w:w="85" w:type="dxa"/>
                  </w:tcMar>
                  <w:vAlign w:val="center"/>
                </w:tcPr>
                <w:p>
                  <w:pPr>
                    <w:autoSpaceDE w:val="0"/>
                    <w:autoSpaceDN w:val="0"/>
                    <w:adjustRightInd w:val="0"/>
                    <w:snapToGrid w:val="0"/>
                    <w:spacing w:line="260" w:lineRule="exact"/>
                    <w:rPr>
                      <w:kern w:val="0"/>
                      <w:szCs w:val="21"/>
                    </w:rPr>
                  </w:pPr>
                  <w:r>
                    <w:rPr>
                      <w:kern w:val="0"/>
                      <w:szCs w:val="21"/>
                      <w:lang w:bidi="ar"/>
                    </w:rPr>
                    <w:t>1.全市原则上禁止新建、扩建单纯新增产能的钢铁、电解铝、水泥、平板玻璃、传统煤化工（甲醇、合成氨）、焦化、铸造、铝用炭素、耐火材料制品、砖瓦窑、铅锌冶炼(含再生铅)等高耗能、高排放和产能过剩的产业项目。</w:t>
                  </w:r>
                  <w:r>
                    <w:rPr>
                      <w:kern w:val="0"/>
                      <w:szCs w:val="21"/>
                      <w:lang w:bidi="ar"/>
                    </w:rPr>
                    <w:br w:type="textWrapping"/>
                  </w:r>
                  <w:r>
                    <w:rPr>
                      <w:kern w:val="0"/>
                      <w:szCs w:val="21"/>
                      <w:lang w:bidi="ar"/>
                    </w:rPr>
                    <w:t>2.禁燃区内禁止新建火电、水泥、铸造、陶瓷、焦化、洗煤、烧结砖等高污染项目；禁止燃烧原（散）煤、蜂窝煤、焦炭、木炭、煤矸石、煤泥、煤焦油、重油、渣油等燃料；禁止燃烧各种可燃废物和直接燃用生物质燃料，已建成的使用高污染燃料的各类设施限期拆除或改造，对于超出规定期限继续燃用高污染燃料的设施，责令拆除或者没收。综合采用“电代煤”“气代煤”、清洁能源替代散煤等多种方式，减少燃煤散烧污染。</w:t>
                  </w:r>
                  <w:r>
                    <w:rPr>
                      <w:kern w:val="0"/>
                      <w:szCs w:val="21"/>
                      <w:lang w:bidi="ar"/>
                    </w:rPr>
                    <w:br w:type="textWrapping"/>
                  </w:r>
                  <w:r>
                    <w:rPr>
                      <w:kern w:val="0"/>
                      <w:szCs w:val="21"/>
                      <w:lang w:bidi="ar"/>
                    </w:rPr>
                    <w:t>3.在南水北调中线总干渠一级饮用水源保护区内，禁止新建、改建、扩建与供水设施和保护水源无关的建设项目。在二级饮用水源保护区内，禁止新建、改建、扩建排放污染物的建设项目。</w:t>
                  </w:r>
                  <w:r>
                    <w:rPr>
                      <w:kern w:val="0"/>
                      <w:szCs w:val="21"/>
                      <w:lang w:bidi="ar"/>
                    </w:rPr>
                    <w:br w:type="textWrapping"/>
                  </w:r>
                  <w:r>
                    <w:rPr>
                      <w:kern w:val="0"/>
                      <w:szCs w:val="21"/>
                      <w:lang w:bidi="ar"/>
                    </w:rPr>
                    <w:t>4.在饮用水水源保护区内，禁止设置排污口。禁止在饮用水水源一级保护区内新建、改建、扩建与供水设施和保护水源无关的建设项目；禁止在饮用水水源一级保护区内从事网箱养殖、旅游、游泳、垂钓或者其他可能污染饮用水水体的活动。禁止在饮用水水源二级保护区内新建、改建、扩建排放污染物的建设项目；在饮用水水源二级保护区内从事网箱养殖、旅游等活动的，应当按照规定采取措施，防止污染饮用水水体。禁止在饮用水水源准保护区内新建、扩建对水体污染严重的建设项目；改建建设项目，不得增加排污量。</w:t>
                  </w:r>
                  <w:r>
                    <w:rPr>
                      <w:kern w:val="0"/>
                      <w:szCs w:val="21"/>
                      <w:lang w:bidi="ar"/>
                    </w:rPr>
                    <w:br w:type="textWrapping"/>
                  </w:r>
                  <w:r>
                    <w:rPr>
                      <w:kern w:val="0"/>
                      <w:szCs w:val="21"/>
                      <w:lang w:bidi="ar"/>
                    </w:rPr>
                    <w:t>5.禁养区内禁止建设畜禽养殖场和养殖小区。</w:t>
                  </w:r>
                  <w:r>
                    <w:rPr>
                      <w:kern w:val="0"/>
                      <w:szCs w:val="21"/>
                      <w:lang w:bidi="ar"/>
                    </w:rPr>
                    <w:br w:type="textWrapping"/>
                  </w:r>
                  <w:r>
                    <w:rPr>
                      <w:kern w:val="0"/>
                      <w:szCs w:val="21"/>
                      <w:lang w:bidi="ar"/>
                    </w:rPr>
                    <w:t>6.禁止在地质环境脆弱区开发矿产资源，禁止开挖耕地烧制实心砖瓦；已查明资源储量的水泥用灰岩、化工用灰岩、溶剂用灰岩矿区内，禁止将灰岩作建筑石料用矿产开采。禁止开采区内，除国家基础性、公益性地质调查及符合政策要求的、以国家战略性矿产地储备为目的的矿产资源勘查项目外，一律不得新设探矿权、采矿权，严厉打击和取缔违法采矿活动。</w:t>
                  </w:r>
                  <w:r>
                    <w:rPr>
                      <w:kern w:val="0"/>
                      <w:szCs w:val="21"/>
                      <w:lang w:bidi="ar"/>
                    </w:rPr>
                    <w:br w:type="textWrapping"/>
                  </w:r>
                  <w:r>
                    <w:rPr>
                      <w:kern w:val="0"/>
                      <w:szCs w:val="21"/>
                      <w:lang w:bidi="ar"/>
                    </w:rPr>
                    <w:t>7.严格限制“两高”项目盲目发展。</w:t>
                  </w:r>
                  <w:r>
                    <w:rPr>
                      <w:kern w:val="0"/>
                      <w:szCs w:val="21"/>
                      <w:lang w:bidi="ar"/>
                    </w:rPr>
                    <w:br w:type="textWrapping"/>
                  </w:r>
                  <w:r>
                    <w:rPr>
                      <w:kern w:val="0"/>
                      <w:szCs w:val="21"/>
                      <w:lang w:bidi="ar"/>
                    </w:rPr>
                    <w:t>8.一级保护区内已建成的与供水设施和保护水源无关的建设项目，由县级以上人民政府责令拆除或者关闭。二级保护区内已建成的排放污染物的建设项目，由县级以上人民政府责令拆除或者关闭。</w:t>
                  </w:r>
                  <w:r>
                    <w:rPr>
                      <w:kern w:val="0"/>
                      <w:szCs w:val="21"/>
                      <w:lang w:bidi="ar"/>
                    </w:rPr>
                    <w:br w:type="textWrapping"/>
                  </w:r>
                  <w:r>
                    <w:rPr>
                      <w:kern w:val="0"/>
                      <w:szCs w:val="21"/>
                      <w:lang w:bidi="ar"/>
                    </w:rPr>
                    <w:t>9.石化、现代煤化工项目应纳入国家产业规划。新建、扩建石化、化工、焦化、有色金属冶炼、平板玻璃项目应布设在依法合规设立并经规划环评的产业园区。</w:t>
                  </w:r>
                  <w:r>
                    <w:rPr>
                      <w:kern w:val="0"/>
                      <w:szCs w:val="21"/>
                      <w:lang w:bidi="ar"/>
                    </w:rPr>
                    <w:br w:type="textWrapping"/>
                  </w:r>
                  <w:r>
                    <w:rPr>
                      <w:kern w:val="0"/>
                      <w:szCs w:val="21"/>
                      <w:lang w:bidi="ar"/>
                    </w:rPr>
                    <w:t>10.对澧河、沙河、北汝河及其主要支流、白龟山水库、昭平台水库、孤石滩水库、石漫滩水库、南水北调总干渠和流进中心城市的河流进行保护，其中包括白龟山水库的入库河流、沙河上游、大浪河、澎河、应河及中心城区内的湛河。保护区分为绝对生态控制区和建设控制区，保护范围在下层次规划中予以落实。除绿化以外的城市建设严禁占用绝对生态控制区内的河湖湿地。</w:t>
                  </w:r>
                </w:p>
              </w:tc>
              <w:tc>
                <w:tcPr>
                  <w:tcW w:w="3958" w:type="dxa"/>
                  <w:vAlign w:val="center"/>
                </w:tcPr>
                <w:p>
                  <w:pPr>
                    <w:autoSpaceDE w:val="0"/>
                    <w:autoSpaceDN w:val="0"/>
                    <w:adjustRightInd w:val="0"/>
                    <w:snapToGrid w:val="0"/>
                    <w:spacing w:line="280" w:lineRule="exact"/>
                    <w:rPr>
                      <w:spacing w:val="-10"/>
                      <w:kern w:val="0"/>
                      <w:szCs w:val="21"/>
                      <w:lang w:bidi="ar"/>
                    </w:rPr>
                  </w:pPr>
                  <w:r>
                    <w:rPr>
                      <w:spacing w:val="-10"/>
                      <w:kern w:val="0"/>
                      <w:szCs w:val="21"/>
                      <w:lang w:bidi="ar"/>
                    </w:rPr>
                    <w:t>1、本项目</w:t>
                  </w:r>
                  <w:r>
                    <w:rPr>
                      <w:rFonts w:hint="eastAsia"/>
                      <w:spacing w:val="-10"/>
                      <w:kern w:val="0"/>
                      <w:szCs w:val="21"/>
                      <w:lang w:bidi="ar"/>
                    </w:rPr>
                    <w:t>为</w:t>
                  </w:r>
                  <w:r>
                    <w:rPr>
                      <w:spacing w:val="-10"/>
                      <w:kern w:val="0"/>
                      <w:szCs w:val="21"/>
                      <w:lang w:bidi="ar"/>
                    </w:rPr>
                    <w:t>废弃资源综合利用业，不属于钢铁、电解铝、水泥、平板玻璃、传统煤化工（甲醇、合成氨）、焦化、铸造、铝用炭素、耐火材料制品、砖瓦窑、铅锌冶炼(含再生铅)、</w:t>
                  </w:r>
                  <w:r>
                    <w:rPr>
                      <w:kern w:val="0"/>
                      <w:szCs w:val="21"/>
                      <w:lang w:bidi="ar"/>
                    </w:rPr>
                    <w:t>火电、水泥、铸造、陶瓷、焦化、洗煤、烧结砖等项目</w:t>
                  </w:r>
                  <w:r>
                    <w:rPr>
                      <w:spacing w:val="-10"/>
                      <w:kern w:val="0"/>
                      <w:szCs w:val="21"/>
                      <w:lang w:bidi="ar"/>
                    </w:rPr>
                    <w:t>。</w:t>
                  </w:r>
                </w:p>
                <w:p>
                  <w:pPr>
                    <w:autoSpaceDE w:val="0"/>
                    <w:autoSpaceDN w:val="0"/>
                    <w:adjustRightInd w:val="0"/>
                    <w:snapToGrid w:val="0"/>
                    <w:spacing w:line="280" w:lineRule="exact"/>
                    <w:rPr>
                      <w:spacing w:val="-10"/>
                      <w:kern w:val="0"/>
                      <w:szCs w:val="21"/>
                    </w:rPr>
                  </w:pPr>
                  <w:r>
                    <w:rPr>
                      <w:spacing w:val="-10"/>
                      <w:kern w:val="0"/>
                      <w:szCs w:val="21"/>
                      <w:lang w:bidi="ar"/>
                    </w:rPr>
                    <w:t>2、项目东边界距离</w:t>
                  </w:r>
                  <w:r>
                    <w:rPr>
                      <w:kern w:val="0"/>
                      <w:szCs w:val="21"/>
                      <w:lang w:bidi="ar"/>
                    </w:rPr>
                    <w:t>南水北调中线总干渠（鲁山段）</w:t>
                  </w:r>
                  <w:r>
                    <w:rPr>
                      <w:rFonts w:hint="eastAsia"/>
                      <w:kern w:val="0"/>
                      <w:szCs w:val="21"/>
                      <w:lang w:bidi="ar"/>
                    </w:rPr>
                    <w:t>二</w:t>
                  </w:r>
                  <w:r>
                    <w:rPr>
                      <w:kern w:val="0"/>
                      <w:szCs w:val="21"/>
                      <w:lang w:bidi="ar"/>
                    </w:rPr>
                    <w:t>级饮用水源保护区1.5km，不在其保护范围内</w:t>
                  </w:r>
                  <w:r>
                    <w:rPr>
                      <w:rFonts w:hint="eastAsia"/>
                      <w:kern w:val="0"/>
                      <w:szCs w:val="21"/>
                      <w:lang w:bidi="ar"/>
                    </w:rPr>
                    <w:t>；</w:t>
                  </w:r>
                  <w:r>
                    <w:rPr>
                      <w:rFonts w:hint="eastAsia"/>
                      <w:szCs w:val="21"/>
                    </w:rPr>
                    <w:t>距离平顶山</w:t>
                  </w:r>
                  <w:r>
                    <w:rPr>
                      <w:szCs w:val="21"/>
                    </w:rPr>
                    <w:t>饮用水源保护区</w:t>
                  </w:r>
                  <w:r>
                    <w:rPr>
                      <w:rFonts w:hint="eastAsia"/>
                      <w:szCs w:val="21"/>
                    </w:rPr>
                    <w:t>沙河干流至白龟山水库之间的水域约4.5</w:t>
                  </w:r>
                  <w:r>
                    <w:rPr>
                      <w:szCs w:val="21"/>
                    </w:rPr>
                    <w:t>km，</w:t>
                  </w:r>
                  <w:r>
                    <w:rPr>
                      <w:rFonts w:hint="eastAsia"/>
                      <w:szCs w:val="21"/>
                    </w:rPr>
                    <w:t>不在饮用水源</w:t>
                  </w:r>
                  <w:r>
                    <w:rPr>
                      <w:szCs w:val="21"/>
                    </w:rPr>
                    <w:t>保护区范围内</w:t>
                  </w:r>
                  <w:r>
                    <w:rPr>
                      <w:rFonts w:hint="eastAsia"/>
                      <w:szCs w:val="21"/>
                    </w:rPr>
                    <w:t>。</w:t>
                  </w:r>
                </w:p>
              </w:tc>
              <w:tc>
                <w:tcPr>
                  <w:tcW w:w="1136" w:type="dxa"/>
                  <w:vAlign w:val="center"/>
                </w:tcPr>
                <w:p>
                  <w:pPr>
                    <w:autoSpaceDE w:val="0"/>
                    <w:autoSpaceDN w:val="0"/>
                    <w:adjustRightInd w:val="0"/>
                    <w:snapToGrid w:val="0"/>
                    <w:spacing w:line="280" w:lineRule="exact"/>
                    <w:jc w:val="center"/>
                    <w:rPr>
                      <w:rFonts w:cs="宋体"/>
                      <w:kern w:val="0"/>
                      <w:szCs w:val="21"/>
                    </w:rPr>
                  </w:pPr>
                  <w:r>
                    <w:rPr>
                      <w:rFonts w:hint="eastAsia" w:cs="宋体"/>
                      <w:kern w:val="0"/>
                      <w:szCs w:val="21"/>
                    </w:rPr>
                    <w:t>相符</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65" w:hRule="atLeast"/>
              </w:trPr>
              <w:tc>
                <w:tcPr>
                  <w:tcW w:w="873" w:type="dxa"/>
                  <w:tcMar>
                    <w:top w:w="28" w:type="dxa"/>
                    <w:left w:w="85" w:type="dxa"/>
                    <w:bottom w:w="28" w:type="dxa"/>
                    <w:right w:w="85" w:type="dxa"/>
                  </w:tcMar>
                  <w:vAlign w:val="center"/>
                </w:tcPr>
                <w:p>
                  <w:pPr>
                    <w:widowControl/>
                    <w:jc w:val="center"/>
                    <w:textAlignment w:val="center"/>
                    <w:rPr>
                      <w:rFonts w:cs="宋体"/>
                      <w:kern w:val="0"/>
                      <w:szCs w:val="21"/>
                    </w:rPr>
                  </w:pPr>
                  <w:r>
                    <w:rPr>
                      <w:rFonts w:hint="eastAsia" w:ascii="宋体" w:hAnsi="宋体" w:cs="宋体"/>
                      <w:kern w:val="0"/>
                      <w:sz w:val="22"/>
                      <w:szCs w:val="22"/>
                      <w:lang w:bidi="ar"/>
                    </w:rPr>
                    <w:t>污染物排放管控</w:t>
                  </w:r>
                </w:p>
              </w:tc>
              <w:tc>
                <w:tcPr>
                  <w:tcW w:w="7240" w:type="dxa"/>
                  <w:tcMar>
                    <w:top w:w="28" w:type="dxa"/>
                    <w:left w:w="85" w:type="dxa"/>
                    <w:bottom w:w="28" w:type="dxa"/>
                    <w:right w:w="85" w:type="dxa"/>
                  </w:tcMar>
                  <w:vAlign w:val="center"/>
                </w:tcPr>
                <w:p>
                  <w:pPr>
                    <w:widowControl/>
                    <w:spacing w:line="260" w:lineRule="exact"/>
                    <w:jc w:val="left"/>
                    <w:textAlignment w:val="center"/>
                    <w:rPr>
                      <w:rFonts w:ascii="宋体" w:hAnsi="宋体" w:cs="宋体"/>
                      <w:kern w:val="0"/>
                      <w:sz w:val="22"/>
                      <w:szCs w:val="22"/>
                      <w:lang w:bidi="ar"/>
                    </w:rPr>
                  </w:pPr>
                  <w:r>
                    <w:rPr>
                      <w:rFonts w:hint="eastAsia" w:ascii="宋体" w:hAnsi="宋体" w:cs="宋体"/>
                      <w:kern w:val="0"/>
                      <w:sz w:val="22"/>
                      <w:szCs w:val="22"/>
                      <w:lang w:bidi="ar"/>
                    </w:rPr>
                    <w:t>1.新、改、扩建项目主要污染物排放要求满足当地总量减排要求。</w:t>
                  </w:r>
                  <w:r>
                    <w:rPr>
                      <w:rFonts w:hint="eastAsia" w:ascii="宋体" w:hAnsi="宋体" w:cs="宋体"/>
                      <w:kern w:val="0"/>
                      <w:sz w:val="22"/>
                      <w:szCs w:val="22"/>
                      <w:lang w:bidi="ar"/>
                    </w:rPr>
                    <w:br w:type="textWrapping"/>
                  </w:r>
                  <w:r>
                    <w:rPr>
                      <w:rFonts w:hint="eastAsia" w:ascii="宋体" w:hAnsi="宋体" w:cs="宋体"/>
                      <w:kern w:val="0"/>
                      <w:sz w:val="22"/>
                      <w:szCs w:val="22"/>
                      <w:lang w:bidi="ar"/>
                    </w:rPr>
                    <w:t>2.在饮用水源保护区内，禁止设置排污口；禁止使用剧毒和高残留农药，不得滥用化肥；禁止利用渗坑、渗井、裂隙等排放污水和其他有害废弃物；禁止利用储水层孔隙、裂隙及废弃矿坑储存石油、放射性物质、有毒化学品、农药等。</w:t>
                  </w:r>
                  <w:r>
                    <w:rPr>
                      <w:rFonts w:hint="eastAsia" w:ascii="宋体" w:hAnsi="宋体" w:cs="宋体"/>
                      <w:kern w:val="0"/>
                      <w:sz w:val="22"/>
                      <w:szCs w:val="22"/>
                      <w:lang w:bidi="ar"/>
                    </w:rPr>
                    <w:br w:type="textWrapping"/>
                  </w:r>
                  <w:r>
                    <w:rPr>
                      <w:rFonts w:hint="eastAsia" w:ascii="宋体" w:hAnsi="宋体" w:cs="宋体"/>
                      <w:kern w:val="0"/>
                      <w:sz w:val="22"/>
                      <w:szCs w:val="22"/>
                      <w:lang w:bidi="ar"/>
                    </w:rPr>
                    <w:t>3.实施工业低碳行动，推进钢铁、煤化工、水泥、铝加工、玻璃、耐火材料制品、煤电等产业绿色、减量、提质发展，开展全流程清洁化、循环化、低碳化改造，加快建设绿色制造体系。</w:t>
                  </w:r>
                  <w:r>
                    <w:rPr>
                      <w:rFonts w:hint="eastAsia" w:ascii="宋体" w:hAnsi="宋体" w:cs="宋体"/>
                      <w:kern w:val="0"/>
                      <w:sz w:val="22"/>
                      <w:szCs w:val="22"/>
                      <w:lang w:bidi="ar"/>
                    </w:rPr>
                    <w:br w:type="textWrapping"/>
                  </w:r>
                  <w:r>
                    <w:rPr>
                      <w:rFonts w:hint="eastAsia" w:ascii="宋体" w:hAnsi="宋体" w:cs="宋体"/>
                      <w:kern w:val="0"/>
                      <w:sz w:val="22"/>
                      <w:szCs w:val="22"/>
                      <w:lang w:bidi="ar"/>
                    </w:rPr>
                    <w:t>4.完善新能源汽车推广应用</w:t>
                  </w:r>
                  <w:r>
                    <w:rPr>
                      <w:rFonts w:ascii="宋体" w:hAnsi="宋体" w:cs="宋体"/>
                      <w:kern w:val="0"/>
                      <w:sz w:val="22"/>
                      <w:szCs w:val="22"/>
                      <w:lang w:bidi="ar"/>
                    </w:rPr>
                    <w:t>…</w:t>
                  </w:r>
                </w:p>
                <w:p>
                  <w:pPr>
                    <w:widowControl/>
                    <w:spacing w:line="260" w:lineRule="exact"/>
                    <w:jc w:val="left"/>
                    <w:textAlignment w:val="center"/>
                    <w:rPr>
                      <w:rFonts w:ascii="宋体" w:hAnsi="宋体" w:cs="宋体"/>
                      <w:szCs w:val="21"/>
                    </w:rPr>
                  </w:pPr>
                  <w:r>
                    <w:rPr>
                      <w:rFonts w:hint="eastAsia" w:ascii="宋体" w:hAnsi="宋体" w:cs="宋体"/>
                      <w:kern w:val="0"/>
                      <w:sz w:val="22"/>
                      <w:szCs w:val="22"/>
                      <w:lang w:bidi="ar"/>
                    </w:rPr>
                    <w:t>5.</w:t>
                  </w:r>
                  <w:r>
                    <w:rPr>
                      <w:rStyle w:val="84"/>
                      <w:rFonts w:hint="default"/>
                      <w:color w:val="auto"/>
                      <w:lang w:bidi="ar"/>
                    </w:rPr>
                    <w:t>“十四五”期间，全市环境空气质量、地表水质量、地下水质量完成国家、省、市下达目标要求。</w:t>
                  </w:r>
                  <w:r>
                    <w:rPr>
                      <w:rFonts w:hint="eastAsia" w:ascii="宋体" w:hAnsi="宋体" w:cs="宋体"/>
                      <w:kern w:val="0"/>
                      <w:sz w:val="22"/>
                      <w:szCs w:val="22"/>
                      <w:lang w:bidi="ar"/>
                    </w:rPr>
                    <w:t>2021年，推进垃圾焚烧发电企业全面完成提标治理，焚烧炉烟气颗粒物、二氧化硫、氮氧化物排放浓度（1小时均值）在基准氧含量11%的条件下分别不高于10、35、100毫克/立方米，采用氨法脱硝、氨法脱硫工艺的垃圾焚烧废气氨排放浓度不高于8毫克/立方米。</w:t>
                  </w:r>
                  <w:r>
                    <w:rPr>
                      <w:rFonts w:hint="eastAsia" w:ascii="宋体" w:hAnsi="宋体" w:cs="宋体"/>
                      <w:kern w:val="0"/>
                      <w:sz w:val="22"/>
                      <w:szCs w:val="22"/>
                      <w:lang w:bidi="ar"/>
                    </w:rPr>
                    <w:br w:type="textWrapping"/>
                  </w:r>
                  <w:r>
                    <w:rPr>
                      <w:rFonts w:hint="eastAsia" w:ascii="宋体" w:hAnsi="宋体" w:cs="宋体"/>
                      <w:kern w:val="0"/>
                      <w:sz w:val="22"/>
                      <w:szCs w:val="22"/>
                      <w:lang w:bidi="ar"/>
                    </w:rPr>
                    <w:t>6.新建“两高”项目应按照《关于加强重点行业建设项目区域削减措施监督管理的通知》要求，依据区域环境质量改善目标，制定配套区域污染物削减方案，采取有效的污染物区域削减措施，腾出足够的环境容量。新建、扩建“两高”项目应采用先进适用的工艺技术和装备，单位产品物耗、能耗、水耗等达到清洁生产先进水平，依法制定并严格落实防治土壤与地下水污染的措施。国家或地方已出台超低排放要求的“两高”行业建设项目应满足超低排放要求。</w:t>
                  </w:r>
                  <w:r>
                    <w:rPr>
                      <w:rFonts w:hint="eastAsia" w:ascii="宋体" w:hAnsi="宋体" w:cs="宋体"/>
                      <w:kern w:val="0"/>
                      <w:sz w:val="22"/>
                      <w:szCs w:val="22"/>
                      <w:lang w:bidi="ar"/>
                    </w:rPr>
                    <w:br w:type="textWrapping"/>
                  </w:r>
                  <w:r>
                    <w:rPr>
                      <w:rFonts w:hint="eastAsia" w:ascii="宋体" w:hAnsi="宋体" w:cs="宋体"/>
                      <w:kern w:val="0"/>
                      <w:sz w:val="22"/>
                      <w:szCs w:val="22"/>
                      <w:lang w:bidi="ar"/>
                    </w:rPr>
                    <w:t>7.开展清洁取暖“双替代”巩固提升行动，对完成“双替代”供暖改造的区域开展“回头看”，查漏补缺，落实电力和天然气供应保障和电价气价优惠政策。在已公告划定为“禁煤区”的区域，开展散煤治理行动，依法查处违规销售、储存、运输、使用洁净型煤和散煤的行为，严防严控散煤复烧，确保全市平原地区散煤清零。对不具备“双替代”改造条件的边远山区实行洁净型煤兜底全覆盖。</w:t>
                  </w:r>
                  <w:r>
                    <w:rPr>
                      <w:rFonts w:hint="eastAsia" w:ascii="宋体" w:hAnsi="宋体" w:cs="宋体"/>
                      <w:kern w:val="0"/>
                      <w:sz w:val="22"/>
                      <w:szCs w:val="22"/>
                      <w:lang w:bidi="ar"/>
                    </w:rPr>
                    <w:br w:type="textWrapping"/>
                  </w:r>
                  <w:r>
                    <w:rPr>
                      <w:rFonts w:hint="eastAsia" w:ascii="宋体" w:hAnsi="宋体" w:cs="宋体"/>
                      <w:kern w:val="0"/>
                      <w:sz w:val="22"/>
                      <w:szCs w:val="22"/>
                      <w:lang w:bidi="ar"/>
                    </w:rPr>
                    <w:t>8.加强八里河、净肠河、灰河、将相河4个水环境质量改善河流的治理力度，采取控源截污、清淤、生态修复等措施，确保水环境质量持续改善。对现状水质较好的沙河、北汝河、澧河源头及干流河段开展生态环境安全评估，实施生态环境保护和综合治理，恢复水生态系统完整性，确保良好水体水质稳定。</w:t>
                  </w:r>
                  <w:r>
                    <w:rPr>
                      <w:rFonts w:hint="eastAsia" w:ascii="宋体" w:hAnsi="宋体" w:cs="宋体"/>
                      <w:kern w:val="0"/>
                      <w:sz w:val="22"/>
                      <w:szCs w:val="22"/>
                      <w:lang w:bidi="ar"/>
                    </w:rPr>
                    <w:br w:type="textWrapping"/>
                  </w:r>
                  <w:r>
                    <w:rPr>
                      <w:rFonts w:hint="eastAsia" w:ascii="宋体" w:hAnsi="宋体" w:cs="宋体"/>
                      <w:kern w:val="0"/>
                      <w:sz w:val="22"/>
                      <w:szCs w:val="22"/>
                      <w:lang w:bidi="ar"/>
                    </w:rPr>
                    <w:t>9.大宗物料优先采用铁路、管道或水路运输，短途接驳优先使用新能源车辆运输。积极推动铁路专用线建设，落实《河南省加快推进铁路专用线进企入园工程实施方案》，推进煤炭、钢铁、电力、焦化、水泥等大宗货物年运输量150万吨以上的大型工矿企业以及大型物流园区新(改、扩)建铁路专用线。</w:t>
                  </w:r>
                </w:p>
              </w:tc>
              <w:tc>
                <w:tcPr>
                  <w:tcW w:w="3958" w:type="dxa"/>
                  <w:vAlign w:val="center"/>
                </w:tcPr>
                <w:p>
                  <w:pPr>
                    <w:autoSpaceDE w:val="0"/>
                    <w:autoSpaceDN w:val="0"/>
                    <w:adjustRightInd w:val="0"/>
                    <w:snapToGrid w:val="0"/>
                    <w:spacing w:line="280" w:lineRule="exact"/>
                    <w:rPr>
                      <w:rFonts w:cs="宋体"/>
                      <w:kern w:val="0"/>
                      <w:szCs w:val="21"/>
                    </w:rPr>
                  </w:pPr>
                  <w:r>
                    <w:rPr>
                      <w:rFonts w:hint="eastAsia" w:cs="宋体"/>
                      <w:kern w:val="0"/>
                      <w:szCs w:val="21"/>
                    </w:rPr>
                    <w:t>1、本项目主要污染物为颗粒物，能达标排放；项目不在饮用水源保护区内，项目不属于</w:t>
                  </w:r>
                  <w:r>
                    <w:rPr>
                      <w:rFonts w:hint="eastAsia" w:ascii="宋体" w:hAnsi="宋体" w:cs="宋体"/>
                      <w:kern w:val="0"/>
                      <w:sz w:val="22"/>
                      <w:szCs w:val="22"/>
                      <w:lang w:bidi="ar"/>
                    </w:rPr>
                    <w:t>“两高”项目，项目年运输量6万吨，采用公路运输。</w:t>
                  </w:r>
                </w:p>
              </w:tc>
              <w:tc>
                <w:tcPr>
                  <w:tcW w:w="1136" w:type="dxa"/>
                  <w:vAlign w:val="center"/>
                </w:tcPr>
                <w:p>
                  <w:pPr>
                    <w:autoSpaceDE w:val="0"/>
                    <w:autoSpaceDN w:val="0"/>
                    <w:adjustRightInd w:val="0"/>
                    <w:snapToGrid w:val="0"/>
                    <w:spacing w:line="280" w:lineRule="exact"/>
                    <w:jc w:val="center"/>
                    <w:rPr>
                      <w:rFonts w:cs="宋体"/>
                      <w:kern w:val="0"/>
                      <w:szCs w:val="21"/>
                    </w:rPr>
                  </w:pPr>
                  <w:r>
                    <w:rPr>
                      <w:rFonts w:hint="eastAsia" w:cs="宋体"/>
                      <w:kern w:val="0"/>
                      <w:szCs w:val="21"/>
                    </w:rPr>
                    <w:t>相符</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65" w:hRule="atLeast"/>
              </w:trPr>
              <w:tc>
                <w:tcPr>
                  <w:tcW w:w="873" w:type="dxa"/>
                  <w:tcMar>
                    <w:top w:w="28" w:type="dxa"/>
                    <w:left w:w="85" w:type="dxa"/>
                    <w:bottom w:w="28" w:type="dxa"/>
                    <w:right w:w="85" w:type="dxa"/>
                  </w:tcMar>
                  <w:vAlign w:val="center"/>
                </w:tcPr>
                <w:p>
                  <w:pPr>
                    <w:autoSpaceDE w:val="0"/>
                    <w:autoSpaceDN w:val="0"/>
                    <w:adjustRightInd w:val="0"/>
                    <w:snapToGrid w:val="0"/>
                    <w:spacing w:line="260" w:lineRule="exact"/>
                    <w:rPr>
                      <w:rFonts w:ascii="宋体" w:hAnsi="宋体" w:cs="宋体"/>
                      <w:kern w:val="0"/>
                      <w:sz w:val="22"/>
                      <w:szCs w:val="22"/>
                      <w:lang w:bidi="ar"/>
                    </w:rPr>
                  </w:pPr>
                  <w:r>
                    <w:rPr>
                      <w:rFonts w:hint="eastAsia" w:ascii="宋体" w:hAnsi="宋体" w:cs="宋体"/>
                      <w:kern w:val="0"/>
                      <w:sz w:val="22"/>
                      <w:szCs w:val="22"/>
                      <w:lang w:bidi="ar"/>
                    </w:rPr>
                    <w:t>环境风险防控</w:t>
                  </w:r>
                </w:p>
              </w:tc>
              <w:tc>
                <w:tcPr>
                  <w:tcW w:w="7240" w:type="dxa"/>
                  <w:tcMar>
                    <w:top w:w="28" w:type="dxa"/>
                    <w:left w:w="85" w:type="dxa"/>
                    <w:bottom w:w="28" w:type="dxa"/>
                    <w:right w:w="85" w:type="dxa"/>
                  </w:tcMar>
                  <w:vAlign w:val="center"/>
                </w:tcPr>
                <w:p>
                  <w:pPr>
                    <w:widowControl/>
                    <w:spacing w:line="260" w:lineRule="exact"/>
                    <w:jc w:val="left"/>
                    <w:textAlignment w:val="center"/>
                    <w:rPr>
                      <w:rFonts w:ascii="宋体" w:hAnsi="宋体" w:cs="宋体"/>
                      <w:kern w:val="0"/>
                      <w:szCs w:val="21"/>
                      <w:lang w:bidi="ar"/>
                    </w:rPr>
                  </w:pPr>
                  <w:r>
                    <w:rPr>
                      <w:rFonts w:hint="eastAsia" w:ascii="宋体" w:hAnsi="宋体" w:cs="宋体"/>
                      <w:kern w:val="0"/>
                      <w:szCs w:val="21"/>
                      <w:lang w:bidi="ar"/>
                    </w:rPr>
                    <w:t>1.开展饮用水水源规范化建设和饮用水水源地环境状况排查评估以及风险预警，强化对水源保护区管线穿越、交通运输等风险源的风险管理，依法清理饮用水水源保护区内违法建筑和排污口。</w:t>
                  </w:r>
                  <w:r>
                    <w:rPr>
                      <w:rFonts w:hint="eastAsia" w:ascii="宋体" w:hAnsi="宋体" w:cs="宋体"/>
                      <w:kern w:val="0"/>
                      <w:szCs w:val="21"/>
                      <w:lang w:bidi="ar"/>
                    </w:rPr>
                    <w:br w:type="textWrapping"/>
                  </w:r>
                  <w:r>
                    <w:rPr>
                      <w:rFonts w:hint="eastAsia" w:ascii="宋体" w:hAnsi="宋体" w:cs="宋体"/>
                      <w:kern w:val="0"/>
                      <w:szCs w:val="21"/>
                      <w:lang w:bidi="ar"/>
                    </w:rPr>
                    <w:t>2.强化全市涉化工、危险废物等产业集聚区（专业园区）以及建设项目环境风险防范体系建设，有效防范环境风险。</w:t>
                  </w:r>
                </w:p>
              </w:tc>
              <w:tc>
                <w:tcPr>
                  <w:tcW w:w="3958" w:type="dxa"/>
                  <w:vAlign w:val="center"/>
                </w:tcPr>
                <w:p>
                  <w:pPr>
                    <w:autoSpaceDE w:val="0"/>
                    <w:autoSpaceDN w:val="0"/>
                    <w:adjustRightInd w:val="0"/>
                    <w:snapToGrid w:val="0"/>
                    <w:spacing w:line="280" w:lineRule="exact"/>
                    <w:rPr>
                      <w:rFonts w:cs="宋体"/>
                      <w:kern w:val="0"/>
                      <w:szCs w:val="21"/>
                    </w:rPr>
                  </w:pPr>
                  <w:r>
                    <w:rPr>
                      <w:rFonts w:hint="eastAsia" w:cs="宋体"/>
                      <w:kern w:val="0"/>
                      <w:szCs w:val="21"/>
                    </w:rPr>
                    <w:t>1</w:t>
                  </w:r>
                  <w:r>
                    <w:rPr>
                      <w:rFonts w:cs="宋体"/>
                      <w:kern w:val="0"/>
                      <w:szCs w:val="21"/>
                    </w:rPr>
                    <w:t>、</w:t>
                  </w:r>
                  <w:r>
                    <w:rPr>
                      <w:rFonts w:hint="eastAsia" w:cs="宋体"/>
                      <w:kern w:val="0"/>
                      <w:szCs w:val="21"/>
                    </w:rPr>
                    <w:t>本</w:t>
                  </w:r>
                  <w:r>
                    <w:rPr>
                      <w:rFonts w:cs="宋体"/>
                      <w:kern w:val="0"/>
                      <w:szCs w:val="21"/>
                    </w:rPr>
                    <w:t>项目</w:t>
                  </w:r>
                  <w:r>
                    <w:rPr>
                      <w:rFonts w:hint="eastAsia" w:cs="宋体"/>
                      <w:kern w:val="0"/>
                      <w:szCs w:val="21"/>
                    </w:rPr>
                    <w:t>不</w:t>
                  </w:r>
                  <w:r>
                    <w:rPr>
                      <w:rFonts w:cs="宋体"/>
                      <w:kern w:val="0"/>
                      <w:szCs w:val="21"/>
                    </w:rPr>
                    <w:t>在</w:t>
                  </w:r>
                  <w:r>
                    <w:rPr>
                      <w:rFonts w:hint="eastAsia" w:cs="宋体"/>
                      <w:kern w:val="0"/>
                      <w:szCs w:val="21"/>
                    </w:rPr>
                    <w:t>南水北调中线</w:t>
                  </w:r>
                  <w:r>
                    <w:rPr>
                      <w:rFonts w:cs="宋体"/>
                      <w:kern w:val="0"/>
                      <w:szCs w:val="21"/>
                    </w:rPr>
                    <w:t>工程、</w:t>
                  </w:r>
                  <w:r>
                    <w:rPr>
                      <w:rFonts w:hint="eastAsia" w:cs="宋体"/>
                      <w:kern w:val="0"/>
                      <w:szCs w:val="21"/>
                    </w:rPr>
                    <w:t>饮用水源地</w:t>
                  </w:r>
                  <w:r>
                    <w:rPr>
                      <w:rFonts w:cs="宋体"/>
                      <w:kern w:val="0"/>
                      <w:szCs w:val="21"/>
                    </w:rPr>
                    <w:t>保护范围内。</w:t>
                  </w:r>
                </w:p>
                <w:p>
                  <w:pPr>
                    <w:autoSpaceDE w:val="0"/>
                    <w:autoSpaceDN w:val="0"/>
                    <w:adjustRightInd w:val="0"/>
                    <w:snapToGrid w:val="0"/>
                    <w:spacing w:line="280" w:lineRule="exact"/>
                    <w:rPr>
                      <w:rFonts w:cs="宋体"/>
                      <w:kern w:val="0"/>
                      <w:szCs w:val="21"/>
                    </w:rPr>
                  </w:pPr>
                  <w:r>
                    <w:rPr>
                      <w:rFonts w:cs="宋体"/>
                      <w:kern w:val="0"/>
                      <w:szCs w:val="21"/>
                    </w:rPr>
                    <w:t>2</w:t>
                  </w:r>
                  <w:r>
                    <w:rPr>
                      <w:rFonts w:hint="eastAsia" w:cs="宋体"/>
                      <w:kern w:val="0"/>
                      <w:szCs w:val="21"/>
                    </w:rPr>
                    <w:t>、项目应</w:t>
                  </w:r>
                  <w:r>
                    <w:rPr>
                      <w:rFonts w:cs="宋体"/>
                      <w:kern w:val="0"/>
                      <w:szCs w:val="21"/>
                    </w:rPr>
                    <w:t>制定</w:t>
                  </w:r>
                  <w:r>
                    <w:rPr>
                      <w:rFonts w:hint="eastAsia" w:cs="宋体"/>
                      <w:kern w:val="0"/>
                      <w:szCs w:val="21"/>
                    </w:rPr>
                    <w:t>突发性</w:t>
                  </w:r>
                  <w:r>
                    <w:rPr>
                      <w:rFonts w:cs="宋体"/>
                      <w:kern w:val="0"/>
                      <w:szCs w:val="21"/>
                    </w:rPr>
                    <w:t>环境风险</w:t>
                  </w:r>
                  <w:r>
                    <w:rPr>
                      <w:rFonts w:hint="eastAsia" w:cs="宋体"/>
                      <w:kern w:val="0"/>
                      <w:szCs w:val="21"/>
                    </w:rPr>
                    <w:t>预案</w:t>
                  </w:r>
                  <w:r>
                    <w:rPr>
                      <w:rFonts w:cs="宋体"/>
                      <w:kern w:val="0"/>
                      <w:szCs w:val="21"/>
                    </w:rPr>
                    <w:t>，</w:t>
                  </w:r>
                  <w:r>
                    <w:rPr>
                      <w:rFonts w:hint="eastAsia" w:cs="宋体"/>
                      <w:kern w:val="0"/>
                      <w:szCs w:val="21"/>
                    </w:rPr>
                    <w:t>强化</w:t>
                  </w:r>
                  <w:r>
                    <w:rPr>
                      <w:rFonts w:cs="宋体"/>
                      <w:kern w:val="0"/>
                      <w:szCs w:val="21"/>
                    </w:rPr>
                    <w:t>环境风险防范。</w:t>
                  </w:r>
                </w:p>
              </w:tc>
              <w:tc>
                <w:tcPr>
                  <w:tcW w:w="1136" w:type="dxa"/>
                  <w:vAlign w:val="center"/>
                </w:tcPr>
                <w:p>
                  <w:pPr>
                    <w:autoSpaceDE w:val="0"/>
                    <w:autoSpaceDN w:val="0"/>
                    <w:adjustRightInd w:val="0"/>
                    <w:snapToGrid w:val="0"/>
                    <w:spacing w:line="280" w:lineRule="exact"/>
                    <w:jc w:val="center"/>
                    <w:rPr>
                      <w:rFonts w:cs="宋体"/>
                      <w:kern w:val="0"/>
                      <w:szCs w:val="21"/>
                    </w:rPr>
                  </w:pPr>
                  <w:r>
                    <w:rPr>
                      <w:rFonts w:hint="eastAsia" w:cs="宋体"/>
                      <w:kern w:val="0"/>
                      <w:szCs w:val="21"/>
                    </w:rPr>
                    <w:t>相符</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65" w:hRule="atLeast"/>
              </w:trPr>
              <w:tc>
                <w:tcPr>
                  <w:tcW w:w="873" w:type="dxa"/>
                  <w:tcMar>
                    <w:top w:w="28" w:type="dxa"/>
                    <w:left w:w="85" w:type="dxa"/>
                    <w:bottom w:w="28" w:type="dxa"/>
                    <w:right w:w="85" w:type="dxa"/>
                  </w:tcMar>
                  <w:vAlign w:val="center"/>
                </w:tcPr>
                <w:p>
                  <w:pPr>
                    <w:autoSpaceDE w:val="0"/>
                    <w:autoSpaceDN w:val="0"/>
                    <w:adjustRightInd w:val="0"/>
                    <w:snapToGrid w:val="0"/>
                    <w:spacing w:line="260" w:lineRule="exact"/>
                    <w:rPr>
                      <w:rFonts w:ascii="宋体" w:hAnsi="宋体" w:cs="宋体"/>
                      <w:kern w:val="0"/>
                      <w:sz w:val="22"/>
                      <w:szCs w:val="22"/>
                      <w:lang w:bidi="ar"/>
                    </w:rPr>
                  </w:pPr>
                  <w:r>
                    <w:rPr>
                      <w:rFonts w:hint="eastAsia" w:ascii="宋体" w:hAnsi="宋体" w:cs="宋体"/>
                      <w:kern w:val="0"/>
                      <w:sz w:val="22"/>
                      <w:szCs w:val="22"/>
                      <w:lang w:bidi="ar"/>
                    </w:rPr>
                    <w:t>资源利用效率要求</w:t>
                  </w:r>
                </w:p>
              </w:tc>
              <w:tc>
                <w:tcPr>
                  <w:tcW w:w="7240" w:type="dxa"/>
                  <w:tcMar>
                    <w:top w:w="28" w:type="dxa"/>
                    <w:left w:w="85" w:type="dxa"/>
                    <w:bottom w:w="28" w:type="dxa"/>
                    <w:right w:w="85" w:type="dxa"/>
                  </w:tcMar>
                  <w:vAlign w:val="center"/>
                </w:tcPr>
                <w:p>
                  <w:pPr>
                    <w:widowControl/>
                    <w:spacing w:line="260" w:lineRule="exact"/>
                    <w:jc w:val="left"/>
                    <w:textAlignment w:val="center"/>
                    <w:rPr>
                      <w:rFonts w:ascii="宋体" w:hAnsi="宋体" w:cs="宋体"/>
                      <w:kern w:val="0"/>
                      <w:szCs w:val="21"/>
                      <w:lang w:bidi="ar"/>
                    </w:rPr>
                  </w:pPr>
                  <w:r>
                    <w:rPr>
                      <w:rFonts w:hint="eastAsia" w:ascii="宋体" w:hAnsi="宋体" w:cs="宋体"/>
                      <w:kern w:val="0"/>
                      <w:szCs w:val="21"/>
                      <w:lang w:bidi="ar"/>
                    </w:rPr>
                    <w:t>1.十四五期间，全市煤炭消费总量控制完成国家、省、市下达目标要求。全市能耗增量控制目标控制完成国家、省、市下达目标要求。严格落实《河南省耗煤项目煤炭消费替代管理（暂行）办法》。新建耗煤项目严格按规定采取煤炭消费减量替代措施，不得使用高污染燃料作为煤炭减量替代措施。“十四五”能耗双控和减煤目标：强度初步下降14.5%，能耗增量控制目标105万吨标准煤；煤炭消费总量降低目标14%，煤炭消费总量控制目标1940万吨。</w:t>
                  </w:r>
                  <w:r>
                    <w:rPr>
                      <w:rFonts w:hint="eastAsia" w:ascii="宋体" w:hAnsi="宋体" w:cs="宋体"/>
                      <w:kern w:val="0"/>
                      <w:szCs w:val="21"/>
                      <w:lang w:bidi="ar"/>
                    </w:rPr>
                    <w:br w:type="textWrapping"/>
                  </w:r>
                  <w:r>
                    <w:rPr>
                      <w:rFonts w:hint="eastAsia" w:ascii="宋体" w:hAnsi="宋体" w:cs="宋体"/>
                      <w:kern w:val="0"/>
                      <w:szCs w:val="21"/>
                      <w:lang w:bidi="ar"/>
                    </w:rPr>
                    <w:t>2.十四五期间，全市年用水总量控制完成国家、省、市下达目标要求。合理调整工业布局和产业结构，限制高耗水项目，淘汰高耗水工艺和设备；鼓励节水技术开发和节水设备、器具的研制，重点抓工业内部循环用水，提高重复利用率。对公共供水能力能够满足用水需求的和南水北调受水区内，应逐步关停自备井，停止开采地下水。在城市公共供水管网能够满足用水需要还要申请地下水的，以及在严重超采区内取用地下水的，不予批准。</w:t>
                  </w:r>
                  <w:r>
                    <w:rPr>
                      <w:rFonts w:hint="eastAsia" w:ascii="宋体" w:hAnsi="宋体" w:cs="宋体"/>
                      <w:kern w:val="0"/>
                      <w:szCs w:val="21"/>
                      <w:lang w:bidi="ar"/>
                    </w:rPr>
                    <w:br w:type="textWrapping"/>
                  </w:r>
                  <w:r>
                    <w:rPr>
                      <w:rFonts w:hint="eastAsia" w:ascii="宋体" w:hAnsi="宋体" w:cs="宋体"/>
                      <w:kern w:val="0"/>
                      <w:szCs w:val="21"/>
                      <w:lang w:bidi="ar"/>
                    </w:rPr>
                    <w:t>3.实行严格的耕地保护制度和节约用地制度，提高土地资源利用效率。新增建设用地土壤环境安全保障率100%。</w:t>
                  </w:r>
                </w:p>
              </w:tc>
              <w:tc>
                <w:tcPr>
                  <w:tcW w:w="3958" w:type="dxa"/>
                  <w:vAlign w:val="center"/>
                </w:tcPr>
                <w:p>
                  <w:pPr>
                    <w:autoSpaceDE w:val="0"/>
                    <w:autoSpaceDN w:val="0"/>
                    <w:adjustRightInd w:val="0"/>
                    <w:snapToGrid w:val="0"/>
                    <w:spacing w:line="280" w:lineRule="exact"/>
                    <w:rPr>
                      <w:rFonts w:cs="宋体"/>
                      <w:kern w:val="0"/>
                      <w:szCs w:val="21"/>
                    </w:rPr>
                  </w:pPr>
                  <w:r>
                    <w:rPr>
                      <w:rFonts w:cs="宋体"/>
                      <w:kern w:val="0"/>
                      <w:szCs w:val="21"/>
                    </w:rPr>
                    <w:t>项目</w:t>
                  </w:r>
                  <w:r>
                    <w:rPr>
                      <w:rFonts w:hint="eastAsia" w:cs="宋体"/>
                      <w:kern w:val="0"/>
                      <w:szCs w:val="21"/>
                    </w:rPr>
                    <w:t>设备</w:t>
                  </w:r>
                  <w:r>
                    <w:rPr>
                      <w:rFonts w:cs="宋体"/>
                      <w:kern w:val="0"/>
                      <w:szCs w:val="21"/>
                    </w:rPr>
                    <w:t>采用</w:t>
                  </w:r>
                  <w:r>
                    <w:rPr>
                      <w:rFonts w:hint="eastAsia" w:cs="宋体"/>
                      <w:kern w:val="0"/>
                      <w:szCs w:val="21"/>
                    </w:rPr>
                    <w:t>电能</w:t>
                  </w:r>
                  <w:r>
                    <w:rPr>
                      <w:rFonts w:cs="宋体"/>
                      <w:kern w:val="0"/>
                      <w:szCs w:val="21"/>
                    </w:rPr>
                    <w:t>为能源</w:t>
                  </w:r>
                  <w:r>
                    <w:rPr>
                      <w:rFonts w:hint="eastAsia" w:cs="宋体"/>
                      <w:kern w:val="0"/>
                      <w:szCs w:val="21"/>
                    </w:rPr>
                    <w:t>，使用</w:t>
                  </w:r>
                  <w:r>
                    <w:rPr>
                      <w:rFonts w:cs="宋体"/>
                      <w:kern w:val="0"/>
                      <w:szCs w:val="21"/>
                    </w:rPr>
                    <w:t>新鲜水量较少，</w:t>
                  </w:r>
                  <w:r>
                    <w:rPr>
                      <w:rFonts w:hint="eastAsia" w:cs="宋体"/>
                      <w:kern w:val="0"/>
                      <w:szCs w:val="21"/>
                    </w:rPr>
                    <w:t>生产</w:t>
                  </w:r>
                  <w:r>
                    <w:rPr>
                      <w:rFonts w:cs="宋体"/>
                      <w:kern w:val="0"/>
                      <w:szCs w:val="21"/>
                    </w:rPr>
                    <w:t>过程中</w:t>
                  </w:r>
                  <w:r>
                    <w:rPr>
                      <w:rFonts w:hint="eastAsia" w:cs="宋体"/>
                      <w:kern w:val="0"/>
                      <w:szCs w:val="21"/>
                    </w:rPr>
                    <w:t>无</w:t>
                  </w:r>
                  <w:r>
                    <w:rPr>
                      <w:rFonts w:cs="宋体"/>
                      <w:kern w:val="0"/>
                      <w:szCs w:val="21"/>
                    </w:rPr>
                    <w:t>工艺用水，</w:t>
                  </w:r>
                  <w:r>
                    <w:rPr>
                      <w:rFonts w:hint="eastAsia" w:cs="宋体"/>
                      <w:kern w:val="0"/>
                      <w:szCs w:val="21"/>
                    </w:rPr>
                    <w:t>用水环节</w:t>
                  </w:r>
                  <w:r>
                    <w:rPr>
                      <w:rFonts w:cs="宋体"/>
                      <w:kern w:val="0"/>
                      <w:szCs w:val="21"/>
                    </w:rPr>
                    <w:t>仅为员工</w:t>
                  </w:r>
                  <w:r>
                    <w:rPr>
                      <w:rFonts w:hint="eastAsia" w:cs="宋体"/>
                      <w:kern w:val="0"/>
                      <w:szCs w:val="21"/>
                    </w:rPr>
                    <w:t>日常办公</w:t>
                  </w:r>
                  <w:r>
                    <w:rPr>
                      <w:rFonts w:cs="宋体"/>
                      <w:kern w:val="0"/>
                      <w:szCs w:val="21"/>
                    </w:rPr>
                    <w:t>。</w:t>
                  </w:r>
                </w:p>
              </w:tc>
              <w:tc>
                <w:tcPr>
                  <w:tcW w:w="1136" w:type="dxa"/>
                  <w:vAlign w:val="center"/>
                </w:tcPr>
                <w:p>
                  <w:pPr>
                    <w:autoSpaceDE w:val="0"/>
                    <w:autoSpaceDN w:val="0"/>
                    <w:adjustRightInd w:val="0"/>
                    <w:snapToGrid w:val="0"/>
                    <w:spacing w:line="280" w:lineRule="exact"/>
                    <w:jc w:val="center"/>
                    <w:rPr>
                      <w:rFonts w:cs="宋体"/>
                      <w:kern w:val="0"/>
                      <w:szCs w:val="21"/>
                    </w:rPr>
                  </w:pPr>
                  <w:r>
                    <w:rPr>
                      <w:rFonts w:hint="eastAsia" w:cs="宋体"/>
                      <w:kern w:val="0"/>
                      <w:szCs w:val="21"/>
                    </w:rPr>
                    <w:t>相符</w:t>
                  </w:r>
                </w:p>
              </w:tc>
            </w:tr>
          </w:tbl>
          <w:p>
            <w:pPr>
              <w:pStyle w:val="44"/>
              <w:tabs>
                <w:tab w:val="left" w:pos="895"/>
                <w:tab w:val="clear" w:pos="1322"/>
              </w:tabs>
              <w:spacing w:line="240" w:lineRule="exact"/>
              <w:rPr>
                <w:rFonts w:ascii="黑体" w:hAnsi="黑体"/>
                <w:b w:val="0"/>
                <w:sz w:val="24"/>
                <w:szCs w:val="24"/>
              </w:rPr>
            </w:pPr>
          </w:p>
          <w:p>
            <w:pPr>
              <w:pStyle w:val="44"/>
              <w:tabs>
                <w:tab w:val="left" w:pos="895"/>
                <w:tab w:val="clear" w:pos="1322"/>
              </w:tabs>
              <w:spacing w:line="360" w:lineRule="auto"/>
              <w:rPr>
                <w:b w:val="0"/>
                <w:sz w:val="24"/>
              </w:rPr>
            </w:pPr>
            <w:r>
              <w:rPr>
                <w:b w:val="0"/>
                <w:sz w:val="24"/>
              </w:rPr>
              <w:t>表2    项目与鲁山县环境管控单元生态环境准入清单相符性分析一览表</w:t>
            </w:r>
          </w:p>
          <w:tbl>
            <w:tblPr>
              <w:tblStyle w:val="22"/>
              <w:tblW w:w="13347" w:type="dxa"/>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57" w:type="dxa"/>
                <w:left w:w="0" w:type="dxa"/>
                <w:bottom w:w="57" w:type="dxa"/>
                <w:right w:w="0" w:type="dxa"/>
              </w:tblCellMar>
            </w:tblPr>
            <w:tblGrid>
              <w:gridCol w:w="857"/>
              <w:gridCol w:w="770"/>
              <w:gridCol w:w="1399"/>
              <w:gridCol w:w="770"/>
              <w:gridCol w:w="607"/>
              <w:gridCol w:w="5409"/>
              <w:gridCol w:w="2542"/>
              <w:gridCol w:w="993"/>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c>
                <w:tcPr>
                  <w:tcW w:w="857" w:type="dxa"/>
                  <w:tcMar>
                    <w:top w:w="57" w:type="dxa"/>
                    <w:left w:w="28" w:type="dxa"/>
                    <w:bottom w:w="57" w:type="dxa"/>
                    <w:right w:w="28" w:type="dxa"/>
                  </w:tcMar>
                  <w:vAlign w:val="center"/>
                </w:tcPr>
                <w:p>
                  <w:pPr>
                    <w:pStyle w:val="46"/>
                    <w:spacing w:line="260" w:lineRule="exact"/>
                    <w:rPr>
                      <w:bCs/>
                      <w:szCs w:val="21"/>
                    </w:rPr>
                  </w:pPr>
                  <w:r>
                    <w:rPr>
                      <w:rFonts w:hint="eastAsia"/>
                      <w:bCs/>
                      <w:szCs w:val="21"/>
                    </w:rPr>
                    <w:t>环境管控单元编码</w:t>
                  </w:r>
                </w:p>
              </w:tc>
              <w:tc>
                <w:tcPr>
                  <w:tcW w:w="770" w:type="dxa"/>
                  <w:tcMar>
                    <w:top w:w="57" w:type="dxa"/>
                    <w:left w:w="28" w:type="dxa"/>
                    <w:bottom w:w="57" w:type="dxa"/>
                    <w:right w:w="28" w:type="dxa"/>
                  </w:tcMar>
                  <w:vAlign w:val="center"/>
                </w:tcPr>
                <w:p>
                  <w:pPr>
                    <w:pStyle w:val="46"/>
                    <w:spacing w:line="260" w:lineRule="exact"/>
                    <w:rPr>
                      <w:bCs/>
                      <w:szCs w:val="21"/>
                    </w:rPr>
                  </w:pPr>
                  <w:r>
                    <w:rPr>
                      <w:rFonts w:hint="eastAsia"/>
                      <w:bCs/>
                      <w:szCs w:val="21"/>
                    </w:rPr>
                    <w:t>环境管控单元名称</w:t>
                  </w:r>
                </w:p>
              </w:tc>
              <w:tc>
                <w:tcPr>
                  <w:tcW w:w="1399" w:type="dxa"/>
                  <w:tcMar>
                    <w:top w:w="57" w:type="dxa"/>
                    <w:left w:w="28" w:type="dxa"/>
                    <w:bottom w:w="57" w:type="dxa"/>
                    <w:right w:w="28" w:type="dxa"/>
                  </w:tcMar>
                  <w:vAlign w:val="center"/>
                </w:tcPr>
                <w:p>
                  <w:pPr>
                    <w:widowControl/>
                    <w:spacing w:line="260" w:lineRule="exact"/>
                    <w:jc w:val="center"/>
                    <w:textAlignment w:val="center"/>
                    <w:rPr>
                      <w:rFonts w:ascii="宋体" w:hAnsi="宋体" w:cs="宋体"/>
                      <w:sz w:val="22"/>
                      <w:szCs w:val="22"/>
                    </w:rPr>
                  </w:pPr>
                  <w:r>
                    <w:rPr>
                      <w:rFonts w:hint="eastAsia" w:ascii="宋体" w:hAnsi="宋体" w:cs="宋体"/>
                      <w:kern w:val="0"/>
                      <w:sz w:val="22"/>
                      <w:szCs w:val="22"/>
                      <w:lang w:bidi="ar"/>
                    </w:rPr>
                    <w:t>行政区划</w:t>
                  </w:r>
                </w:p>
              </w:tc>
              <w:tc>
                <w:tcPr>
                  <w:tcW w:w="770" w:type="dxa"/>
                  <w:tcMar>
                    <w:top w:w="57" w:type="dxa"/>
                    <w:left w:w="28" w:type="dxa"/>
                    <w:bottom w:w="57" w:type="dxa"/>
                    <w:right w:w="28" w:type="dxa"/>
                  </w:tcMar>
                  <w:vAlign w:val="center"/>
                </w:tcPr>
                <w:p>
                  <w:pPr>
                    <w:widowControl/>
                    <w:spacing w:line="260" w:lineRule="exact"/>
                    <w:jc w:val="left"/>
                    <w:textAlignment w:val="center"/>
                    <w:rPr>
                      <w:rFonts w:ascii="宋体" w:hAnsi="宋体" w:cs="宋体"/>
                      <w:sz w:val="22"/>
                      <w:szCs w:val="22"/>
                    </w:rPr>
                  </w:pPr>
                  <w:r>
                    <w:rPr>
                      <w:rFonts w:hint="eastAsia" w:ascii="宋体" w:hAnsi="宋体" w:cs="宋体"/>
                      <w:kern w:val="0"/>
                      <w:sz w:val="22"/>
                      <w:szCs w:val="22"/>
                      <w:lang w:bidi="ar"/>
                    </w:rPr>
                    <w:t>管控单元分类</w:t>
                  </w:r>
                </w:p>
              </w:tc>
              <w:tc>
                <w:tcPr>
                  <w:tcW w:w="6016" w:type="dxa"/>
                  <w:gridSpan w:val="2"/>
                  <w:tcMar>
                    <w:top w:w="57" w:type="dxa"/>
                    <w:left w:w="28" w:type="dxa"/>
                    <w:bottom w:w="57" w:type="dxa"/>
                    <w:right w:w="28" w:type="dxa"/>
                  </w:tcMar>
                  <w:vAlign w:val="center"/>
                </w:tcPr>
                <w:p>
                  <w:pPr>
                    <w:pStyle w:val="46"/>
                    <w:spacing w:line="260" w:lineRule="exact"/>
                    <w:rPr>
                      <w:bCs/>
                      <w:szCs w:val="21"/>
                    </w:rPr>
                  </w:pPr>
                  <w:r>
                    <w:rPr>
                      <w:rFonts w:hint="eastAsia"/>
                      <w:bCs/>
                      <w:szCs w:val="21"/>
                    </w:rPr>
                    <w:t>管控要求</w:t>
                  </w:r>
                </w:p>
              </w:tc>
              <w:tc>
                <w:tcPr>
                  <w:tcW w:w="2542" w:type="dxa"/>
                  <w:tcMar>
                    <w:top w:w="57" w:type="dxa"/>
                    <w:left w:w="28" w:type="dxa"/>
                    <w:bottom w:w="57" w:type="dxa"/>
                    <w:right w:w="28" w:type="dxa"/>
                  </w:tcMar>
                  <w:vAlign w:val="center"/>
                </w:tcPr>
                <w:p>
                  <w:pPr>
                    <w:pStyle w:val="46"/>
                    <w:spacing w:line="260" w:lineRule="exact"/>
                    <w:rPr>
                      <w:bCs/>
                      <w:szCs w:val="21"/>
                    </w:rPr>
                  </w:pPr>
                  <w:r>
                    <w:rPr>
                      <w:rFonts w:hint="eastAsia"/>
                      <w:bCs/>
                      <w:szCs w:val="21"/>
                    </w:rPr>
                    <w:t>本项目</w:t>
                  </w:r>
                </w:p>
              </w:tc>
              <w:tc>
                <w:tcPr>
                  <w:tcW w:w="993" w:type="dxa"/>
                  <w:tcMar>
                    <w:top w:w="57" w:type="dxa"/>
                    <w:left w:w="28" w:type="dxa"/>
                    <w:bottom w:w="57" w:type="dxa"/>
                    <w:right w:w="28" w:type="dxa"/>
                  </w:tcMar>
                  <w:vAlign w:val="center"/>
                </w:tcPr>
                <w:p>
                  <w:pPr>
                    <w:pStyle w:val="46"/>
                    <w:spacing w:line="260" w:lineRule="exact"/>
                    <w:rPr>
                      <w:bCs/>
                      <w:szCs w:val="21"/>
                    </w:rPr>
                  </w:pPr>
                  <w:r>
                    <w:rPr>
                      <w:rFonts w:hint="eastAsia"/>
                      <w:bCs/>
                      <w:szCs w:val="21"/>
                    </w:rPr>
                    <w:t>相符性</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57" w:type="dxa"/>
                  <w:left w:w="0" w:type="dxa"/>
                  <w:bottom w:w="57" w:type="dxa"/>
                  <w:right w:w="0" w:type="dxa"/>
                </w:tblCellMar>
              </w:tblPrEx>
              <w:tc>
                <w:tcPr>
                  <w:tcW w:w="857" w:type="dxa"/>
                  <w:tcMar>
                    <w:top w:w="57" w:type="dxa"/>
                    <w:left w:w="28" w:type="dxa"/>
                    <w:bottom w:w="57" w:type="dxa"/>
                    <w:right w:w="28" w:type="dxa"/>
                  </w:tcMar>
                  <w:vAlign w:val="center"/>
                </w:tcPr>
                <w:p>
                  <w:pPr>
                    <w:pStyle w:val="46"/>
                    <w:spacing w:line="260" w:lineRule="exact"/>
                    <w:rPr>
                      <w:b/>
                      <w:bCs/>
                      <w:szCs w:val="21"/>
                    </w:rPr>
                  </w:pPr>
                  <w:r>
                    <w:rPr>
                      <w:kern w:val="0"/>
                      <w:sz w:val="22"/>
                      <w:szCs w:val="22"/>
                      <w:lang w:bidi="ar"/>
                    </w:rPr>
                    <w:t>ZH41042310001</w:t>
                  </w:r>
                </w:p>
              </w:tc>
              <w:tc>
                <w:tcPr>
                  <w:tcW w:w="770" w:type="dxa"/>
                  <w:tcMar>
                    <w:top w:w="57" w:type="dxa"/>
                    <w:left w:w="28" w:type="dxa"/>
                    <w:bottom w:w="57" w:type="dxa"/>
                    <w:right w:w="28" w:type="dxa"/>
                  </w:tcMar>
                  <w:vAlign w:val="center"/>
                </w:tcPr>
                <w:p>
                  <w:pPr>
                    <w:pStyle w:val="46"/>
                    <w:spacing w:line="260" w:lineRule="exact"/>
                    <w:rPr>
                      <w:b/>
                      <w:bCs/>
                      <w:szCs w:val="21"/>
                    </w:rPr>
                  </w:pPr>
                  <w:r>
                    <w:rPr>
                      <w:kern w:val="0"/>
                      <w:sz w:val="22"/>
                      <w:szCs w:val="22"/>
                      <w:lang w:bidi="ar"/>
                    </w:rPr>
                    <w:t>鲁山县生态保护红线</w:t>
                  </w:r>
                </w:p>
              </w:tc>
              <w:tc>
                <w:tcPr>
                  <w:tcW w:w="1399" w:type="dxa"/>
                  <w:tcMar>
                    <w:top w:w="57" w:type="dxa"/>
                    <w:left w:w="28" w:type="dxa"/>
                    <w:bottom w:w="57" w:type="dxa"/>
                    <w:right w:w="28" w:type="dxa"/>
                  </w:tcMar>
                  <w:vAlign w:val="center"/>
                </w:tcPr>
                <w:p>
                  <w:pPr>
                    <w:widowControl/>
                    <w:spacing w:line="260" w:lineRule="exact"/>
                    <w:jc w:val="left"/>
                    <w:textAlignment w:val="center"/>
                    <w:rPr>
                      <w:sz w:val="22"/>
                      <w:szCs w:val="22"/>
                    </w:rPr>
                  </w:pPr>
                  <w:r>
                    <w:rPr>
                      <w:kern w:val="0"/>
                      <w:sz w:val="22"/>
                      <w:szCs w:val="22"/>
                      <w:lang w:bidi="ar"/>
                    </w:rPr>
                    <w:t>下汤镇、库区乡、瓦屋乡、土门办事处、赵村乡、尧山镇、四棵树乡、团城乡、熊背乡</w:t>
                  </w:r>
                </w:p>
              </w:tc>
              <w:tc>
                <w:tcPr>
                  <w:tcW w:w="770" w:type="dxa"/>
                  <w:tcMar>
                    <w:top w:w="57" w:type="dxa"/>
                    <w:left w:w="28" w:type="dxa"/>
                    <w:bottom w:w="57" w:type="dxa"/>
                    <w:right w:w="28" w:type="dxa"/>
                  </w:tcMar>
                  <w:vAlign w:val="center"/>
                </w:tcPr>
                <w:p>
                  <w:pPr>
                    <w:widowControl/>
                    <w:spacing w:line="260" w:lineRule="exact"/>
                    <w:jc w:val="left"/>
                    <w:textAlignment w:val="center"/>
                    <w:rPr>
                      <w:sz w:val="22"/>
                      <w:szCs w:val="22"/>
                    </w:rPr>
                  </w:pPr>
                  <w:r>
                    <w:rPr>
                      <w:kern w:val="0"/>
                      <w:sz w:val="22"/>
                      <w:szCs w:val="22"/>
                      <w:lang w:bidi="ar"/>
                    </w:rPr>
                    <w:t>优先保护单元</w:t>
                  </w:r>
                </w:p>
              </w:tc>
              <w:tc>
                <w:tcPr>
                  <w:tcW w:w="607" w:type="dxa"/>
                  <w:tcMar>
                    <w:top w:w="57" w:type="dxa"/>
                    <w:left w:w="28" w:type="dxa"/>
                    <w:bottom w:w="57" w:type="dxa"/>
                    <w:right w:w="28" w:type="dxa"/>
                  </w:tcMar>
                  <w:vAlign w:val="center"/>
                </w:tcPr>
                <w:p>
                  <w:pPr>
                    <w:pStyle w:val="46"/>
                    <w:spacing w:line="260" w:lineRule="exact"/>
                    <w:rPr>
                      <w:bCs/>
                      <w:szCs w:val="21"/>
                    </w:rPr>
                  </w:pPr>
                  <w:r>
                    <w:rPr>
                      <w:bCs/>
                      <w:szCs w:val="21"/>
                    </w:rPr>
                    <w:t>空间布局约束</w:t>
                  </w:r>
                </w:p>
              </w:tc>
              <w:tc>
                <w:tcPr>
                  <w:tcW w:w="5409" w:type="dxa"/>
                  <w:tcMar>
                    <w:top w:w="57" w:type="dxa"/>
                    <w:left w:w="28" w:type="dxa"/>
                    <w:bottom w:w="57" w:type="dxa"/>
                    <w:right w:w="28" w:type="dxa"/>
                  </w:tcMar>
                  <w:vAlign w:val="center"/>
                </w:tcPr>
                <w:p>
                  <w:pPr>
                    <w:pStyle w:val="46"/>
                    <w:spacing w:line="260" w:lineRule="exact"/>
                    <w:jc w:val="left"/>
                    <w:rPr>
                      <w:kern w:val="0"/>
                      <w:sz w:val="22"/>
                      <w:szCs w:val="22"/>
                      <w:lang w:bidi="ar"/>
                    </w:rPr>
                  </w:pPr>
                  <w:r>
                    <w:rPr>
                      <w:rFonts w:hint="eastAsia"/>
                      <w:kern w:val="0"/>
                      <w:sz w:val="22"/>
                      <w:szCs w:val="22"/>
                      <w:lang w:bidi="ar"/>
                    </w:rPr>
                    <w:t>1.按照中办、国办《关于在国土空间规划中统筹划定落实三条控制线的指导意见》要求，仅允许开展重要生态修复工程等八种不损害或有利于维护生态保护功能的活动。现有的不符合以上要求的活动应限期退出或关停。</w:t>
                  </w:r>
                </w:p>
              </w:tc>
              <w:tc>
                <w:tcPr>
                  <w:tcW w:w="2542" w:type="dxa"/>
                  <w:tcMar>
                    <w:top w:w="57" w:type="dxa"/>
                    <w:left w:w="28" w:type="dxa"/>
                    <w:bottom w:w="57" w:type="dxa"/>
                    <w:right w:w="28" w:type="dxa"/>
                  </w:tcMar>
                  <w:vAlign w:val="center"/>
                </w:tcPr>
                <w:p>
                  <w:pPr>
                    <w:pStyle w:val="46"/>
                    <w:spacing w:line="240" w:lineRule="exact"/>
                    <w:rPr>
                      <w:rFonts w:ascii="宋体" w:hAnsi="宋体" w:cs="宋体"/>
                      <w:kern w:val="0"/>
                      <w:sz w:val="22"/>
                      <w:szCs w:val="22"/>
                      <w:lang w:bidi="ar"/>
                    </w:rPr>
                  </w:pPr>
                  <w:r>
                    <w:rPr>
                      <w:rFonts w:hint="eastAsia" w:ascii="宋体" w:hAnsi="宋体" w:cs="宋体"/>
                      <w:kern w:val="0"/>
                      <w:sz w:val="22"/>
                      <w:szCs w:val="22"/>
                      <w:lang w:bidi="ar"/>
                    </w:rPr>
                    <w:t>本</w:t>
                  </w:r>
                  <w:r>
                    <w:rPr>
                      <w:rFonts w:ascii="宋体" w:hAnsi="宋体" w:cs="宋体"/>
                      <w:kern w:val="0"/>
                      <w:sz w:val="22"/>
                      <w:szCs w:val="22"/>
                      <w:lang w:bidi="ar"/>
                    </w:rPr>
                    <w:t>项目</w:t>
                  </w:r>
                  <w:r>
                    <w:rPr>
                      <w:rFonts w:hint="eastAsia" w:ascii="宋体" w:hAnsi="宋体" w:cs="宋体"/>
                      <w:kern w:val="0"/>
                      <w:sz w:val="22"/>
                      <w:szCs w:val="22"/>
                      <w:lang w:bidi="ar"/>
                    </w:rPr>
                    <w:t>不在</w:t>
                  </w:r>
                  <w:r>
                    <w:rPr>
                      <w:rFonts w:ascii="宋体" w:hAnsi="宋体" w:cs="宋体"/>
                      <w:kern w:val="0"/>
                      <w:sz w:val="22"/>
                      <w:szCs w:val="22"/>
                      <w:lang w:bidi="ar"/>
                    </w:rPr>
                    <w:t>鲁山县生态</w:t>
                  </w:r>
                  <w:r>
                    <w:rPr>
                      <w:rFonts w:hint="eastAsia" w:ascii="宋体" w:hAnsi="宋体" w:cs="宋体"/>
                      <w:kern w:val="0"/>
                      <w:sz w:val="22"/>
                      <w:szCs w:val="22"/>
                      <w:lang w:bidi="ar"/>
                    </w:rPr>
                    <w:t>保护</w:t>
                  </w:r>
                  <w:r>
                    <w:rPr>
                      <w:rFonts w:ascii="宋体" w:hAnsi="宋体" w:cs="宋体"/>
                      <w:kern w:val="0"/>
                      <w:sz w:val="22"/>
                      <w:szCs w:val="22"/>
                      <w:lang w:bidi="ar"/>
                    </w:rPr>
                    <w:t>红线内</w:t>
                  </w:r>
                  <w:r>
                    <w:rPr>
                      <w:rFonts w:hint="eastAsia" w:ascii="宋体" w:hAnsi="宋体" w:cs="宋体"/>
                      <w:kern w:val="0"/>
                      <w:sz w:val="22"/>
                      <w:szCs w:val="22"/>
                      <w:lang w:bidi="ar"/>
                    </w:rPr>
                    <w:t>。</w:t>
                  </w:r>
                </w:p>
              </w:tc>
              <w:tc>
                <w:tcPr>
                  <w:tcW w:w="993" w:type="dxa"/>
                  <w:tcMar>
                    <w:top w:w="57" w:type="dxa"/>
                    <w:left w:w="28" w:type="dxa"/>
                    <w:bottom w:w="57" w:type="dxa"/>
                    <w:right w:w="28" w:type="dxa"/>
                  </w:tcMar>
                  <w:vAlign w:val="center"/>
                </w:tcPr>
                <w:p>
                  <w:pPr>
                    <w:pStyle w:val="46"/>
                    <w:spacing w:line="260" w:lineRule="exact"/>
                    <w:rPr>
                      <w:kern w:val="0"/>
                      <w:sz w:val="22"/>
                      <w:szCs w:val="22"/>
                      <w:lang w:bidi="ar"/>
                    </w:rPr>
                  </w:pPr>
                  <w:r>
                    <w:rPr>
                      <w:rFonts w:hint="eastAsia"/>
                      <w:kern w:val="0"/>
                      <w:sz w:val="22"/>
                      <w:szCs w:val="22"/>
                      <w:lang w:bidi="ar"/>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57" w:type="dxa"/>
                  <w:left w:w="0" w:type="dxa"/>
                  <w:bottom w:w="57" w:type="dxa"/>
                  <w:right w:w="0" w:type="dxa"/>
                </w:tblCellMar>
              </w:tblPrEx>
              <w:tc>
                <w:tcPr>
                  <w:tcW w:w="857" w:type="dxa"/>
                  <w:tcMar>
                    <w:top w:w="57" w:type="dxa"/>
                    <w:left w:w="28" w:type="dxa"/>
                    <w:bottom w:w="57" w:type="dxa"/>
                    <w:right w:w="28" w:type="dxa"/>
                  </w:tcMar>
                  <w:vAlign w:val="center"/>
                </w:tcPr>
                <w:p>
                  <w:pPr>
                    <w:pStyle w:val="46"/>
                    <w:spacing w:line="260" w:lineRule="exact"/>
                    <w:rPr>
                      <w:kern w:val="0"/>
                      <w:sz w:val="22"/>
                      <w:szCs w:val="22"/>
                      <w:lang w:bidi="ar"/>
                    </w:rPr>
                  </w:pPr>
                  <w:r>
                    <w:rPr>
                      <w:kern w:val="0"/>
                      <w:sz w:val="22"/>
                      <w:szCs w:val="22"/>
                      <w:lang w:bidi="ar"/>
                    </w:rPr>
                    <w:t>ZH41042310002</w:t>
                  </w:r>
                </w:p>
              </w:tc>
              <w:tc>
                <w:tcPr>
                  <w:tcW w:w="770" w:type="dxa"/>
                  <w:tcMar>
                    <w:top w:w="57" w:type="dxa"/>
                    <w:left w:w="28" w:type="dxa"/>
                    <w:bottom w:w="57" w:type="dxa"/>
                    <w:right w:w="28" w:type="dxa"/>
                  </w:tcMar>
                  <w:vAlign w:val="center"/>
                </w:tcPr>
                <w:p>
                  <w:pPr>
                    <w:widowControl/>
                    <w:spacing w:line="260" w:lineRule="exact"/>
                    <w:jc w:val="left"/>
                    <w:textAlignment w:val="center"/>
                    <w:rPr>
                      <w:sz w:val="22"/>
                      <w:szCs w:val="22"/>
                    </w:rPr>
                  </w:pPr>
                  <w:r>
                    <w:rPr>
                      <w:kern w:val="0"/>
                      <w:sz w:val="22"/>
                      <w:szCs w:val="22"/>
                      <w:lang w:bidi="ar"/>
                    </w:rPr>
                    <w:t>鲁山县水优先保护区</w:t>
                  </w:r>
                </w:p>
              </w:tc>
              <w:tc>
                <w:tcPr>
                  <w:tcW w:w="1399" w:type="dxa"/>
                  <w:tcMar>
                    <w:top w:w="57" w:type="dxa"/>
                    <w:left w:w="28" w:type="dxa"/>
                    <w:bottom w:w="57" w:type="dxa"/>
                    <w:right w:w="28" w:type="dxa"/>
                  </w:tcMar>
                  <w:vAlign w:val="center"/>
                </w:tcPr>
                <w:p>
                  <w:pPr>
                    <w:widowControl/>
                    <w:spacing w:line="260" w:lineRule="exact"/>
                    <w:jc w:val="left"/>
                    <w:textAlignment w:val="center"/>
                    <w:rPr>
                      <w:sz w:val="22"/>
                      <w:szCs w:val="22"/>
                    </w:rPr>
                  </w:pPr>
                  <w:r>
                    <w:rPr>
                      <w:kern w:val="0"/>
                      <w:sz w:val="22"/>
                      <w:szCs w:val="22"/>
                      <w:lang w:bidi="ar"/>
                    </w:rPr>
                    <w:t>辛集乡、马楼乡、磙子营乡、瀼河乡，董周乡，库区乡，鲁阳办事处，汇源办事处</w:t>
                  </w:r>
                </w:p>
              </w:tc>
              <w:tc>
                <w:tcPr>
                  <w:tcW w:w="770" w:type="dxa"/>
                  <w:tcMar>
                    <w:top w:w="57" w:type="dxa"/>
                    <w:left w:w="28" w:type="dxa"/>
                    <w:bottom w:w="57" w:type="dxa"/>
                    <w:right w:w="28" w:type="dxa"/>
                  </w:tcMar>
                  <w:vAlign w:val="center"/>
                </w:tcPr>
                <w:p>
                  <w:pPr>
                    <w:widowControl/>
                    <w:spacing w:line="260" w:lineRule="exact"/>
                    <w:jc w:val="left"/>
                    <w:textAlignment w:val="center"/>
                    <w:rPr>
                      <w:sz w:val="22"/>
                      <w:szCs w:val="22"/>
                    </w:rPr>
                  </w:pPr>
                  <w:r>
                    <w:rPr>
                      <w:kern w:val="0"/>
                      <w:sz w:val="22"/>
                      <w:szCs w:val="22"/>
                      <w:lang w:bidi="ar"/>
                    </w:rPr>
                    <w:t>优先保护单元</w:t>
                  </w:r>
                </w:p>
              </w:tc>
              <w:tc>
                <w:tcPr>
                  <w:tcW w:w="607" w:type="dxa"/>
                  <w:tcMar>
                    <w:top w:w="57" w:type="dxa"/>
                    <w:left w:w="28" w:type="dxa"/>
                    <w:bottom w:w="57" w:type="dxa"/>
                    <w:right w:w="28" w:type="dxa"/>
                  </w:tcMar>
                  <w:vAlign w:val="center"/>
                </w:tcPr>
                <w:p>
                  <w:pPr>
                    <w:widowControl/>
                    <w:spacing w:line="260" w:lineRule="exact"/>
                    <w:jc w:val="left"/>
                    <w:textAlignment w:val="center"/>
                    <w:rPr>
                      <w:sz w:val="22"/>
                      <w:szCs w:val="22"/>
                    </w:rPr>
                  </w:pPr>
                  <w:r>
                    <w:rPr>
                      <w:kern w:val="0"/>
                      <w:sz w:val="22"/>
                      <w:szCs w:val="22"/>
                      <w:lang w:bidi="ar"/>
                    </w:rPr>
                    <w:t>空间布局约束</w:t>
                  </w:r>
                </w:p>
              </w:tc>
              <w:tc>
                <w:tcPr>
                  <w:tcW w:w="5409" w:type="dxa"/>
                  <w:tcMar>
                    <w:top w:w="57" w:type="dxa"/>
                    <w:left w:w="28" w:type="dxa"/>
                    <w:bottom w:w="57" w:type="dxa"/>
                    <w:right w:w="28" w:type="dxa"/>
                  </w:tcMar>
                  <w:vAlign w:val="center"/>
                </w:tcPr>
                <w:p>
                  <w:pPr>
                    <w:spacing w:line="260" w:lineRule="exact"/>
                    <w:jc w:val="left"/>
                    <w:textAlignment w:val="center"/>
                    <w:rPr>
                      <w:sz w:val="22"/>
                      <w:szCs w:val="22"/>
                    </w:rPr>
                  </w:pPr>
                  <w:r>
                    <w:rPr>
                      <w:kern w:val="0"/>
                      <w:sz w:val="22"/>
                      <w:szCs w:val="22"/>
                      <w:lang w:bidi="ar"/>
                    </w:rPr>
                    <w:t>1.禁止在饮用水水源保护区内设置排污口。禁止在饮用水水源一级保护区内新建、改建、扩建与供水设施和保护水源无关的建设项目。禁止在饮用水水源二级保护区内新建、改建、扩建排放污染物的建设项目。（确需审批的应征求市级以上生态环境部门意见）。</w:t>
                  </w:r>
                  <w:r>
                    <w:rPr>
                      <w:kern w:val="0"/>
                      <w:sz w:val="22"/>
                      <w:szCs w:val="22"/>
                      <w:lang w:bidi="ar"/>
                    </w:rPr>
                    <w:br w:type="textWrapping"/>
                  </w:r>
                  <w:r>
                    <w:rPr>
                      <w:kern w:val="0"/>
                      <w:sz w:val="22"/>
                      <w:szCs w:val="22"/>
                      <w:lang w:bidi="ar"/>
                    </w:rPr>
                    <w:t>2.自然保护地核心保护区原则上禁止人为活动；自然保护地核心保护区外的其他区域严格禁止开发性、生产性建设活动。</w:t>
                  </w:r>
                </w:p>
              </w:tc>
              <w:tc>
                <w:tcPr>
                  <w:tcW w:w="2542" w:type="dxa"/>
                  <w:tcMar>
                    <w:top w:w="57" w:type="dxa"/>
                    <w:left w:w="28" w:type="dxa"/>
                    <w:bottom w:w="57" w:type="dxa"/>
                    <w:right w:w="28" w:type="dxa"/>
                  </w:tcMar>
                  <w:vAlign w:val="center"/>
                </w:tcPr>
                <w:p>
                  <w:pPr>
                    <w:pStyle w:val="67"/>
                    <w:spacing w:line="240" w:lineRule="exact"/>
                    <w:ind w:firstLine="0" w:firstLineChars="0"/>
                    <w:rPr>
                      <w:rFonts w:ascii="Times New Roman"/>
                      <w:kern w:val="0"/>
                      <w:sz w:val="22"/>
                      <w:szCs w:val="22"/>
                      <w:lang w:val="en-US" w:eastAsia="zh-CN" w:bidi="ar"/>
                    </w:rPr>
                  </w:pPr>
                  <w:r>
                    <w:rPr>
                      <w:rFonts w:ascii="Times New Roman"/>
                      <w:kern w:val="0"/>
                      <w:sz w:val="22"/>
                      <w:szCs w:val="22"/>
                      <w:lang w:val="en-US" w:eastAsia="zh-CN" w:bidi="ar"/>
                    </w:rPr>
                    <w:t>厂址南侧距离最近的平顶山饮用水源保护区沙河干流至白龟山水库之间的水域约4.5km，东南距南水北调中线一期工程总干渠二级保护区约1.5km，不在鲁山县水优先保护区范围内。</w:t>
                  </w:r>
                </w:p>
              </w:tc>
              <w:tc>
                <w:tcPr>
                  <w:tcW w:w="993" w:type="dxa"/>
                  <w:tcMar>
                    <w:top w:w="57" w:type="dxa"/>
                    <w:left w:w="28" w:type="dxa"/>
                    <w:bottom w:w="57" w:type="dxa"/>
                    <w:right w:w="28" w:type="dxa"/>
                  </w:tcMar>
                  <w:vAlign w:val="center"/>
                </w:tcPr>
                <w:p>
                  <w:pPr>
                    <w:pStyle w:val="46"/>
                    <w:spacing w:line="260" w:lineRule="exact"/>
                    <w:rPr>
                      <w:kern w:val="0"/>
                      <w:sz w:val="22"/>
                      <w:szCs w:val="22"/>
                      <w:lang w:bidi="ar"/>
                    </w:rPr>
                  </w:pPr>
                  <w:r>
                    <w:rPr>
                      <w:kern w:val="0"/>
                      <w:sz w:val="22"/>
                      <w:szCs w:val="22"/>
                      <w:lang w:bidi="ar"/>
                    </w:rPr>
                    <w:t>相符</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57" w:type="dxa"/>
                  <w:left w:w="0" w:type="dxa"/>
                  <w:bottom w:w="57" w:type="dxa"/>
                  <w:right w:w="0" w:type="dxa"/>
                </w:tblCellMar>
              </w:tblPrEx>
              <w:tc>
                <w:tcPr>
                  <w:tcW w:w="857" w:type="dxa"/>
                  <w:vMerge w:val="restart"/>
                  <w:tcMar>
                    <w:top w:w="57" w:type="dxa"/>
                    <w:left w:w="28" w:type="dxa"/>
                    <w:bottom w:w="57" w:type="dxa"/>
                    <w:right w:w="28" w:type="dxa"/>
                  </w:tcMar>
                  <w:vAlign w:val="center"/>
                </w:tcPr>
                <w:p>
                  <w:pPr>
                    <w:widowControl/>
                    <w:spacing w:line="260" w:lineRule="exact"/>
                    <w:jc w:val="center"/>
                    <w:textAlignment w:val="center"/>
                    <w:rPr>
                      <w:rFonts w:ascii="宋体" w:hAnsi="宋体" w:cs="宋体"/>
                      <w:sz w:val="22"/>
                      <w:szCs w:val="22"/>
                    </w:rPr>
                  </w:pPr>
                  <w:r>
                    <w:rPr>
                      <w:rFonts w:hint="eastAsia" w:ascii="宋体" w:hAnsi="宋体" w:cs="宋体"/>
                      <w:kern w:val="0"/>
                      <w:sz w:val="22"/>
                      <w:szCs w:val="22"/>
                      <w:lang w:bidi="ar"/>
                    </w:rPr>
                    <w:t>ZH41042320003</w:t>
                  </w:r>
                </w:p>
              </w:tc>
              <w:tc>
                <w:tcPr>
                  <w:tcW w:w="770" w:type="dxa"/>
                  <w:vMerge w:val="restart"/>
                  <w:tcMar>
                    <w:top w:w="57" w:type="dxa"/>
                    <w:left w:w="28" w:type="dxa"/>
                    <w:bottom w:w="57" w:type="dxa"/>
                    <w:right w:w="28" w:type="dxa"/>
                  </w:tcMar>
                  <w:vAlign w:val="center"/>
                </w:tcPr>
                <w:p>
                  <w:pPr>
                    <w:widowControl/>
                    <w:spacing w:line="260" w:lineRule="exact"/>
                    <w:jc w:val="center"/>
                    <w:textAlignment w:val="center"/>
                    <w:rPr>
                      <w:rFonts w:ascii="宋体" w:hAnsi="宋体" w:cs="宋体"/>
                      <w:sz w:val="22"/>
                      <w:szCs w:val="22"/>
                    </w:rPr>
                  </w:pPr>
                  <w:r>
                    <w:rPr>
                      <w:rFonts w:hint="eastAsia" w:ascii="宋体" w:hAnsi="宋体" w:cs="宋体"/>
                      <w:kern w:val="0"/>
                      <w:sz w:val="22"/>
                      <w:szCs w:val="22"/>
                      <w:lang w:bidi="ar"/>
                    </w:rPr>
                    <w:t>鲁山县大气重点单元</w:t>
                  </w:r>
                </w:p>
              </w:tc>
              <w:tc>
                <w:tcPr>
                  <w:tcW w:w="1399" w:type="dxa"/>
                  <w:vMerge w:val="restart"/>
                  <w:tcMar>
                    <w:top w:w="57" w:type="dxa"/>
                    <w:left w:w="28" w:type="dxa"/>
                    <w:bottom w:w="57" w:type="dxa"/>
                    <w:right w:w="28" w:type="dxa"/>
                  </w:tcMar>
                  <w:vAlign w:val="center"/>
                </w:tcPr>
                <w:p>
                  <w:pPr>
                    <w:widowControl/>
                    <w:spacing w:line="260" w:lineRule="exact"/>
                    <w:jc w:val="center"/>
                    <w:textAlignment w:val="center"/>
                    <w:rPr>
                      <w:rFonts w:ascii="宋体" w:hAnsi="宋体" w:cs="宋体"/>
                      <w:sz w:val="22"/>
                      <w:szCs w:val="22"/>
                    </w:rPr>
                  </w:pPr>
                  <w:r>
                    <w:rPr>
                      <w:rFonts w:hint="eastAsia" w:ascii="宋体" w:hAnsi="宋体" w:cs="宋体"/>
                      <w:kern w:val="0"/>
                      <w:sz w:val="22"/>
                      <w:szCs w:val="22"/>
                      <w:lang w:bidi="ar"/>
                    </w:rPr>
                    <w:t>辛集乡</w:t>
                  </w:r>
                </w:p>
              </w:tc>
              <w:tc>
                <w:tcPr>
                  <w:tcW w:w="770" w:type="dxa"/>
                  <w:vMerge w:val="restart"/>
                  <w:tcMar>
                    <w:top w:w="57" w:type="dxa"/>
                    <w:left w:w="28" w:type="dxa"/>
                    <w:bottom w:w="57" w:type="dxa"/>
                    <w:right w:w="28" w:type="dxa"/>
                  </w:tcMar>
                  <w:vAlign w:val="center"/>
                </w:tcPr>
                <w:p>
                  <w:pPr>
                    <w:widowControl/>
                    <w:spacing w:line="260" w:lineRule="exact"/>
                    <w:jc w:val="center"/>
                    <w:textAlignment w:val="center"/>
                    <w:rPr>
                      <w:rFonts w:ascii="宋体" w:hAnsi="宋体" w:cs="宋体"/>
                      <w:sz w:val="22"/>
                      <w:szCs w:val="22"/>
                    </w:rPr>
                  </w:pPr>
                  <w:r>
                    <w:rPr>
                      <w:rFonts w:hint="eastAsia" w:ascii="宋体" w:hAnsi="宋体" w:cs="宋体"/>
                      <w:kern w:val="0"/>
                      <w:sz w:val="22"/>
                      <w:szCs w:val="22"/>
                      <w:lang w:bidi="ar"/>
                    </w:rPr>
                    <w:t>重点管控单元</w:t>
                  </w:r>
                </w:p>
              </w:tc>
              <w:tc>
                <w:tcPr>
                  <w:tcW w:w="607" w:type="dxa"/>
                  <w:tcMar>
                    <w:top w:w="57" w:type="dxa"/>
                    <w:left w:w="28" w:type="dxa"/>
                    <w:bottom w:w="57" w:type="dxa"/>
                    <w:right w:w="28" w:type="dxa"/>
                  </w:tcMar>
                  <w:vAlign w:val="center"/>
                </w:tcPr>
                <w:p>
                  <w:pPr>
                    <w:widowControl/>
                    <w:spacing w:line="260" w:lineRule="exact"/>
                    <w:jc w:val="center"/>
                    <w:textAlignment w:val="center"/>
                    <w:rPr>
                      <w:rFonts w:ascii="宋体" w:hAnsi="宋体" w:cs="宋体"/>
                      <w:sz w:val="22"/>
                      <w:szCs w:val="22"/>
                    </w:rPr>
                  </w:pPr>
                  <w:r>
                    <w:rPr>
                      <w:rFonts w:hint="eastAsia" w:ascii="宋体" w:hAnsi="宋体" w:cs="宋体"/>
                      <w:kern w:val="0"/>
                      <w:sz w:val="22"/>
                      <w:szCs w:val="22"/>
                      <w:lang w:bidi="ar"/>
                    </w:rPr>
                    <w:t>空间布局约束</w:t>
                  </w:r>
                </w:p>
              </w:tc>
              <w:tc>
                <w:tcPr>
                  <w:tcW w:w="5409" w:type="dxa"/>
                  <w:tcMar>
                    <w:top w:w="57" w:type="dxa"/>
                    <w:left w:w="28" w:type="dxa"/>
                    <w:bottom w:w="57" w:type="dxa"/>
                    <w:right w:w="28" w:type="dxa"/>
                  </w:tcMar>
                  <w:vAlign w:val="center"/>
                </w:tcPr>
                <w:p>
                  <w:pPr>
                    <w:pStyle w:val="46"/>
                    <w:spacing w:line="260" w:lineRule="exact"/>
                    <w:jc w:val="both"/>
                    <w:rPr>
                      <w:szCs w:val="21"/>
                    </w:rPr>
                  </w:pPr>
                  <w:r>
                    <w:rPr>
                      <w:rFonts w:hint="eastAsia" w:ascii="宋体" w:hAnsi="宋体" w:cs="宋体"/>
                      <w:kern w:val="0"/>
                      <w:sz w:val="22"/>
                      <w:szCs w:val="22"/>
                      <w:lang w:bidi="ar"/>
                    </w:rPr>
                    <w:t>1.禁止新建、扩建、改建燃用高污染燃料的项目（集中供热、热电联产设施除外）。</w:t>
                  </w:r>
                  <w:r>
                    <w:rPr>
                      <w:rFonts w:hint="eastAsia" w:ascii="宋体" w:hAnsi="宋体" w:cs="宋体"/>
                      <w:kern w:val="0"/>
                      <w:sz w:val="22"/>
                      <w:szCs w:val="22"/>
                      <w:lang w:bidi="ar"/>
                    </w:rPr>
                    <w:br w:type="textWrapping"/>
                  </w:r>
                  <w:r>
                    <w:rPr>
                      <w:rFonts w:hint="eastAsia" w:ascii="宋体" w:hAnsi="宋体" w:cs="宋体"/>
                      <w:kern w:val="0"/>
                      <w:sz w:val="22"/>
                      <w:szCs w:val="22"/>
                      <w:lang w:bidi="ar"/>
                    </w:rPr>
                    <w:t>2.加强柴油车车NOx排放监管，严格实施非道路移动机械排放标准，推进重点场所清洁能源机械替代。</w:t>
                  </w:r>
                  <w:r>
                    <w:rPr>
                      <w:rFonts w:hint="eastAsia" w:ascii="宋体" w:hAnsi="宋体" w:cs="宋体"/>
                      <w:kern w:val="0"/>
                      <w:sz w:val="22"/>
                      <w:szCs w:val="22"/>
                      <w:lang w:bidi="ar"/>
                    </w:rPr>
                    <w:br w:type="textWrapping"/>
                  </w:r>
                  <w:r>
                    <w:rPr>
                      <w:rFonts w:hint="eastAsia" w:ascii="宋体" w:hAnsi="宋体" w:cs="宋体"/>
                      <w:kern w:val="0"/>
                      <w:sz w:val="22"/>
                      <w:szCs w:val="22"/>
                      <w:lang w:bidi="ar"/>
                    </w:rPr>
                    <w:t>3.制定“散乱污”企业及集群整治标准，列入关停取缔类的，基本做到“两断三清”。</w:t>
                  </w:r>
                  <w:r>
                    <w:rPr>
                      <w:rFonts w:hint="eastAsia" w:ascii="宋体" w:hAnsi="宋体" w:cs="宋体"/>
                      <w:kern w:val="0"/>
                      <w:sz w:val="22"/>
                      <w:szCs w:val="22"/>
                      <w:lang w:bidi="ar"/>
                    </w:rPr>
                    <w:br w:type="textWrapping"/>
                  </w:r>
                  <w:r>
                    <w:rPr>
                      <w:rFonts w:hint="eastAsia" w:ascii="宋体" w:hAnsi="宋体" w:cs="宋体"/>
                      <w:kern w:val="0"/>
                      <w:sz w:val="22"/>
                      <w:szCs w:val="22"/>
                      <w:lang w:bidi="ar"/>
                    </w:rPr>
                    <w:t>4.涉及大气污染物排放项目应按照“五到位一密闭”要求，落实大气污染防治措施。</w:t>
                  </w:r>
                </w:p>
              </w:tc>
              <w:tc>
                <w:tcPr>
                  <w:tcW w:w="2542" w:type="dxa"/>
                  <w:tcMar>
                    <w:top w:w="57" w:type="dxa"/>
                    <w:left w:w="28" w:type="dxa"/>
                    <w:bottom w:w="57" w:type="dxa"/>
                    <w:right w:w="28" w:type="dxa"/>
                  </w:tcMar>
                  <w:vAlign w:val="center"/>
                </w:tcPr>
                <w:p>
                  <w:pPr>
                    <w:pStyle w:val="46"/>
                    <w:spacing w:line="260" w:lineRule="exact"/>
                    <w:jc w:val="both"/>
                    <w:rPr>
                      <w:szCs w:val="21"/>
                    </w:rPr>
                  </w:pPr>
                  <w:r>
                    <w:rPr>
                      <w:rFonts w:hint="eastAsia"/>
                      <w:szCs w:val="21"/>
                    </w:rPr>
                    <w:t>1、</w:t>
                  </w:r>
                  <w:r>
                    <w:rPr>
                      <w:szCs w:val="21"/>
                    </w:rPr>
                    <w:t>本项目</w:t>
                  </w:r>
                  <w:r>
                    <w:rPr>
                      <w:rFonts w:hint="eastAsia"/>
                      <w:szCs w:val="21"/>
                    </w:rPr>
                    <w:t>设备</w:t>
                  </w:r>
                  <w:r>
                    <w:rPr>
                      <w:szCs w:val="21"/>
                    </w:rPr>
                    <w:t>采用电能为能源。</w:t>
                  </w:r>
                </w:p>
                <w:p>
                  <w:pPr>
                    <w:pStyle w:val="46"/>
                    <w:spacing w:line="260" w:lineRule="exact"/>
                    <w:jc w:val="both"/>
                    <w:rPr>
                      <w:szCs w:val="21"/>
                    </w:rPr>
                  </w:pPr>
                  <w:r>
                    <w:rPr>
                      <w:szCs w:val="21"/>
                    </w:rPr>
                    <w:t>2</w:t>
                  </w:r>
                  <w:r>
                    <w:rPr>
                      <w:rFonts w:hint="eastAsia"/>
                      <w:szCs w:val="21"/>
                    </w:rPr>
                    <w:t>、项目</w:t>
                  </w:r>
                  <w:r>
                    <w:rPr>
                      <w:szCs w:val="21"/>
                    </w:rPr>
                    <w:t>运输车辆采用国五标准。</w:t>
                  </w:r>
                </w:p>
                <w:p>
                  <w:pPr>
                    <w:pStyle w:val="46"/>
                    <w:spacing w:line="260" w:lineRule="exact"/>
                    <w:jc w:val="both"/>
                    <w:rPr>
                      <w:szCs w:val="21"/>
                    </w:rPr>
                  </w:pPr>
                  <w:r>
                    <w:rPr>
                      <w:szCs w:val="21"/>
                    </w:rPr>
                    <w:t>3</w:t>
                  </w:r>
                  <w:r>
                    <w:rPr>
                      <w:rFonts w:hint="eastAsia"/>
                      <w:szCs w:val="21"/>
                    </w:rPr>
                    <w:t>、</w:t>
                  </w:r>
                  <w:r>
                    <w:rPr>
                      <w:szCs w:val="21"/>
                    </w:rPr>
                    <w:t>项目</w:t>
                  </w:r>
                  <w:r>
                    <w:rPr>
                      <w:rFonts w:hint="eastAsia"/>
                      <w:szCs w:val="21"/>
                    </w:rPr>
                    <w:t>按照</w:t>
                  </w:r>
                  <w:r>
                    <w:rPr>
                      <w:rFonts w:hint="eastAsia" w:ascii="宋体" w:hAnsi="宋体" w:cs="宋体"/>
                      <w:kern w:val="0"/>
                      <w:sz w:val="22"/>
                      <w:szCs w:val="22"/>
                      <w:lang w:bidi="ar"/>
                    </w:rPr>
                    <w:t>“五到位一密闭”要求进行</w:t>
                  </w:r>
                  <w:r>
                    <w:rPr>
                      <w:rFonts w:ascii="宋体" w:hAnsi="宋体" w:cs="宋体"/>
                      <w:kern w:val="0"/>
                      <w:sz w:val="22"/>
                      <w:szCs w:val="22"/>
                      <w:lang w:bidi="ar"/>
                    </w:rPr>
                    <w:t>建设。</w:t>
                  </w:r>
                </w:p>
              </w:tc>
              <w:tc>
                <w:tcPr>
                  <w:tcW w:w="993" w:type="dxa"/>
                  <w:tcMar>
                    <w:top w:w="57" w:type="dxa"/>
                    <w:left w:w="28" w:type="dxa"/>
                    <w:bottom w:w="57" w:type="dxa"/>
                    <w:right w:w="28" w:type="dxa"/>
                  </w:tcMar>
                  <w:vAlign w:val="center"/>
                </w:tcPr>
                <w:p>
                  <w:pPr>
                    <w:pStyle w:val="46"/>
                    <w:spacing w:line="260" w:lineRule="exact"/>
                    <w:rPr>
                      <w:szCs w:val="21"/>
                    </w:rPr>
                  </w:pPr>
                  <w:r>
                    <w:rPr>
                      <w:rFonts w:hint="eastAsia"/>
                      <w:szCs w:val="21"/>
                    </w:rPr>
                    <w:t>相符</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57" w:type="dxa"/>
                  <w:left w:w="0" w:type="dxa"/>
                  <w:bottom w:w="57" w:type="dxa"/>
                  <w:right w:w="0" w:type="dxa"/>
                </w:tblCellMar>
              </w:tblPrEx>
              <w:tc>
                <w:tcPr>
                  <w:tcW w:w="857" w:type="dxa"/>
                  <w:vMerge w:val="continue"/>
                  <w:tcMar>
                    <w:top w:w="57" w:type="dxa"/>
                    <w:left w:w="28" w:type="dxa"/>
                    <w:bottom w:w="57" w:type="dxa"/>
                    <w:right w:w="28" w:type="dxa"/>
                  </w:tcMar>
                  <w:vAlign w:val="center"/>
                </w:tcPr>
                <w:p>
                  <w:pPr>
                    <w:pStyle w:val="46"/>
                    <w:spacing w:line="260" w:lineRule="exact"/>
                    <w:rPr>
                      <w:szCs w:val="21"/>
                    </w:rPr>
                  </w:pPr>
                </w:p>
              </w:tc>
              <w:tc>
                <w:tcPr>
                  <w:tcW w:w="770" w:type="dxa"/>
                  <w:vMerge w:val="continue"/>
                  <w:tcMar>
                    <w:top w:w="57" w:type="dxa"/>
                    <w:left w:w="28" w:type="dxa"/>
                    <w:bottom w:w="57" w:type="dxa"/>
                    <w:right w:w="28" w:type="dxa"/>
                  </w:tcMar>
                  <w:vAlign w:val="center"/>
                </w:tcPr>
                <w:p>
                  <w:pPr>
                    <w:pStyle w:val="46"/>
                    <w:spacing w:line="260" w:lineRule="exact"/>
                    <w:rPr>
                      <w:szCs w:val="21"/>
                    </w:rPr>
                  </w:pPr>
                </w:p>
              </w:tc>
              <w:tc>
                <w:tcPr>
                  <w:tcW w:w="1399" w:type="dxa"/>
                  <w:vMerge w:val="continue"/>
                  <w:tcMar>
                    <w:top w:w="57" w:type="dxa"/>
                    <w:left w:w="28" w:type="dxa"/>
                    <w:bottom w:w="57" w:type="dxa"/>
                    <w:right w:w="28" w:type="dxa"/>
                  </w:tcMar>
                  <w:vAlign w:val="center"/>
                </w:tcPr>
                <w:p>
                  <w:pPr>
                    <w:pStyle w:val="46"/>
                    <w:spacing w:line="260" w:lineRule="exact"/>
                    <w:rPr>
                      <w:szCs w:val="21"/>
                    </w:rPr>
                  </w:pPr>
                </w:p>
              </w:tc>
              <w:tc>
                <w:tcPr>
                  <w:tcW w:w="770" w:type="dxa"/>
                  <w:vMerge w:val="continue"/>
                  <w:tcMar>
                    <w:top w:w="57" w:type="dxa"/>
                    <w:left w:w="28" w:type="dxa"/>
                    <w:bottom w:w="57" w:type="dxa"/>
                    <w:right w:w="28" w:type="dxa"/>
                  </w:tcMar>
                  <w:vAlign w:val="center"/>
                </w:tcPr>
                <w:p>
                  <w:pPr>
                    <w:pStyle w:val="46"/>
                    <w:spacing w:line="260" w:lineRule="exact"/>
                    <w:rPr>
                      <w:szCs w:val="21"/>
                    </w:rPr>
                  </w:pPr>
                </w:p>
              </w:tc>
              <w:tc>
                <w:tcPr>
                  <w:tcW w:w="607" w:type="dxa"/>
                  <w:tcMar>
                    <w:top w:w="57" w:type="dxa"/>
                    <w:left w:w="28" w:type="dxa"/>
                    <w:bottom w:w="57" w:type="dxa"/>
                    <w:right w:w="28" w:type="dxa"/>
                  </w:tcMar>
                  <w:vAlign w:val="center"/>
                </w:tcPr>
                <w:p>
                  <w:pPr>
                    <w:widowControl/>
                    <w:spacing w:line="260" w:lineRule="exact"/>
                    <w:jc w:val="center"/>
                    <w:textAlignment w:val="center"/>
                    <w:rPr>
                      <w:rFonts w:ascii="宋体" w:hAnsi="宋体" w:cs="宋体"/>
                      <w:sz w:val="22"/>
                      <w:szCs w:val="22"/>
                    </w:rPr>
                  </w:pPr>
                  <w:r>
                    <w:rPr>
                      <w:rFonts w:hint="eastAsia" w:ascii="宋体" w:hAnsi="宋体" w:cs="宋体"/>
                      <w:kern w:val="0"/>
                      <w:sz w:val="22"/>
                      <w:szCs w:val="22"/>
                      <w:lang w:bidi="ar"/>
                    </w:rPr>
                    <w:t>污染物排放管控</w:t>
                  </w:r>
                </w:p>
              </w:tc>
              <w:tc>
                <w:tcPr>
                  <w:tcW w:w="5409" w:type="dxa"/>
                  <w:tcMar>
                    <w:top w:w="57" w:type="dxa"/>
                    <w:left w:w="28" w:type="dxa"/>
                    <w:bottom w:w="57" w:type="dxa"/>
                    <w:right w:w="28" w:type="dxa"/>
                  </w:tcMar>
                  <w:vAlign w:val="center"/>
                </w:tcPr>
                <w:p>
                  <w:pPr>
                    <w:widowControl/>
                    <w:spacing w:line="260" w:lineRule="exact"/>
                    <w:jc w:val="left"/>
                    <w:textAlignment w:val="center"/>
                    <w:rPr>
                      <w:rFonts w:ascii="宋体" w:hAnsi="宋体" w:cs="宋体"/>
                      <w:sz w:val="22"/>
                      <w:szCs w:val="22"/>
                    </w:rPr>
                  </w:pPr>
                  <w:r>
                    <w:rPr>
                      <w:rFonts w:hint="eastAsia" w:ascii="宋体" w:hAnsi="宋体" w:cs="宋体"/>
                      <w:kern w:val="0"/>
                      <w:sz w:val="22"/>
                      <w:szCs w:val="22"/>
                      <w:lang w:bidi="ar"/>
                    </w:rPr>
                    <w:t>1.火电厂实行超低排放。涉气企业必须达标排放。</w:t>
                  </w:r>
                  <w:r>
                    <w:rPr>
                      <w:rFonts w:hint="eastAsia" w:ascii="宋体" w:hAnsi="宋体" w:cs="宋体"/>
                      <w:kern w:val="0"/>
                      <w:sz w:val="22"/>
                      <w:szCs w:val="22"/>
                      <w:lang w:bidi="ar"/>
                    </w:rPr>
                    <w:br w:type="textWrapping"/>
                  </w:r>
                  <w:r>
                    <w:rPr>
                      <w:rFonts w:hint="eastAsia" w:ascii="宋体" w:hAnsi="宋体" w:cs="宋体"/>
                      <w:kern w:val="0"/>
                      <w:sz w:val="22"/>
                      <w:szCs w:val="22"/>
                      <w:lang w:bidi="ar"/>
                    </w:rPr>
                    <w:t>2.禁止销售、使用煤等高污染燃料，现有使用高污染燃料的单位和个人，应当按照市、县（市）人民政府规定的期限改用清洁能源或拆除使用高污染燃料的设施。</w:t>
                  </w:r>
                </w:p>
              </w:tc>
              <w:tc>
                <w:tcPr>
                  <w:tcW w:w="2542" w:type="dxa"/>
                  <w:tcMar>
                    <w:top w:w="57" w:type="dxa"/>
                    <w:left w:w="28" w:type="dxa"/>
                    <w:bottom w:w="57" w:type="dxa"/>
                    <w:right w:w="28" w:type="dxa"/>
                  </w:tcMar>
                  <w:vAlign w:val="center"/>
                </w:tcPr>
                <w:p>
                  <w:pPr>
                    <w:pStyle w:val="46"/>
                    <w:spacing w:line="260" w:lineRule="exact"/>
                    <w:jc w:val="both"/>
                    <w:rPr>
                      <w:szCs w:val="21"/>
                    </w:rPr>
                  </w:pPr>
                  <w:r>
                    <w:rPr>
                      <w:szCs w:val="21"/>
                    </w:rPr>
                    <w:t>项目</w:t>
                  </w:r>
                  <w:r>
                    <w:rPr>
                      <w:rFonts w:hint="eastAsia"/>
                      <w:szCs w:val="21"/>
                    </w:rPr>
                    <w:t>所排放</w:t>
                  </w:r>
                  <w:r>
                    <w:rPr>
                      <w:szCs w:val="21"/>
                    </w:rPr>
                    <w:t>的</w:t>
                  </w:r>
                  <w:r>
                    <w:rPr>
                      <w:rFonts w:hint="eastAsia"/>
                      <w:szCs w:val="21"/>
                    </w:rPr>
                    <w:t>大气</w:t>
                  </w:r>
                  <w:r>
                    <w:rPr>
                      <w:szCs w:val="21"/>
                    </w:rPr>
                    <w:t>污染</w:t>
                  </w:r>
                  <w:r>
                    <w:rPr>
                      <w:rFonts w:hint="eastAsia"/>
                      <w:szCs w:val="21"/>
                    </w:rPr>
                    <w:t>物</w:t>
                  </w:r>
                  <w:r>
                    <w:rPr>
                      <w:szCs w:val="21"/>
                    </w:rPr>
                    <w:t>为颗粒物，</w:t>
                  </w:r>
                  <w:r>
                    <w:rPr>
                      <w:rFonts w:hint="eastAsia"/>
                      <w:szCs w:val="21"/>
                    </w:rPr>
                    <w:t>采用</w:t>
                  </w:r>
                  <w:r>
                    <w:rPr>
                      <w:szCs w:val="21"/>
                    </w:rPr>
                    <w:t>袋式除尘器</w:t>
                  </w:r>
                  <w:r>
                    <w:rPr>
                      <w:rFonts w:hint="eastAsia"/>
                      <w:szCs w:val="21"/>
                    </w:rPr>
                    <w:t>处理</w:t>
                  </w:r>
                  <w:r>
                    <w:rPr>
                      <w:szCs w:val="21"/>
                    </w:rPr>
                    <w:t>后，废气</w:t>
                  </w:r>
                  <w:r>
                    <w:rPr>
                      <w:rFonts w:hint="eastAsia"/>
                      <w:szCs w:val="21"/>
                    </w:rPr>
                    <w:t>达标</w:t>
                  </w:r>
                  <w:r>
                    <w:rPr>
                      <w:szCs w:val="21"/>
                    </w:rPr>
                    <w:t>排放</w:t>
                  </w:r>
                  <w:r>
                    <w:rPr>
                      <w:rFonts w:hint="eastAsia"/>
                      <w:szCs w:val="21"/>
                    </w:rPr>
                    <w:t>。</w:t>
                  </w:r>
                </w:p>
              </w:tc>
              <w:tc>
                <w:tcPr>
                  <w:tcW w:w="993" w:type="dxa"/>
                  <w:tcMar>
                    <w:top w:w="57" w:type="dxa"/>
                    <w:left w:w="28" w:type="dxa"/>
                    <w:bottom w:w="57" w:type="dxa"/>
                    <w:right w:w="28" w:type="dxa"/>
                  </w:tcMar>
                  <w:vAlign w:val="center"/>
                </w:tcPr>
                <w:p>
                  <w:pPr>
                    <w:pStyle w:val="46"/>
                    <w:spacing w:line="260" w:lineRule="exact"/>
                    <w:rPr>
                      <w:szCs w:val="21"/>
                    </w:rPr>
                  </w:pPr>
                  <w:r>
                    <w:rPr>
                      <w:rFonts w:hint="eastAsia"/>
                      <w:szCs w:val="21"/>
                    </w:rPr>
                    <w:t>相符</w:t>
                  </w:r>
                </w:p>
              </w:tc>
            </w:tr>
          </w:tbl>
          <w:p>
            <w:pPr>
              <w:autoSpaceDE w:val="0"/>
              <w:autoSpaceDN w:val="0"/>
              <w:adjustRightInd w:val="0"/>
              <w:snapToGrid w:val="0"/>
              <w:spacing w:line="40" w:lineRule="exact"/>
              <w:ind w:firstLine="480" w:firstLineChars="200"/>
              <w:rPr>
                <w:rFonts w:cs="宋体"/>
                <w:kern w:val="0"/>
                <w:sz w:val="24"/>
              </w:rPr>
            </w:pPr>
          </w:p>
          <w:p>
            <w:pPr>
              <w:pStyle w:val="67"/>
              <w:ind w:firstLine="480"/>
              <w:rPr>
                <w:rFonts w:ascii="Times New Roman" w:eastAsiaTheme="minorEastAsia"/>
                <w:b/>
                <w:kern w:val="0"/>
                <w:u w:val="single"/>
                <w:lang w:eastAsia="zh-CN" w:bidi="ar"/>
              </w:rPr>
            </w:pPr>
            <w:r>
              <w:rPr>
                <w:rFonts w:ascii="Times New Roman"/>
                <w:kern w:val="0"/>
              </w:rPr>
              <w:t>由上表可以看出，本项目所在的鲁山县辛集乡曲店村不在</w:t>
            </w:r>
            <w:r>
              <w:rPr>
                <w:rFonts w:ascii="Times New Roman"/>
                <w:kern w:val="0"/>
                <w:lang w:val="en-US" w:eastAsia="zh-CN" w:bidi="ar"/>
              </w:rPr>
              <w:t>鲁山县生态保护红线</w:t>
            </w:r>
            <w:r>
              <w:rPr>
                <w:rFonts w:ascii="Times New Roman"/>
                <w:kern w:val="0"/>
                <w:lang w:bidi="ar"/>
              </w:rPr>
              <w:t>范围内，</w:t>
            </w:r>
            <w:r>
              <w:rPr>
                <w:rFonts w:ascii="Times New Roman" w:eastAsiaTheme="minorEastAsia"/>
                <w:b/>
                <w:kern w:val="0"/>
                <w:u w:val="single"/>
                <w:lang w:eastAsia="zh-CN" w:bidi="ar"/>
              </w:rPr>
              <w:t>项目厂址南侧</w:t>
            </w:r>
            <w:r>
              <w:rPr>
                <w:rFonts w:ascii="Times New Roman" w:eastAsiaTheme="minorEastAsia"/>
                <w:b/>
                <w:u w:val="single"/>
              </w:rPr>
              <w:t>距离最近的平顶山饮用水源保护区沙河干流至白龟山水库之间的水域约4.5km，</w:t>
            </w:r>
            <w:r>
              <w:rPr>
                <w:rFonts w:ascii="Times New Roman" w:eastAsiaTheme="minorEastAsia"/>
                <w:b/>
                <w:bCs/>
                <w:u w:val="single"/>
              </w:rPr>
              <w:t>东南距南水北调</w:t>
            </w:r>
            <w:r>
              <w:rPr>
                <w:rFonts w:ascii="Times New Roman" w:eastAsiaTheme="minorEastAsia"/>
                <w:b/>
                <w:u w:val="single"/>
              </w:rPr>
              <w:t>中线一期工程总干渠二级保护区约1.5km</w:t>
            </w:r>
            <w:r>
              <w:rPr>
                <w:rFonts w:ascii="Times New Roman" w:eastAsiaTheme="minorEastAsia"/>
                <w:b/>
                <w:u w:val="single"/>
                <w:lang w:eastAsia="zh-CN"/>
              </w:rPr>
              <w:t>，不在</w:t>
            </w:r>
            <w:r>
              <w:rPr>
                <w:rFonts w:hint="eastAsia" w:ascii="Times New Roman" w:eastAsiaTheme="minorEastAsia"/>
                <w:b/>
                <w:u w:val="single"/>
                <w:lang w:eastAsia="zh-CN"/>
              </w:rPr>
              <w:t>饮用水源保护区内</w:t>
            </w:r>
            <w:r>
              <w:rPr>
                <w:rFonts w:ascii="Times New Roman" w:eastAsiaTheme="minorEastAsia"/>
                <w:b/>
                <w:u w:val="single"/>
                <w:lang w:eastAsia="zh-CN"/>
              </w:rPr>
              <w:t>。</w:t>
            </w:r>
          </w:p>
          <w:p>
            <w:pPr>
              <w:pStyle w:val="67"/>
              <w:ind w:firstLine="480"/>
              <w:rPr>
                <w:rFonts w:ascii="Times New Roman"/>
                <w:lang w:eastAsia="zh-CN"/>
              </w:rPr>
            </w:pPr>
            <w:r>
              <w:rPr>
                <w:rFonts w:hint="eastAsia" w:ascii="Times New Roman"/>
                <w:kern w:val="0"/>
                <w:lang w:eastAsia="zh-CN" w:bidi="ar"/>
              </w:rPr>
              <w:t>厂址</w:t>
            </w:r>
            <w:r>
              <w:rPr>
                <w:rFonts w:ascii="Times New Roman"/>
                <w:kern w:val="0"/>
              </w:rPr>
              <w:t>属于鲁山县大气重点单元，编码为ZH41042320003，</w:t>
            </w:r>
            <w:r>
              <w:rPr>
                <w:rFonts w:ascii="Times New Roman"/>
                <w:bCs/>
              </w:rPr>
              <w:t>本项目所在区域大气环境为</w:t>
            </w:r>
            <w:r>
              <w:rPr>
                <w:rFonts w:ascii="Times New Roman"/>
                <w:kern w:val="0"/>
              </w:rPr>
              <w:t>二类区，项目所排放的大气污染物为颗粒物，</w:t>
            </w:r>
            <w:r>
              <w:rPr>
                <w:rFonts w:ascii="Times New Roman"/>
                <w:kern w:val="0"/>
                <w:lang w:eastAsia="zh-CN"/>
              </w:rPr>
              <w:t>废气</w:t>
            </w:r>
            <w:r>
              <w:rPr>
                <w:rFonts w:ascii="Times New Roman"/>
                <w:kern w:val="0"/>
              </w:rPr>
              <w:t>经集气系统收集后进入袋式除尘器处理，</w:t>
            </w:r>
            <w:r>
              <w:rPr>
                <w:rFonts w:ascii="Times New Roman"/>
                <w:kern w:val="0"/>
                <w:lang w:eastAsia="zh-CN"/>
              </w:rPr>
              <w:t>可</w:t>
            </w:r>
            <w:r>
              <w:rPr>
                <w:rFonts w:ascii="Times New Roman"/>
                <w:kern w:val="0"/>
              </w:rPr>
              <w:t>以做到达标排放，对区域环境空气质量影响较小</w:t>
            </w:r>
            <w:r>
              <w:rPr>
                <w:rFonts w:hint="eastAsia" w:ascii="Times New Roman"/>
                <w:kern w:val="0"/>
                <w:lang w:eastAsia="zh-CN"/>
              </w:rPr>
              <w:t>；</w:t>
            </w:r>
            <w:r>
              <w:rPr>
                <w:rFonts w:ascii="Times New Roman"/>
              </w:rPr>
              <w:t>项目生产过程无废水外排，</w:t>
            </w:r>
            <w:r>
              <w:rPr>
                <w:rFonts w:ascii="Times New Roman"/>
                <w:lang w:eastAsia="zh-CN"/>
              </w:rPr>
              <w:t>生活污水经化粪池沉淀后</w:t>
            </w:r>
            <w:r>
              <w:rPr>
                <w:rFonts w:hint="eastAsia" w:ascii="Times New Roman"/>
                <w:lang w:eastAsia="zh-CN"/>
              </w:rPr>
              <w:t>肥田；</w:t>
            </w:r>
            <w:r>
              <w:rPr>
                <w:rFonts w:ascii="Times New Roman"/>
              </w:rPr>
              <w:t>厂区周围</w:t>
            </w:r>
            <w:r>
              <w:rPr>
                <w:rFonts w:ascii="Times New Roman"/>
                <w:lang w:eastAsia="zh-CN"/>
              </w:rPr>
              <w:t>50m内无敏感点，新增高噪声设备少，经隔声减振后，不会改变区域声环境质量；同时</w:t>
            </w:r>
            <w:r>
              <w:rPr>
                <w:rFonts w:hint="eastAsia" w:ascii="Times New Roman"/>
                <w:bCs/>
                <w:lang w:eastAsia="zh-CN"/>
              </w:rPr>
              <w:t>项目</w:t>
            </w:r>
            <w:r>
              <w:rPr>
                <w:rFonts w:ascii="Times New Roman"/>
                <w:bCs/>
                <w:lang w:eastAsia="zh-CN"/>
              </w:rPr>
              <w:t>生产区地面将进行</w:t>
            </w:r>
            <w:r>
              <w:rPr>
                <w:rFonts w:ascii="Times New Roman"/>
                <w:bCs/>
              </w:rPr>
              <w:t>硬化，不会降低土壤环境功能</w:t>
            </w:r>
            <w:r>
              <w:rPr>
                <w:rFonts w:ascii="Times New Roman"/>
                <w:lang w:eastAsia="zh-CN"/>
              </w:rPr>
              <w:t>。综合分析，项目的建设不会改变区域环境功能，</w:t>
            </w:r>
            <w:r>
              <w:rPr>
                <w:rFonts w:ascii="Times New Roman"/>
                <w:bCs/>
              </w:rPr>
              <w:t>符合环境质量底线要求。</w:t>
            </w:r>
          </w:p>
          <w:p>
            <w:pPr>
              <w:pStyle w:val="69"/>
              <w:overflowPunct w:val="0"/>
              <w:autoSpaceDE w:val="0"/>
              <w:autoSpaceDN w:val="0"/>
              <w:rPr>
                <w:rFonts w:ascii="Times New Roman" w:hAnsi="Times New Roman"/>
                <w:bCs w:val="0"/>
              </w:rPr>
            </w:pPr>
            <w:r>
              <w:t>本项目</w:t>
            </w:r>
            <w:r>
              <w:rPr>
                <w:rFonts w:hint="eastAsia"/>
              </w:rPr>
              <w:t>利用废弃厂区空地建设</w:t>
            </w:r>
            <w:r>
              <w:t>，新增用水量</w:t>
            </w:r>
            <w:r>
              <w:rPr>
                <w:rFonts w:hint="eastAsia"/>
              </w:rPr>
              <w:t>较小</w:t>
            </w:r>
            <w:r>
              <w:t>，</w:t>
            </w:r>
            <w:r>
              <w:rPr>
                <w:rFonts w:hint="eastAsia" w:ascii="Times New Roman" w:hAnsi="Times New Roman"/>
                <w:bCs w:val="0"/>
              </w:rPr>
              <w:t>符合资源能源利用上限管控要求。</w:t>
            </w:r>
          </w:p>
          <w:p>
            <w:pPr>
              <w:autoSpaceDE w:val="0"/>
              <w:autoSpaceDN w:val="0"/>
              <w:adjustRightInd w:val="0"/>
              <w:snapToGrid w:val="0"/>
              <w:spacing w:line="360" w:lineRule="auto"/>
              <w:ind w:firstLine="480" w:firstLineChars="200"/>
              <w:rPr>
                <w:rFonts w:cs="宋体"/>
                <w:kern w:val="0"/>
                <w:sz w:val="24"/>
              </w:rPr>
            </w:pPr>
            <w:r>
              <w:rPr>
                <w:rFonts w:hint="eastAsia" w:cs="宋体"/>
                <w:kern w:val="0"/>
                <w:sz w:val="24"/>
              </w:rPr>
              <w:t>综合以上</w:t>
            </w:r>
            <w:r>
              <w:rPr>
                <w:rFonts w:cs="宋体"/>
                <w:kern w:val="0"/>
                <w:sz w:val="24"/>
              </w:rPr>
              <w:t>分析，本项目的建设符合</w:t>
            </w:r>
            <w:r>
              <w:rPr>
                <w:rFonts w:hint="eastAsia" w:cs="宋体"/>
                <w:kern w:val="0"/>
                <w:sz w:val="24"/>
              </w:rPr>
              <w:t>《平顶山市生态</w:t>
            </w:r>
            <w:r>
              <w:rPr>
                <w:rFonts w:cs="宋体"/>
                <w:kern w:val="0"/>
                <w:sz w:val="24"/>
              </w:rPr>
              <w:t>环境局关于组织实施平顶山市“</w:t>
            </w:r>
            <w:r>
              <w:rPr>
                <w:rFonts w:hint="eastAsia" w:cs="宋体"/>
                <w:kern w:val="0"/>
                <w:sz w:val="24"/>
              </w:rPr>
              <w:t>三线一单</w:t>
            </w:r>
            <w:r>
              <w:rPr>
                <w:rFonts w:cs="宋体"/>
                <w:kern w:val="0"/>
                <w:sz w:val="24"/>
              </w:rPr>
              <w:t>”</w:t>
            </w:r>
            <w:r>
              <w:rPr>
                <w:rFonts w:hint="eastAsia" w:cs="宋体"/>
                <w:kern w:val="0"/>
                <w:sz w:val="24"/>
              </w:rPr>
              <w:t>生态</w:t>
            </w:r>
            <w:r>
              <w:rPr>
                <w:rFonts w:cs="宋体"/>
                <w:kern w:val="0"/>
                <w:sz w:val="24"/>
              </w:rPr>
              <w:t>环境</w:t>
            </w:r>
            <w:r>
              <w:rPr>
                <w:rFonts w:hint="eastAsia" w:cs="宋体"/>
                <w:kern w:val="0"/>
                <w:sz w:val="24"/>
              </w:rPr>
              <w:t>分区</w:t>
            </w:r>
            <w:r>
              <w:rPr>
                <w:rFonts w:cs="宋体"/>
                <w:kern w:val="0"/>
                <w:sz w:val="24"/>
              </w:rPr>
              <w:t>管控准入清单的函》（</w:t>
            </w:r>
            <w:r>
              <w:rPr>
                <w:rFonts w:hint="eastAsia" w:cs="宋体"/>
                <w:kern w:val="0"/>
                <w:sz w:val="24"/>
              </w:rPr>
              <w:t>平</w:t>
            </w:r>
            <w:r>
              <w:rPr>
                <w:rFonts w:cs="宋体"/>
                <w:kern w:val="0"/>
                <w:sz w:val="24"/>
              </w:rPr>
              <w:t>政</w:t>
            </w:r>
            <w:r>
              <w:rPr>
                <w:rFonts w:hint="eastAsia" w:cs="宋体"/>
                <w:kern w:val="0"/>
                <w:sz w:val="24"/>
              </w:rPr>
              <w:t>〔2021〕</w:t>
            </w:r>
            <w:r>
              <w:rPr>
                <w:rFonts w:cs="宋体"/>
                <w:kern w:val="0"/>
                <w:sz w:val="24"/>
              </w:rPr>
              <w:t>121号）。</w:t>
            </w:r>
          </w:p>
        </w:tc>
      </w:tr>
    </w:tbl>
    <w:p>
      <w:pPr>
        <w:pStyle w:val="13"/>
        <w:sectPr>
          <w:pgSz w:w="16838" w:h="11906" w:orient="landscape"/>
          <w:pgMar w:top="1531" w:right="1701" w:bottom="1531" w:left="1701" w:header="851" w:footer="1077" w:gutter="0"/>
          <w:cols w:space="720" w:num="1"/>
          <w:docGrid w:linePitch="312" w:charSpace="0"/>
        </w:sectPr>
      </w:pPr>
    </w:p>
    <w:tbl>
      <w:tblPr>
        <w:tblStyle w:val="22"/>
        <w:tblW w:w="8779"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77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779" w:type="dxa"/>
            <w:vAlign w:val="center"/>
          </w:tcPr>
          <w:p>
            <w:pPr>
              <w:autoSpaceDE w:val="0"/>
              <w:autoSpaceDN w:val="0"/>
              <w:adjustRightInd w:val="0"/>
              <w:snapToGrid w:val="0"/>
              <w:spacing w:line="360" w:lineRule="auto"/>
              <w:ind w:firstLine="361" w:firstLineChars="150"/>
              <w:rPr>
                <w:rFonts w:cs="宋体"/>
                <w:b/>
                <w:bCs/>
                <w:kern w:val="0"/>
                <w:sz w:val="24"/>
              </w:rPr>
            </w:pPr>
            <w:r>
              <w:rPr>
                <w:rFonts w:hint="eastAsia" w:cs="宋体"/>
                <w:b/>
                <w:bCs/>
                <w:kern w:val="0"/>
                <w:sz w:val="24"/>
              </w:rPr>
              <w:t>2、与《河南省2021年大气污染防治攻坚战实施方案》相符性分析</w:t>
            </w:r>
          </w:p>
          <w:p>
            <w:pPr>
              <w:autoSpaceDE w:val="0"/>
              <w:autoSpaceDN w:val="0"/>
              <w:adjustRightInd w:val="0"/>
              <w:snapToGrid w:val="0"/>
              <w:spacing w:line="360" w:lineRule="auto"/>
              <w:ind w:firstLine="480" w:firstLineChars="200"/>
              <w:rPr>
                <w:rFonts w:cs="宋体"/>
                <w:kern w:val="0"/>
                <w:sz w:val="24"/>
              </w:rPr>
            </w:pPr>
            <w:r>
              <w:rPr>
                <w:rFonts w:hint="eastAsia" w:cs="宋体"/>
                <w:kern w:val="0"/>
                <w:sz w:val="24"/>
              </w:rPr>
              <w:t>《河南省2021年大气污染防治攻坚战实施方案》中与本项目相关的内容如下：</w:t>
            </w:r>
          </w:p>
          <w:p>
            <w:pPr>
              <w:autoSpaceDE w:val="0"/>
              <w:autoSpaceDN w:val="0"/>
              <w:adjustRightInd w:val="0"/>
              <w:snapToGrid w:val="0"/>
              <w:spacing w:line="400" w:lineRule="exact"/>
              <w:ind w:firstLine="360" w:firstLineChars="150"/>
              <w:rPr>
                <w:rFonts w:cs="宋体"/>
                <w:spacing w:val="-10"/>
                <w:kern w:val="0"/>
                <w:sz w:val="24"/>
              </w:rPr>
            </w:pPr>
            <w:r>
              <w:rPr>
                <w:rFonts w:eastAsia="黑体"/>
                <w:sz w:val="24"/>
                <w:szCs w:val="22"/>
              </w:rPr>
              <w:t xml:space="preserve">表3  </w:t>
            </w:r>
            <w:r>
              <w:rPr>
                <w:rFonts w:eastAsia="黑体"/>
                <w:spacing w:val="-10"/>
                <w:sz w:val="24"/>
                <w:szCs w:val="22"/>
              </w:rPr>
              <w:t>项目与</w:t>
            </w:r>
            <w:r>
              <w:rPr>
                <w:rFonts w:hint="eastAsia" w:eastAsia="黑体"/>
                <w:spacing w:val="-10"/>
                <w:sz w:val="24"/>
                <w:szCs w:val="22"/>
              </w:rPr>
              <w:t>《河南省2021年</w:t>
            </w:r>
            <w:r>
              <w:rPr>
                <w:rFonts w:eastAsia="黑体"/>
                <w:spacing w:val="-10"/>
                <w:sz w:val="24"/>
                <w:szCs w:val="22"/>
              </w:rPr>
              <w:t>大气污染防治攻坚战实施方案</w:t>
            </w:r>
            <w:r>
              <w:rPr>
                <w:rFonts w:hint="eastAsia" w:eastAsia="黑体"/>
                <w:spacing w:val="-10"/>
                <w:sz w:val="24"/>
                <w:szCs w:val="22"/>
              </w:rPr>
              <w:t>》相符</w:t>
            </w:r>
            <w:r>
              <w:rPr>
                <w:rFonts w:eastAsia="黑体"/>
                <w:spacing w:val="-10"/>
                <w:sz w:val="24"/>
                <w:szCs w:val="22"/>
              </w:rPr>
              <w:t>性分析</w:t>
            </w:r>
          </w:p>
          <w:tbl>
            <w:tblPr>
              <w:tblStyle w:val="22"/>
              <w:tblW w:w="8527" w:type="dxa"/>
              <w:tblInd w:w="0"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28" w:type="dxa"/>
                <w:bottom w:w="0" w:type="dxa"/>
                <w:right w:w="28" w:type="dxa"/>
              </w:tblCellMar>
            </w:tblPr>
            <w:tblGrid>
              <w:gridCol w:w="4866"/>
              <w:gridCol w:w="2574"/>
              <w:gridCol w:w="1087"/>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28" w:type="dxa"/>
                  <w:bottom w:w="0" w:type="dxa"/>
                  <w:right w:w="28" w:type="dxa"/>
                </w:tblCellMar>
              </w:tblPrEx>
              <w:trPr>
                <w:trHeight w:val="441" w:hRule="atLeast"/>
              </w:trPr>
              <w:tc>
                <w:tcPr>
                  <w:tcW w:w="4866" w:type="dxa"/>
                  <w:vAlign w:val="center"/>
                </w:tcPr>
                <w:p>
                  <w:pPr>
                    <w:pStyle w:val="49"/>
                    <w:spacing w:line="280" w:lineRule="exact"/>
                    <w:ind w:firstLine="0" w:firstLineChars="0"/>
                    <w:jc w:val="center"/>
                    <w:rPr>
                      <w:rFonts w:ascii="Times New Roman" w:hAnsi="Times New Roman" w:cs="宋体"/>
                      <w:bCs/>
                      <w:kern w:val="0"/>
                      <w:sz w:val="21"/>
                      <w:szCs w:val="21"/>
                    </w:rPr>
                  </w:pPr>
                  <w:r>
                    <w:rPr>
                      <w:rFonts w:ascii="Times New Roman" w:hAnsi="Times New Roman" w:cs="宋体"/>
                      <w:bCs/>
                      <w:kern w:val="0"/>
                      <w:sz w:val="21"/>
                      <w:szCs w:val="21"/>
                    </w:rPr>
                    <w:t>相关要求</w:t>
                  </w:r>
                </w:p>
              </w:tc>
              <w:tc>
                <w:tcPr>
                  <w:tcW w:w="2574" w:type="dxa"/>
                  <w:vAlign w:val="center"/>
                </w:tcPr>
                <w:p>
                  <w:pPr>
                    <w:pStyle w:val="49"/>
                    <w:spacing w:line="280" w:lineRule="exact"/>
                    <w:ind w:firstLine="0" w:firstLineChars="0"/>
                    <w:jc w:val="center"/>
                    <w:rPr>
                      <w:rFonts w:ascii="Times New Roman" w:hAnsi="Times New Roman" w:cs="宋体"/>
                      <w:bCs/>
                      <w:kern w:val="0"/>
                      <w:sz w:val="21"/>
                      <w:szCs w:val="21"/>
                    </w:rPr>
                  </w:pPr>
                  <w:r>
                    <w:rPr>
                      <w:rFonts w:hint="eastAsia" w:ascii="Times New Roman" w:hAnsi="Times New Roman" w:cs="宋体"/>
                      <w:bCs/>
                      <w:kern w:val="0"/>
                      <w:sz w:val="21"/>
                      <w:szCs w:val="21"/>
                    </w:rPr>
                    <w:t>本</w:t>
                  </w:r>
                  <w:r>
                    <w:rPr>
                      <w:rFonts w:ascii="Times New Roman" w:hAnsi="Times New Roman" w:cs="宋体"/>
                      <w:bCs/>
                      <w:kern w:val="0"/>
                      <w:sz w:val="21"/>
                      <w:szCs w:val="21"/>
                    </w:rPr>
                    <w:t>项目建设</w:t>
                  </w:r>
                  <w:r>
                    <w:rPr>
                      <w:rFonts w:hint="eastAsia" w:ascii="Times New Roman" w:hAnsi="Times New Roman" w:cs="宋体"/>
                      <w:bCs/>
                      <w:kern w:val="0"/>
                      <w:sz w:val="21"/>
                      <w:szCs w:val="21"/>
                    </w:rPr>
                    <w:t>情况</w:t>
                  </w:r>
                </w:p>
              </w:tc>
              <w:tc>
                <w:tcPr>
                  <w:tcW w:w="1087" w:type="dxa"/>
                  <w:vAlign w:val="center"/>
                </w:tcPr>
                <w:p>
                  <w:pPr>
                    <w:pStyle w:val="49"/>
                    <w:spacing w:line="280" w:lineRule="exact"/>
                    <w:ind w:firstLine="0" w:firstLineChars="0"/>
                    <w:jc w:val="center"/>
                    <w:rPr>
                      <w:rFonts w:ascii="Times New Roman" w:hAnsi="Times New Roman" w:cs="宋体"/>
                      <w:bCs/>
                      <w:kern w:val="0"/>
                      <w:sz w:val="21"/>
                      <w:szCs w:val="21"/>
                    </w:rPr>
                  </w:pPr>
                  <w:r>
                    <w:rPr>
                      <w:rFonts w:hint="eastAsia" w:ascii="Times New Roman" w:hAnsi="Times New Roman" w:cs="宋体"/>
                      <w:bCs/>
                      <w:kern w:val="0"/>
                      <w:sz w:val="21"/>
                      <w:szCs w:val="21"/>
                    </w:rPr>
                    <w:t>相符性</w:t>
                  </w:r>
                  <w:r>
                    <w:rPr>
                      <w:rFonts w:ascii="Times New Roman" w:hAnsi="Times New Roman" w:cs="宋体"/>
                      <w:bCs/>
                      <w:kern w:val="0"/>
                      <w:sz w:val="21"/>
                      <w:szCs w:val="21"/>
                    </w:rPr>
                    <w:t>分析</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28" w:type="dxa"/>
                  <w:bottom w:w="0" w:type="dxa"/>
                  <w:right w:w="28" w:type="dxa"/>
                </w:tblCellMar>
              </w:tblPrEx>
              <w:trPr>
                <w:trHeight w:val="441" w:hRule="atLeast"/>
              </w:trPr>
              <w:tc>
                <w:tcPr>
                  <w:tcW w:w="4866" w:type="dxa"/>
                  <w:vAlign w:val="center"/>
                </w:tcPr>
                <w:p>
                  <w:pPr>
                    <w:pStyle w:val="49"/>
                    <w:spacing w:line="280" w:lineRule="exact"/>
                    <w:ind w:firstLine="0" w:firstLineChars="0"/>
                    <w:jc w:val="left"/>
                    <w:rPr>
                      <w:rFonts w:ascii="Times New Roman" w:hAnsi="Times New Roman" w:cs="宋体"/>
                      <w:b/>
                      <w:bCs/>
                      <w:kern w:val="0"/>
                      <w:sz w:val="21"/>
                      <w:szCs w:val="21"/>
                    </w:rPr>
                  </w:pPr>
                  <w:r>
                    <w:rPr>
                      <w:rFonts w:hint="eastAsia" w:cs="宋体"/>
                      <w:kern w:val="0"/>
                      <w:sz w:val="21"/>
                      <w:szCs w:val="21"/>
                    </w:rPr>
                    <w:t>2、严格环境准入。落实“三线一单”（生态保护红线、环境质量底线、资源利用上线和生态环境准入清单）生态环境分区管控要求，从严从紧从实控制高耗能、高排放项目建设，全省原则上禁止新建、扩建单纯新增产能的钢铁、电解铝、水泥、平板玻璃、传统煤化工（甲醇、合成氨）、焦化、铸造、铝用炭素、耐火材料制品、砖瓦窑、铅锌冶炼（含再生铅）等高耗能、高排放和产能过剩的产业项目，严格项目备案审查，强化项目现场核查，保持违规新增产能项目露头就打的高压态势。完善生态环境准入清单，强化项目环评及“三同时”管理，国家、省绩效分级重点行业的新建、改建、扩建项目达到B级以上要求。</w:t>
                  </w:r>
                </w:p>
              </w:tc>
              <w:tc>
                <w:tcPr>
                  <w:tcW w:w="2574" w:type="dxa"/>
                  <w:vAlign w:val="center"/>
                </w:tcPr>
                <w:p>
                  <w:pPr>
                    <w:autoSpaceDE w:val="0"/>
                    <w:autoSpaceDN w:val="0"/>
                    <w:adjustRightInd w:val="0"/>
                    <w:snapToGrid w:val="0"/>
                    <w:spacing w:line="280" w:lineRule="exact"/>
                    <w:rPr>
                      <w:rFonts w:cs="宋体"/>
                      <w:bCs/>
                      <w:kern w:val="0"/>
                      <w:szCs w:val="21"/>
                    </w:rPr>
                  </w:pPr>
                  <w:r>
                    <w:rPr>
                      <w:rFonts w:hint="eastAsia" w:cs="宋体"/>
                      <w:bCs/>
                      <w:kern w:val="0"/>
                      <w:szCs w:val="21"/>
                    </w:rPr>
                    <w:t>本项目的建设符合《平顶山市生态</w:t>
                  </w:r>
                  <w:r>
                    <w:rPr>
                      <w:rFonts w:cs="宋体"/>
                      <w:bCs/>
                      <w:kern w:val="0"/>
                      <w:szCs w:val="21"/>
                    </w:rPr>
                    <w:t>环境局关于组织实施平顶山市“</w:t>
                  </w:r>
                  <w:r>
                    <w:rPr>
                      <w:rFonts w:hint="eastAsia" w:cs="宋体"/>
                      <w:bCs/>
                      <w:kern w:val="0"/>
                      <w:szCs w:val="21"/>
                    </w:rPr>
                    <w:t>三线一单</w:t>
                  </w:r>
                  <w:r>
                    <w:rPr>
                      <w:rFonts w:cs="宋体"/>
                      <w:bCs/>
                      <w:kern w:val="0"/>
                      <w:szCs w:val="21"/>
                    </w:rPr>
                    <w:t>”</w:t>
                  </w:r>
                  <w:r>
                    <w:rPr>
                      <w:rFonts w:hint="eastAsia" w:cs="宋体"/>
                      <w:bCs/>
                      <w:kern w:val="0"/>
                      <w:szCs w:val="21"/>
                    </w:rPr>
                    <w:t>生态</w:t>
                  </w:r>
                  <w:r>
                    <w:rPr>
                      <w:rFonts w:cs="宋体"/>
                      <w:bCs/>
                      <w:kern w:val="0"/>
                      <w:szCs w:val="21"/>
                    </w:rPr>
                    <w:t>环境</w:t>
                  </w:r>
                  <w:r>
                    <w:rPr>
                      <w:rFonts w:hint="eastAsia" w:cs="宋体"/>
                      <w:bCs/>
                      <w:kern w:val="0"/>
                      <w:szCs w:val="21"/>
                    </w:rPr>
                    <w:t>分区</w:t>
                  </w:r>
                  <w:r>
                    <w:rPr>
                      <w:rFonts w:cs="宋体"/>
                      <w:bCs/>
                      <w:kern w:val="0"/>
                      <w:szCs w:val="21"/>
                    </w:rPr>
                    <w:t>管控准入清单的函》（</w:t>
                  </w:r>
                  <w:r>
                    <w:rPr>
                      <w:rFonts w:hint="eastAsia" w:cs="宋体"/>
                      <w:bCs/>
                      <w:kern w:val="0"/>
                      <w:szCs w:val="21"/>
                    </w:rPr>
                    <w:t>平</w:t>
                  </w:r>
                  <w:r>
                    <w:rPr>
                      <w:rFonts w:cs="宋体"/>
                      <w:bCs/>
                      <w:kern w:val="0"/>
                      <w:szCs w:val="21"/>
                    </w:rPr>
                    <w:t>政</w:t>
                  </w:r>
                  <w:r>
                    <w:rPr>
                      <w:rFonts w:hint="eastAsia" w:cs="宋体"/>
                      <w:bCs/>
                      <w:kern w:val="0"/>
                      <w:szCs w:val="21"/>
                    </w:rPr>
                    <w:t>〔2021〕</w:t>
                  </w:r>
                  <w:r>
                    <w:rPr>
                      <w:rFonts w:cs="宋体"/>
                      <w:bCs/>
                      <w:kern w:val="0"/>
                      <w:szCs w:val="21"/>
                    </w:rPr>
                    <w:t>121号）</w:t>
                  </w:r>
                  <w:r>
                    <w:rPr>
                      <w:rFonts w:hint="eastAsia" w:cs="宋体"/>
                      <w:bCs/>
                      <w:kern w:val="0"/>
                      <w:szCs w:val="21"/>
                    </w:rPr>
                    <w:t>的要求。</w:t>
                  </w:r>
                  <w:r>
                    <w:rPr>
                      <w:rFonts w:hint="eastAsia" w:cs="宋体"/>
                      <w:b/>
                      <w:bCs/>
                      <w:kern w:val="0"/>
                      <w:szCs w:val="21"/>
                      <w:u w:val="single"/>
                    </w:rPr>
                    <w:t>本项目属于</w:t>
                  </w:r>
                  <w:r>
                    <w:rPr>
                      <w:rFonts w:cs="宋体"/>
                      <w:b/>
                      <w:bCs/>
                      <w:kern w:val="0"/>
                      <w:szCs w:val="21"/>
                      <w:u w:val="single"/>
                    </w:rPr>
                    <w:t>废弃资源综合利用业</w:t>
                  </w:r>
                  <w:r>
                    <w:rPr>
                      <w:rFonts w:hint="eastAsia" w:cs="宋体"/>
                      <w:b/>
                      <w:bCs/>
                      <w:kern w:val="0"/>
                      <w:szCs w:val="21"/>
                      <w:u w:val="single"/>
                    </w:rPr>
                    <w:t>，按照河南省</w:t>
                  </w:r>
                  <w:r>
                    <w:rPr>
                      <w:rFonts w:cs="宋体"/>
                      <w:b/>
                      <w:bCs/>
                      <w:kern w:val="0"/>
                      <w:szCs w:val="21"/>
                      <w:u w:val="single"/>
                    </w:rPr>
                    <w:t>重污染天气通用行业</w:t>
                  </w:r>
                  <w:r>
                    <w:rPr>
                      <w:rFonts w:hint="eastAsia" w:cs="宋体"/>
                      <w:b/>
                      <w:bCs/>
                      <w:kern w:val="0"/>
                      <w:szCs w:val="21"/>
                      <w:u w:val="single"/>
                    </w:rPr>
                    <w:t>B级以上企业控制</w:t>
                  </w:r>
                  <w:r>
                    <w:rPr>
                      <w:rFonts w:cs="宋体"/>
                      <w:b/>
                      <w:bCs/>
                      <w:kern w:val="0"/>
                      <w:szCs w:val="21"/>
                      <w:u w:val="single"/>
                    </w:rPr>
                    <w:t>要求</w:t>
                  </w:r>
                  <w:r>
                    <w:rPr>
                      <w:rFonts w:hint="eastAsia" w:cs="宋体"/>
                      <w:b/>
                      <w:bCs/>
                      <w:kern w:val="0"/>
                      <w:szCs w:val="21"/>
                      <w:u w:val="single"/>
                    </w:rPr>
                    <w:t>进行</w:t>
                  </w:r>
                  <w:r>
                    <w:rPr>
                      <w:rFonts w:cs="宋体"/>
                      <w:b/>
                      <w:bCs/>
                      <w:kern w:val="0"/>
                      <w:szCs w:val="21"/>
                      <w:u w:val="single"/>
                    </w:rPr>
                    <w:t>建设。</w:t>
                  </w:r>
                </w:p>
              </w:tc>
              <w:tc>
                <w:tcPr>
                  <w:tcW w:w="1087" w:type="dxa"/>
                  <w:vAlign w:val="center"/>
                </w:tcPr>
                <w:p>
                  <w:pPr>
                    <w:pStyle w:val="49"/>
                    <w:spacing w:line="280" w:lineRule="exact"/>
                    <w:ind w:firstLine="0" w:firstLineChars="0"/>
                    <w:jc w:val="center"/>
                    <w:rPr>
                      <w:rFonts w:ascii="Times New Roman" w:hAnsi="Times New Roman" w:cs="宋体"/>
                      <w:bCs/>
                      <w:kern w:val="0"/>
                      <w:sz w:val="21"/>
                      <w:szCs w:val="21"/>
                    </w:rPr>
                  </w:pPr>
                  <w:r>
                    <w:rPr>
                      <w:rFonts w:hint="eastAsia" w:ascii="Times New Roman" w:hAnsi="Times New Roman" w:cs="宋体"/>
                      <w:bCs/>
                      <w:kern w:val="0"/>
                      <w:sz w:val="21"/>
                      <w:szCs w:val="21"/>
                    </w:rPr>
                    <w:t>相符</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28" w:type="dxa"/>
                  <w:bottom w:w="0" w:type="dxa"/>
                  <w:right w:w="28" w:type="dxa"/>
                </w:tblCellMar>
              </w:tblPrEx>
              <w:trPr>
                <w:trHeight w:val="441" w:hRule="atLeast"/>
              </w:trPr>
              <w:tc>
                <w:tcPr>
                  <w:tcW w:w="4866" w:type="dxa"/>
                  <w:vAlign w:val="center"/>
                </w:tcPr>
                <w:p>
                  <w:pPr>
                    <w:autoSpaceDE w:val="0"/>
                    <w:autoSpaceDN w:val="0"/>
                    <w:adjustRightInd w:val="0"/>
                    <w:snapToGrid w:val="0"/>
                    <w:spacing w:line="280" w:lineRule="exact"/>
                    <w:rPr>
                      <w:rFonts w:cs="宋体"/>
                      <w:kern w:val="0"/>
                      <w:szCs w:val="21"/>
                    </w:rPr>
                  </w:pPr>
                  <w:r>
                    <w:rPr>
                      <w:rFonts w:cs="宋体"/>
                      <w:kern w:val="0"/>
                      <w:szCs w:val="21"/>
                    </w:rPr>
                    <w:t>18</w:t>
                  </w:r>
                  <w:r>
                    <w:rPr>
                      <w:rFonts w:hint="eastAsia" w:cs="宋体"/>
                      <w:kern w:val="0"/>
                      <w:szCs w:val="21"/>
                    </w:rPr>
                    <w:t>、加强扬尘综合治理。开展扬尘污染综合治理提升行动，推动扬尘污染防治常态化、规范化、标准化。住房城乡建设、交通运输、自然资源、水利、商务等部门将落实《城市房屋建筑和市政基础设施工程及道路扬尘污染防治标准》要求、“六个百分之百”扬尘污染防治措施、“两个禁止”（禁止现场搅拌混凝土和现场配制砂浆）、渣土物料运输车辆管理纳入日常安全文明施工监督范围，组织做好重污染天气预警、大风天气条件下施工工地、道路扬尘管控，建立举报监督、明查暗访工作机制，将工程建设活动中未按规定采取控制措施、减少扬尘污染受到通报、约谈或行政处罚的列为不良行为。进一步扩大道路机械化清扫和洒水范围，强化道路清洗保洁作业，持续开展城市清洁行动。2021年各城市平均降尘量不得高于8吨/月·平方公里，不断加严降尘量控制指标，实施网格化降尘量监测考核。持续推进城市建降尘量控制</w:t>
                  </w:r>
                  <w:r>
                    <w:rPr>
                      <w:rFonts w:hint="eastAsia" w:cs="宋体"/>
                      <w:spacing w:val="-10"/>
                      <w:kern w:val="0"/>
                      <w:szCs w:val="21"/>
                    </w:rPr>
                    <w:t>指标，实施网格化降尘量监测考核。持续推进城市建成区餐饮油烟治理，2021年底前，全省大型餐饮服务单位全部实现在线监控，市级监控平台基本实现与所辖县（市、区）联网运行。</w:t>
                  </w:r>
                </w:p>
              </w:tc>
              <w:tc>
                <w:tcPr>
                  <w:tcW w:w="2574" w:type="dxa"/>
                  <w:vAlign w:val="center"/>
                </w:tcPr>
                <w:p>
                  <w:pPr>
                    <w:autoSpaceDE w:val="0"/>
                    <w:autoSpaceDN w:val="0"/>
                    <w:adjustRightInd w:val="0"/>
                    <w:snapToGrid w:val="0"/>
                    <w:spacing w:line="280" w:lineRule="exact"/>
                    <w:rPr>
                      <w:kern w:val="0"/>
                      <w:szCs w:val="21"/>
                    </w:rPr>
                  </w:pPr>
                  <w:r>
                    <w:rPr>
                      <w:kern w:val="0"/>
                      <w:szCs w:val="21"/>
                    </w:rPr>
                    <w:t>项目在施工过程中严格落实“六个百分之百”、“两个禁止”，在重污染天气预警、大风天气条件下禁止施工。</w:t>
                  </w:r>
                </w:p>
                <w:p>
                  <w:pPr>
                    <w:autoSpaceDE w:val="0"/>
                    <w:autoSpaceDN w:val="0"/>
                    <w:adjustRightInd w:val="0"/>
                    <w:snapToGrid w:val="0"/>
                    <w:spacing w:line="280" w:lineRule="exact"/>
                    <w:rPr>
                      <w:rFonts w:cs="宋体"/>
                      <w:bCs/>
                      <w:kern w:val="0"/>
                      <w:szCs w:val="21"/>
                    </w:rPr>
                  </w:pPr>
                </w:p>
              </w:tc>
              <w:tc>
                <w:tcPr>
                  <w:tcW w:w="1087" w:type="dxa"/>
                  <w:vAlign w:val="center"/>
                </w:tcPr>
                <w:p>
                  <w:pPr>
                    <w:pStyle w:val="49"/>
                    <w:spacing w:line="280" w:lineRule="exact"/>
                    <w:ind w:firstLine="0" w:firstLineChars="0"/>
                    <w:jc w:val="center"/>
                    <w:rPr>
                      <w:rFonts w:ascii="Times New Roman" w:hAnsi="Times New Roman" w:cs="宋体"/>
                      <w:bCs/>
                      <w:kern w:val="0"/>
                      <w:sz w:val="21"/>
                      <w:szCs w:val="21"/>
                    </w:rPr>
                  </w:pPr>
                  <w:r>
                    <w:rPr>
                      <w:rFonts w:hint="eastAsia" w:ascii="Times New Roman" w:hAnsi="Times New Roman" w:cs="宋体"/>
                      <w:bCs/>
                      <w:kern w:val="0"/>
                      <w:sz w:val="21"/>
                      <w:szCs w:val="21"/>
                    </w:rPr>
                    <w:t>相符</w:t>
                  </w:r>
                </w:p>
              </w:tc>
            </w:tr>
          </w:tbl>
          <w:p>
            <w:pPr>
              <w:spacing w:line="520" w:lineRule="exact"/>
              <w:ind w:firstLine="360" w:firstLineChars="150"/>
              <w:jc w:val="left"/>
              <w:rPr>
                <w:rFonts w:cs="宋体"/>
                <w:kern w:val="0"/>
                <w:sz w:val="24"/>
              </w:rPr>
            </w:pPr>
            <w:r>
              <w:rPr>
                <w:rFonts w:hint="eastAsia" w:cs="宋体"/>
                <w:kern w:val="0"/>
                <w:sz w:val="24"/>
              </w:rPr>
              <w:t>由上表</w:t>
            </w:r>
            <w:r>
              <w:rPr>
                <w:rFonts w:cs="宋体"/>
                <w:kern w:val="0"/>
                <w:sz w:val="24"/>
              </w:rPr>
              <w:t>可知，</w:t>
            </w:r>
            <w:r>
              <w:rPr>
                <w:rFonts w:hint="eastAsia" w:cs="宋体"/>
                <w:kern w:val="0"/>
                <w:sz w:val="24"/>
              </w:rPr>
              <w:t>本项目建设符合《河南省2021年大气污染防治攻坚战实施方案》的要求。</w:t>
            </w:r>
          </w:p>
          <w:p>
            <w:pPr>
              <w:autoSpaceDE w:val="0"/>
              <w:autoSpaceDN w:val="0"/>
              <w:adjustRightInd w:val="0"/>
              <w:snapToGrid w:val="0"/>
              <w:spacing w:line="480" w:lineRule="exact"/>
              <w:ind w:firstLine="482" w:firstLineChars="200"/>
              <w:rPr>
                <w:rFonts w:cs="宋体"/>
                <w:b/>
                <w:bCs/>
                <w:kern w:val="0"/>
                <w:sz w:val="24"/>
              </w:rPr>
            </w:pPr>
          </w:p>
          <w:p>
            <w:pPr>
              <w:autoSpaceDE w:val="0"/>
              <w:autoSpaceDN w:val="0"/>
              <w:adjustRightInd w:val="0"/>
              <w:snapToGrid w:val="0"/>
              <w:spacing w:line="480" w:lineRule="exact"/>
              <w:ind w:firstLine="482" w:firstLineChars="200"/>
              <w:rPr>
                <w:rFonts w:cs="宋体"/>
                <w:b/>
                <w:bCs/>
                <w:kern w:val="0"/>
                <w:sz w:val="24"/>
              </w:rPr>
            </w:pPr>
          </w:p>
          <w:p>
            <w:pPr>
              <w:autoSpaceDE w:val="0"/>
              <w:autoSpaceDN w:val="0"/>
              <w:adjustRightInd w:val="0"/>
              <w:snapToGrid w:val="0"/>
              <w:spacing w:line="480" w:lineRule="exact"/>
              <w:ind w:firstLine="482" w:firstLineChars="200"/>
              <w:rPr>
                <w:rFonts w:cs="宋体"/>
                <w:b/>
                <w:bCs/>
                <w:kern w:val="0"/>
                <w:sz w:val="24"/>
              </w:rPr>
            </w:pPr>
            <w:r>
              <w:rPr>
                <w:rFonts w:cs="宋体"/>
                <w:b/>
                <w:bCs/>
                <w:kern w:val="0"/>
                <w:sz w:val="24"/>
              </w:rPr>
              <w:t>3</w:t>
            </w:r>
            <w:r>
              <w:rPr>
                <w:rFonts w:hint="eastAsia" w:cs="宋体"/>
                <w:b/>
                <w:bCs/>
                <w:kern w:val="0"/>
                <w:sz w:val="24"/>
              </w:rPr>
              <w:t>、与《河南省生态环境厅印发河南省工业企业大气污染防治6个专项方案的通知》（豫环文[2019]84号）</w:t>
            </w:r>
          </w:p>
          <w:p>
            <w:pPr>
              <w:spacing w:line="480" w:lineRule="exact"/>
              <w:ind w:firstLine="360" w:firstLineChars="150"/>
              <w:jc w:val="left"/>
              <w:rPr>
                <w:rFonts w:cs="宋体"/>
                <w:sz w:val="24"/>
              </w:rPr>
            </w:pPr>
            <w:r>
              <w:rPr>
                <w:rFonts w:hint="eastAsia" w:cs="宋体"/>
                <w:sz w:val="24"/>
              </w:rPr>
              <w:t>本</w:t>
            </w:r>
            <w:r>
              <w:rPr>
                <w:rFonts w:cs="宋体"/>
                <w:sz w:val="24"/>
              </w:rPr>
              <w:t>项目</w:t>
            </w:r>
            <w:r>
              <w:rPr>
                <w:rFonts w:hint="eastAsia" w:cs="宋体"/>
                <w:sz w:val="24"/>
              </w:rPr>
              <w:t>属于</w:t>
            </w:r>
            <w:r>
              <w:rPr>
                <w:rFonts w:cs="宋体"/>
                <w:sz w:val="24"/>
              </w:rPr>
              <w:t>废弃资源综合利用业</w:t>
            </w:r>
            <w:r>
              <w:rPr>
                <w:rFonts w:hint="eastAsia" w:cs="宋体"/>
                <w:sz w:val="24"/>
              </w:rPr>
              <w:t>，生产</w:t>
            </w:r>
            <w:r>
              <w:rPr>
                <w:rFonts w:cs="宋体"/>
                <w:sz w:val="24"/>
              </w:rPr>
              <w:t>过程中所排污染物主要为颗粒物，</w:t>
            </w:r>
            <w:r>
              <w:rPr>
                <w:rFonts w:hint="eastAsia" w:cs="宋体"/>
                <w:sz w:val="24"/>
              </w:rPr>
              <w:t>工程建设</w:t>
            </w:r>
            <w:r>
              <w:rPr>
                <w:rFonts w:cs="宋体"/>
                <w:sz w:val="24"/>
              </w:rPr>
              <w:t>与</w:t>
            </w:r>
            <w:r>
              <w:rPr>
                <w:rFonts w:hint="eastAsia" w:cs="宋体"/>
                <w:sz w:val="24"/>
              </w:rPr>
              <w:t>《河南省生态环境厅印发河南省工业企业大气污染防治6个专项方案的通知》（豫环文[2019]84号）中</w:t>
            </w:r>
            <w:r>
              <w:rPr>
                <w:rFonts w:cs="宋体"/>
                <w:sz w:val="24"/>
              </w:rPr>
              <w:t>其他行业无组织排放治理方案</w:t>
            </w:r>
            <w:r>
              <w:rPr>
                <w:rFonts w:hint="eastAsia" w:cs="宋体"/>
                <w:sz w:val="24"/>
              </w:rPr>
              <w:t>相关分析内容见表4。</w:t>
            </w:r>
          </w:p>
          <w:p>
            <w:pPr>
              <w:autoSpaceDE w:val="0"/>
              <w:autoSpaceDN w:val="0"/>
              <w:adjustRightInd w:val="0"/>
              <w:snapToGrid w:val="0"/>
              <w:spacing w:line="400" w:lineRule="exact"/>
              <w:ind w:firstLine="720" w:firstLineChars="300"/>
              <w:rPr>
                <w:rFonts w:eastAsia="黑体"/>
                <w:sz w:val="24"/>
                <w:szCs w:val="22"/>
              </w:rPr>
            </w:pPr>
            <w:r>
              <w:rPr>
                <w:rFonts w:hint="eastAsia" w:eastAsia="黑体"/>
                <w:sz w:val="24"/>
                <w:szCs w:val="22"/>
              </w:rPr>
              <w:t xml:space="preserve">表4   </w:t>
            </w:r>
            <w:r>
              <w:rPr>
                <w:rFonts w:eastAsia="黑体"/>
                <w:sz w:val="24"/>
                <w:szCs w:val="22"/>
              </w:rPr>
              <w:t xml:space="preserve">       </w:t>
            </w:r>
            <w:r>
              <w:rPr>
                <w:rFonts w:hint="eastAsia" w:eastAsia="黑体"/>
                <w:sz w:val="24"/>
                <w:szCs w:val="22"/>
              </w:rPr>
              <w:t xml:space="preserve"> 其它行业无组织排放治理方案</w:t>
            </w:r>
          </w:p>
          <w:tbl>
            <w:tblPr>
              <w:tblStyle w:val="22"/>
              <w:tblW w:w="8060" w:type="dxa"/>
              <w:tblInd w:w="0"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28" w:type="dxa"/>
                <w:left w:w="108" w:type="dxa"/>
                <w:bottom w:w="28" w:type="dxa"/>
                <w:right w:w="108" w:type="dxa"/>
              </w:tblCellMar>
            </w:tblPr>
            <w:tblGrid>
              <w:gridCol w:w="858"/>
              <w:gridCol w:w="513"/>
              <w:gridCol w:w="3189"/>
              <w:gridCol w:w="3500"/>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28" w:type="dxa"/>
                  <w:left w:w="108" w:type="dxa"/>
                  <w:bottom w:w="28" w:type="dxa"/>
                  <w:right w:w="108" w:type="dxa"/>
                </w:tblCellMar>
              </w:tblPrEx>
              <w:trPr>
                <w:trHeight w:val="443" w:hRule="atLeast"/>
              </w:trPr>
              <w:tc>
                <w:tcPr>
                  <w:tcW w:w="858" w:type="dxa"/>
                  <w:vAlign w:val="center"/>
                </w:tcPr>
                <w:p>
                  <w:pPr>
                    <w:pStyle w:val="49"/>
                    <w:spacing w:line="240" w:lineRule="auto"/>
                    <w:ind w:firstLine="0" w:firstLineChars="0"/>
                    <w:jc w:val="center"/>
                    <w:rPr>
                      <w:rFonts w:ascii="Times New Roman" w:hAnsi="Times New Roman" w:cs="宋体"/>
                      <w:bCs/>
                      <w:kern w:val="0"/>
                      <w:sz w:val="21"/>
                      <w:szCs w:val="21"/>
                    </w:rPr>
                  </w:pPr>
                  <w:r>
                    <w:rPr>
                      <w:rFonts w:hint="eastAsia" w:ascii="Times New Roman" w:hAnsi="Times New Roman" w:cs="宋体"/>
                      <w:bCs/>
                      <w:kern w:val="0"/>
                      <w:sz w:val="21"/>
                      <w:szCs w:val="21"/>
                    </w:rPr>
                    <w:t>治理环节</w:t>
                  </w:r>
                </w:p>
              </w:tc>
              <w:tc>
                <w:tcPr>
                  <w:tcW w:w="3702" w:type="dxa"/>
                  <w:gridSpan w:val="2"/>
                  <w:vAlign w:val="center"/>
                </w:tcPr>
                <w:p>
                  <w:pPr>
                    <w:pStyle w:val="49"/>
                    <w:spacing w:line="240" w:lineRule="auto"/>
                    <w:ind w:firstLine="0" w:firstLineChars="0"/>
                    <w:jc w:val="center"/>
                    <w:rPr>
                      <w:rFonts w:ascii="Times New Roman" w:hAnsi="Times New Roman" w:cs="宋体"/>
                      <w:bCs/>
                      <w:kern w:val="0"/>
                      <w:sz w:val="21"/>
                      <w:szCs w:val="21"/>
                    </w:rPr>
                  </w:pPr>
                  <w:r>
                    <w:rPr>
                      <w:rFonts w:hint="eastAsia" w:ascii="Times New Roman" w:hAnsi="Times New Roman" w:cs="宋体"/>
                      <w:bCs/>
                      <w:kern w:val="0"/>
                      <w:sz w:val="21"/>
                      <w:szCs w:val="21"/>
                    </w:rPr>
                    <w:t>相关要求</w:t>
                  </w:r>
                </w:p>
              </w:tc>
              <w:tc>
                <w:tcPr>
                  <w:tcW w:w="3500" w:type="dxa"/>
                  <w:vAlign w:val="center"/>
                </w:tcPr>
                <w:p>
                  <w:pPr>
                    <w:pStyle w:val="49"/>
                    <w:spacing w:line="240" w:lineRule="auto"/>
                    <w:ind w:firstLine="0" w:firstLineChars="0"/>
                    <w:jc w:val="center"/>
                    <w:rPr>
                      <w:rFonts w:ascii="Times New Roman" w:hAnsi="Times New Roman" w:cs="宋体"/>
                      <w:bCs/>
                      <w:kern w:val="0"/>
                      <w:sz w:val="21"/>
                      <w:szCs w:val="21"/>
                    </w:rPr>
                  </w:pPr>
                  <w:r>
                    <w:rPr>
                      <w:rFonts w:hint="eastAsia" w:ascii="Times New Roman" w:hAnsi="Times New Roman" w:cs="宋体"/>
                      <w:bCs/>
                      <w:kern w:val="0"/>
                      <w:sz w:val="21"/>
                      <w:szCs w:val="21"/>
                    </w:rPr>
                    <w:t>项目拟建情况</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28" w:type="dxa"/>
                  <w:left w:w="108" w:type="dxa"/>
                  <w:bottom w:w="28" w:type="dxa"/>
                  <w:right w:w="108" w:type="dxa"/>
                </w:tblCellMar>
              </w:tblPrEx>
              <w:trPr>
                <w:trHeight w:val="443" w:hRule="atLeast"/>
              </w:trPr>
              <w:tc>
                <w:tcPr>
                  <w:tcW w:w="858" w:type="dxa"/>
                  <w:vMerge w:val="restart"/>
                  <w:vAlign w:val="center"/>
                </w:tcPr>
                <w:p>
                  <w:pPr>
                    <w:pStyle w:val="49"/>
                    <w:spacing w:line="240" w:lineRule="auto"/>
                    <w:ind w:firstLine="0" w:firstLineChars="0"/>
                    <w:jc w:val="center"/>
                    <w:rPr>
                      <w:rFonts w:ascii="Times New Roman" w:hAnsi="Times New Roman" w:cs="宋体"/>
                      <w:kern w:val="0"/>
                      <w:sz w:val="21"/>
                      <w:szCs w:val="21"/>
                    </w:rPr>
                  </w:pPr>
                  <w:r>
                    <w:rPr>
                      <w:rFonts w:hint="eastAsia" w:ascii="Times New Roman" w:hAnsi="Times New Roman" w:cs="宋体"/>
                      <w:kern w:val="0"/>
                      <w:sz w:val="21"/>
                      <w:szCs w:val="21"/>
                    </w:rPr>
                    <w:t>料场密闭治理</w:t>
                  </w:r>
                </w:p>
              </w:tc>
              <w:tc>
                <w:tcPr>
                  <w:tcW w:w="513" w:type="dxa"/>
                  <w:vAlign w:val="center"/>
                </w:tcPr>
                <w:p>
                  <w:pPr>
                    <w:pStyle w:val="49"/>
                    <w:spacing w:line="240" w:lineRule="auto"/>
                    <w:ind w:firstLine="0" w:firstLineChars="0"/>
                    <w:jc w:val="center"/>
                    <w:rPr>
                      <w:rFonts w:ascii="Times New Roman" w:hAnsi="Times New Roman" w:cs="宋体"/>
                      <w:kern w:val="0"/>
                      <w:sz w:val="21"/>
                      <w:szCs w:val="21"/>
                    </w:rPr>
                  </w:pPr>
                  <w:r>
                    <w:rPr>
                      <w:rFonts w:hint="eastAsia" w:ascii="Times New Roman" w:hAnsi="Times New Roman" w:cs="宋体"/>
                      <w:kern w:val="0"/>
                      <w:sz w:val="21"/>
                      <w:szCs w:val="21"/>
                    </w:rPr>
                    <w:t>1</w:t>
                  </w:r>
                </w:p>
              </w:tc>
              <w:tc>
                <w:tcPr>
                  <w:tcW w:w="3189" w:type="dxa"/>
                  <w:vAlign w:val="center"/>
                </w:tcPr>
                <w:p>
                  <w:pPr>
                    <w:pStyle w:val="49"/>
                    <w:spacing w:line="240" w:lineRule="auto"/>
                    <w:ind w:firstLine="0" w:firstLineChars="0"/>
                    <w:rPr>
                      <w:rFonts w:ascii="Times New Roman" w:hAnsi="Times New Roman" w:cs="宋体"/>
                      <w:kern w:val="0"/>
                      <w:sz w:val="21"/>
                      <w:szCs w:val="21"/>
                    </w:rPr>
                  </w:pPr>
                  <w:r>
                    <w:rPr>
                      <w:rFonts w:hint="eastAsia" w:ascii="Times New Roman" w:hAnsi="Times New Roman" w:cs="宋体"/>
                      <w:kern w:val="0"/>
                      <w:sz w:val="21"/>
                      <w:szCs w:val="21"/>
                    </w:rPr>
                    <w:t>所有物料（包括原辅料、半成品、成品）进库存放，厂界内无露天堆放物料。料场安装喷干雾抑尘设施。</w:t>
                  </w:r>
                </w:p>
              </w:tc>
              <w:tc>
                <w:tcPr>
                  <w:tcW w:w="3500" w:type="dxa"/>
                  <w:vAlign w:val="center"/>
                </w:tcPr>
                <w:p>
                  <w:pPr>
                    <w:autoSpaceDE w:val="0"/>
                    <w:autoSpaceDN w:val="0"/>
                    <w:adjustRightInd w:val="0"/>
                    <w:rPr>
                      <w:rFonts w:cs="宋体"/>
                      <w:kern w:val="0"/>
                      <w:szCs w:val="21"/>
                    </w:rPr>
                  </w:pPr>
                  <w:r>
                    <w:rPr>
                      <w:rFonts w:hint="eastAsia" w:cs="宋体"/>
                      <w:kern w:val="0"/>
                      <w:szCs w:val="21"/>
                    </w:rPr>
                    <w:t>本项目原料及</w:t>
                  </w:r>
                  <w:r>
                    <w:rPr>
                      <w:rFonts w:cs="宋体"/>
                      <w:kern w:val="0"/>
                      <w:szCs w:val="21"/>
                    </w:rPr>
                    <w:t>产品采用</w:t>
                  </w:r>
                  <w:r>
                    <w:rPr>
                      <w:rFonts w:hint="eastAsia" w:cs="宋体"/>
                      <w:kern w:val="0"/>
                      <w:szCs w:val="21"/>
                    </w:rPr>
                    <w:t>密闭筒仓</w:t>
                  </w:r>
                  <w:r>
                    <w:rPr>
                      <w:rFonts w:cs="宋体"/>
                      <w:kern w:val="0"/>
                      <w:szCs w:val="21"/>
                    </w:rPr>
                    <w:t>存放</w:t>
                  </w:r>
                  <w:r>
                    <w:rPr>
                      <w:rFonts w:hint="eastAsia" w:cs="宋体"/>
                      <w:kern w:val="0"/>
                      <w:szCs w:val="21"/>
                    </w:rPr>
                    <w:t>，厂区无露天堆放物料。</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28" w:type="dxa"/>
                  <w:left w:w="108" w:type="dxa"/>
                  <w:bottom w:w="28" w:type="dxa"/>
                  <w:right w:w="108" w:type="dxa"/>
                </w:tblCellMar>
              </w:tblPrEx>
              <w:trPr>
                <w:trHeight w:val="443" w:hRule="atLeast"/>
              </w:trPr>
              <w:tc>
                <w:tcPr>
                  <w:tcW w:w="858" w:type="dxa"/>
                  <w:vMerge w:val="continue"/>
                  <w:vAlign w:val="center"/>
                </w:tcPr>
                <w:p>
                  <w:pPr>
                    <w:pStyle w:val="49"/>
                    <w:spacing w:line="240" w:lineRule="auto"/>
                    <w:ind w:firstLine="0" w:firstLineChars="0"/>
                    <w:jc w:val="center"/>
                    <w:rPr>
                      <w:rFonts w:ascii="Times New Roman" w:hAnsi="Times New Roman" w:cs="宋体"/>
                      <w:kern w:val="0"/>
                      <w:sz w:val="21"/>
                      <w:szCs w:val="21"/>
                    </w:rPr>
                  </w:pPr>
                </w:p>
              </w:tc>
              <w:tc>
                <w:tcPr>
                  <w:tcW w:w="513" w:type="dxa"/>
                  <w:vAlign w:val="center"/>
                </w:tcPr>
                <w:p>
                  <w:pPr>
                    <w:pStyle w:val="49"/>
                    <w:spacing w:line="240" w:lineRule="auto"/>
                    <w:ind w:firstLine="0" w:firstLineChars="0"/>
                    <w:jc w:val="center"/>
                    <w:rPr>
                      <w:rFonts w:ascii="Times New Roman" w:hAnsi="Times New Roman" w:cs="宋体"/>
                      <w:kern w:val="0"/>
                      <w:sz w:val="21"/>
                      <w:szCs w:val="21"/>
                    </w:rPr>
                  </w:pPr>
                  <w:r>
                    <w:rPr>
                      <w:rFonts w:hint="eastAsia" w:ascii="Times New Roman" w:hAnsi="Times New Roman" w:cs="宋体"/>
                      <w:kern w:val="0"/>
                      <w:sz w:val="21"/>
                      <w:szCs w:val="21"/>
                    </w:rPr>
                    <w:t>2</w:t>
                  </w:r>
                </w:p>
              </w:tc>
              <w:tc>
                <w:tcPr>
                  <w:tcW w:w="3189" w:type="dxa"/>
                  <w:vAlign w:val="center"/>
                </w:tcPr>
                <w:p>
                  <w:pPr>
                    <w:autoSpaceDE w:val="0"/>
                    <w:autoSpaceDN w:val="0"/>
                    <w:adjustRightInd w:val="0"/>
                    <w:rPr>
                      <w:rFonts w:cs="宋体"/>
                      <w:kern w:val="0"/>
                      <w:szCs w:val="21"/>
                    </w:rPr>
                  </w:pPr>
                  <w:r>
                    <w:rPr>
                      <w:rFonts w:hint="eastAsia" w:cs="宋体"/>
                      <w:kern w:val="0"/>
                      <w:szCs w:val="21"/>
                    </w:rPr>
                    <w:t>密闭料场必须覆盖所有堆场料区（堆放区、工作区和主通道区）。</w:t>
                  </w:r>
                </w:p>
              </w:tc>
              <w:tc>
                <w:tcPr>
                  <w:tcW w:w="3500" w:type="dxa"/>
                  <w:vAlign w:val="center"/>
                </w:tcPr>
                <w:p>
                  <w:pPr>
                    <w:pStyle w:val="49"/>
                    <w:spacing w:line="240" w:lineRule="auto"/>
                    <w:ind w:firstLine="0" w:firstLineChars="0"/>
                    <w:rPr>
                      <w:rFonts w:ascii="Times New Roman" w:hAnsi="Times New Roman" w:cs="宋体"/>
                      <w:kern w:val="0"/>
                      <w:sz w:val="21"/>
                      <w:szCs w:val="21"/>
                    </w:rPr>
                  </w:pPr>
                  <w:r>
                    <w:rPr>
                      <w:rFonts w:hint="eastAsia" w:ascii="Times New Roman" w:hAnsi="Times New Roman" w:cs="宋体"/>
                      <w:kern w:val="0"/>
                      <w:sz w:val="21"/>
                      <w:szCs w:val="21"/>
                    </w:rPr>
                    <w:t>本项目原料采用密闭</w:t>
                  </w:r>
                  <w:r>
                    <w:rPr>
                      <w:rFonts w:ascii="Times New Roman" w:hAnsi="Times New Roman" w:cs="宋体"/>
                      <w:kern w:val="0"/>
                      <w:sz w:val="21"/>
                      <w:szCs w:val="21"/>
                    </w:rPr>
                    <w:t>汽车</w:t>
                  </w:r>
                  <w:r>
                    <w:rPr>
                      <w:rFonts w:hint="eastAsia" w:ascii="Times New Roman" w:hAnsi="Times New Roman" w:cs="宋体"/>
                      <w:kern w:val="0"/>
                      <w:sz w:val="21"/>
                      <w:szCs w:val="21"/>
                    </w:rPr>
                    <w:t>罐车运输</w:t>
                  </w:r>
                  <w:r>
                    <w:rPr>
                      <w:rFonts w:ascii="Times New Roman" w:hAnsi="Times New Roman" w:cs="宋体"/>
                      <w:kern w:val="0"/>
                      <w:sz w:val="21"/>
                      <w:szCs w:val="21"/>
                    </w:rPr>
                    <w:t>，原料采用筒仓存放</w:t>
                  </w:r>
                  <w:r>
                    <w:rPr>
                      <w:rFonts w:hint="eastAsia" w:ascii="Times New Roman" w:hAnsi="Times New Roman" w:cs="宋体"/>
                      <w:kern w:val="0"/>
                      <w:sz w:val="21"/>
                      <w:szCs w:val="21"/>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28" w:type="dxa"/>
                  <w:left w:w="108" w:type="dxa"/>
                  <w:bottom w:w="28" w:type="dxa"/>
                  <w:right w:w="108" w:type="dxa"/>
                </w:tblCellMar>
              </w:tblPrEx>
              <w:trPr>
                <w:trHeight w:val="443" w:hRule="atLeast"/>
              </w:trPr>
              <w:tc>
                <w:tcPr>
                  <w:tcW w:w="858" w:type="dxa"/>
                  <w:vMerge w:val="continue"/>
                  <w:vAlign w:val="center"/>
                </w:tcPr>
                <w:p>
                  <w:pPr>
                    <w:pStyle w:val="49"/>
                    <w:spacing w:line="240" w:lineRule="auto"/>
                    <w:ind w:firstLine="0" w:firstLineChars="0"/>
                    <w:jc w:val="center"/>
                    <w:rPr>
                      <w:rFonts w:ascii="Times New Roman" w:hAnsi="Times New Roman" w:cs="宋体"/>
                      <w:kern w:val="0"/>
                      <w:sz w:val="21"/>
                      <w:szCs w:val="21"/>
                    </w:rPr>
                  </w:pPr>
                </w:p>
              </w:tc>
              <w:tc>
                <w:tcPr>
                  <w:tcW w:w="513" w:type="dxa"/>
                  <w:vAlign w:val="center"/>
                </w:tcPr>
                <w:p>
                  <w:pPr>
                    <w:pStyle w:val="49"/>
                    <w:spacing w:line="240" w:lineRule="auto"/>
                    <w:ind w:firstLine="0" w:firstLineChars="0"/>
                    <w:jc w:val="center"/>
                    <w:rPr>
                      <w:rFonts w:ascii="Times New Roman" w:hAnsi="Times New Roman" w:cs="宋体"/>
                      <w:kern w:val="0"/>
                      <w:sz w:val="21"/>
                      <w:szCs w:val="21"/>
                    </w:rPr>
                  </w:pPr>
                  <w:r>
                    <w:rPr>
                      <w:rFonts w:hint="eastAsia" w:ascii="Times New Roman" w:hAnsi="Times New Roman" w:cs="宋体"/>
                      <w:kern w:val="0"/>
                      <w:sz w:val="21"/>
                      <w:szCs w:val="21"/>
                    </w:rPr>
                    <w:t>3</w:t>
                  </w:r>
                </w:p>
              </w:tc>
              <w:tc>
                <w:tcPr>
                  <w:tcW w:w="3189" w:type="dxa"/>
                  <w:vAlign w:val="center"/>
                </w:tcPr>
                <w:p>
                  <w:pPr>
                    <w:autoSpaceDE w:val="0"/>
                    <w:autoSpaceDN w:val="0"/>
                    <w:adjustRightInd w:val="0"/>
                    <w:rPr>
                      <w:rFonts w:cs="宋体"/>
                      <w:kern w:val="0"/>
                      <w:szCs w:val="21"/>
                    </w:rPr>
                  </w:pPr>
                  <w:r>
                    <w:rPr>
                      <w:rFonts w:hint="eastAsia" w:cs="宋体"/>
                      <w:kern w:val="0"/>
                      <w:szCs w:val="21"/>
                    </w:rPr>
                    <w:t>车间、料库四面密闭，通道口安装卷帘门、推拉门等封闭性良好且便于开关的硬质门，在无车辆出入时将门关闭，保证空气合理流动不产生湍流。</w:t>
                  </w:r>
                </w:p>
              </w:tc>
              <w:tc>
                <w:tcPr>
                  <w:tcW w:w="3500" w:type="dxa"/>
                  <w:vAlign w:val="center"/>
                </w:tcPr>
                <w:p>
                  <w:pPr>
                    <w:autoSpaceDE w:val="0"/>
                    <w:autoSpaceDN w:val="0"/>
                    <w:adjustRightInd w:val="0"/>
                    <w:rPr>
                      <w:rFonts w:cs="宋体"/>
                      <w:kern w:val="0"/>
                      <w:szCs w:val="21"/>
                    </w:rPr>
                  </w:pPr>
                  <w:r>
                    <w:rPr>
                      <w:rFonts w:hint="eastAsia" w:cs="宋体"/>
                      <w:kern w:val="0"/>
                      <w:szCs w:val="21"/>
                    </w:rPr>
                    <w:t>本项目生产车间四面密闭，安装便于开关的硬质门。</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28" w:type="dxa"/>
                  <w:left w:w="108" w:type="dxa"/>
                  <w:bottom w:w="28" w:type="dxa"/>
                  <w:right w:w="108" w:type="dxa"/>
                </w:tblCellMar>
              </w:tblPrEx>
              <w:trPr>
                <w:trHeight w:val="443" w:hRule="atLeast"/>
              </w:trPr>
              <w:tc>
                <w:tcPr>
                  <w:tcW w:w="858" w:type="dxa"/>
                  <w:vMerge w:val="continue"/>
                  <w:vAlign w:val="center"/>
                </w:tcPr>
                <w:p>
                  <w:pPr>
                    <w:pStyle w:val="49"/>
                    <w:spacing w:line="240" w:lineRule="auto"/>
                    <w:ind w:firstLine="0" w:firstLineChars="0"/>
                    <w:jc w:val="center"/>
                    <w:rPr>
                      <w:rFonts w:ascii="Times New Roman" w:hAnsi="Times New Roman" w:cs="宋体"/>
                      <w:kern w:val="0"/>
                      <w:sz w:val="21"/>
                      <w:szCs w:val="21"/>
                    </w:rPr>
                  </w:pPr>
                </w:p>
              </w:tc>
              <w:tc>
                <w:tcPr>
                  <w:tcW w:w="513" w:type="dxa"/>
                  <w:vAlign w:val="center"/>
                </w:tcPr>
                <w:p>
                  <w:pPr>
                    <w:pStyle w:val="49"/>
                    <w:spacing w:line="240" w:lineRule="auto"/>
                    <w:ind w:firstLine="0" w:firstLineChars="0"/>
                    <w:jc w:val="center"/>
                    <w:rPr>
                      <w:rFonts w:ascii="Times New Roman" w:hAnsi="Times New Roman" w:cs="宋体"/>
                      <w:kern w:val="0"/>
                      <w:sz w:val="21"/>
                      <w:szCs w:val="21"/>
                    </w:rPr>
                  </w:pPr>
                  <w:r>
                    <w:rPr>
                      <w:rFonts w:hint="eastAsia" w:ascii="Times New Roman" w:hAnsi="Times New Roman" w:cs="宋体"/>
                      <w:kern w:val="0"/>
                      <w:sz w:val="21"/>
                      <w:szCs w:val="21"/>
                    </w:rPr>
                    <w:t>4</w:t>
                  </w:r>
                </w:p>
              </w:tc>
              <w:tc>
                <w:tcPr>
                  <w:tcW w:w="3189" w:type="dxa"/>
                  <w:vAlign w:val="center"/>
                </w:tcPr>
                <w:p>
                  <w:pPr>
                    <w:autoSpaceDE w:val="0"/>
                    <w:autoSpaceDN w:val="0"/>
                    <w:adjustRightInd w:val="0"/>
                    <w:rPr>
                      <w:rFonts w:cs="宋体"/>
                      <w:kern w:val="0"/>
                      <w:szCs w:val="21"/>
                    </w:rPr>
                  </w:pPr>
                  <w:r>
                    <w:rPr>
                      <w:rFonts w:hint="eastAsia" w:cs="宋体"/>
                      <w:kern w:val="0"/>
                      <w:szCs w:val="21"/>
                    </w:rPr>
                    <w:t>所有地面完成硬化，并保证除物料堆放区域外没有明显积尘。</w:t>
                  </w:r>
                </w:p>
              </w:tc>
              <w:tc>
                <w:tcPr>
                  <w:tcW w:w="3500" w:type="dxa"/>
                  <w:vAlign w:val="center"/>
                </w:tcPr>
                <w:p>
                  <w:pPr>
                    <w:pStyle w:val="49"/>
                    <w:spacing w:line="240" w:lineRule="auto"/>
                    <w:ind w:firstLine="0" w:firstLineChars="0"/>
                    <w:rPr>
                      <w:rFonts w:ascii="Times New Roman" w:hAnsi="Times New Roman" w:cs="宋体"/>
                      <w:kern w:val="0"/>
                      <w:sz w:val="21"/>
                      <w:szCs w:val="21"/>
                    </w:rPr>
                  </w:pPr>
                  <w:r>
                    <w:rPr>
                      <w:rFonts w:hint="eastAsia" w:ascii="Times New Roman" w:hAnsi="Times New Roman" w:cs="宋体"/>
                      <w:bCs/>
                      <w:kern w:val="0"/>
                      <w:sz w:val="21"/>
                      <w:szCs w:val="21"/>
                    </w:rPr>
                    <w:t>厂区内除</w:t>
                  </w:r>
                  <w:r>
                    <w:rPr>
                      <w:rFonts w:ascii="Times New Roman" w:hAnsi="Times New Roman" w:cs="宋体"/>
                      <w:bCs/>
                      <w:kern w:val="0"/>
                      <w:sz w:val="21"/>
                      <w:szCs w:val="21"/>
                    </w:rPr>
                    <w:t>绿化区外，</w:t>
                  </w:r>
                  <w:r>
                    <w:rPr>
                      <w:rFonts w:hint="eastAsia" w:ascii="Times New Roman" w:hAnsi="Times New Roman" w:cs="宋体"/>
                      <w:bCs/>
                      <w:kern w:val="0"/>
                      <w:sz w:val="21"/>
                      <w:szCs w:val="21"/>
                    </w:rPr>
                    <w:t>所有地面均硬化，</w:t>
                  </w:r>
                  <w:r>
                    <w:rPr>
                      <w:rFonts w:hint="eastAsia" w:ascii="Times New Roman" w:hAnsi="Times New Roman" w:cs="宋体"/>
                      <w:kern w:val="0"/>
                      <w:sz w:val="21"/>
                      <w:szCs w:val="21"/>
                    </w:rPr>
                    <w:t>并安排专人及时对地面进行清理，保证地面没有明显积尘。</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28" w:type="dxa"/>
                  <w:left w:w="108" w:type="dxa"/>
                  <w:bottom w:w="28" w:type="dxa"/>
                  <w:right w:w="108" w:type="dxa"/>
                </w:tblCellMar>
              </w:tblPrEx>
              <w:trPr>
                <w:trHeight w:val="443" w:hRule="atLeast"/>
              </w:trPr>
              <w:tc>
                <w:tcPr>
                  <w:tcW w:w="858" w:type="dxa"/>
                  <w:vMerge w:val="continue"/>
                  <w:vAlign w:val="center"/>
                </w:tcPr>
                <w:p>
                  <w:pPr>
                    <w:pStyle w:val="49"/>
                    <w:spacing w:line="240" w:lineRule="auto"/>
                    <w:ind w:firstLine="0" w:firstLineChars="0"/>
                    <w:jc w:val="center"/>
                    <w:rPr>
                      <w:rFonts w:ascii="Times New Roman" w:hAnsi="Times New Roman" w:cs="宋体"/>
                      <w:kern w:val="0"/>
                      <w:sz w:val="21"/>
                      <w:szCs w:val="21"/>
                    </w:rPr>
                  </w:pPr>
                </w:p>
              </w:tc>
              <w:tc>
                <w:tcPr>
                  <w:tcW w:w="513" w:type="dxa"/>
                  <w:vAlign w:val="center"/>
                </w:tcPr>
                <w:p>
                  <w:pPr>
                    <w:pStyle w:val="49"/>
                    <w:spacing w:line="240" w:lineRule="auto"/>
                    <w:ind w:firstLine="0" w:firstLineChars="0"/>
                    <w:jc w:val="center"/>
                    <w:rPr>
                      <w:rFonts w:ascii="Times New Roman" w:hAnsi="Times New Roman" w:cs="宋体"/>
                      <w:kern w:val="0"/>
                      <w:sz w:val="21"/>
                      <w:szCs w:val="21"/>
                    </w:rPr>
                  </w:pPr>
                  <w:r>
                    <w:rPr>
                      <w:rFonts w:hint="eastAsia" w:ascii="Times New Roman" w:hAnsi="Times New Roman" w:cs="宋体"/>
                      <w:kern w:val="0"/>
                      <w:sz w:val="21"/>
                      <w:szCs w:val="21"/>
                    </w:rPr>
                    <w:t>5</w:t>
                  </w:r>
                </w:p>
              </w:tc>
              <w:tc>
                <w:tcPr>
                  <w:tcW w:w="3189" w:type="dxa"/>
                  <w:vAlign w:val="center"/>
                </w:tcPr>
                <w:p>
                  <w:pPr>
                    <w:autoSpaceDE w:val="0"/>
                    <w:autoSpaceDN w:val="0"/>
                    <w:adjustRightInd w:val="0"/>
                    <w:rPr>
                      <w:rFonts w:cs="宋体"/>
                      <w:kern w:val="0"/>
                      <w:szCs w:val="21"/>
                    </w:rPr>
                  </w:pPr>
                  <w:r>
                    <w:rPr>
                      <w:rFonts w:hint="eastAsia" w:cs="宋体"/>
                      <w:kern w:val="0"/>
                      <w:szCs w:val="21"/>
                    </w:rPr>
                    <w:t>每个下料口设置独立集气罩，配套的除尘设施不与其他工序混用。</w:t>
                  </w:r>
                </w:p>
              </w:tc>
              <w:tc>
                <w:tcPr>
                  <w:tcW w:w="3500" w:type="dxa"/>
                  <w:vAlign w:val="center"/>
                </w:tcPr>
                <w:p>
                  <w:pPr>
                    <w:autoSpaceDE w:val="0"/>
                    <w:autoSpaceDN w:val="0"/>
                    <w:adjustRightInd w:val="0"/>
                    <w:rPr>
                      <w:rFonts w:cs="宋体"/>
                      <w:kern w:val="0"/>
                      <w:szCs w:val="21"/>
                    </w:rPr>
                  </w:pPr>
                  <w:r>
                    <w:rPr>
                      <w:rFonts w:cs="宋体"/>
                      <w:kern w:val="0"/>
                      <w:szCs w:val="21"/>
                    </w:rPr>
                    <w:t>项目</w:t>
                  </w:r>
                  <w:r>
                    <w:rPr>
                      <w:rFonts w:hint="eastAsia" w:cs="宋体"/>
                      <w:kern w:val="0"/>
                      <w:szCs w:val="21"/>
                    </w:rPr>
                    <w:t>各进出料下料口设独立集气罩，配套</w:t>
                  </w:r>
                  <w:r>
                    <w:rPr>
                      <w:rFonts w:cs="宋体"/>
                      <w:kern w:val="0"/>
                      <w:szCs w:val="21"/>
                    </w:rPr>
                    <w:t>独立的袋式除尘器</w:t>
                  </w:r>
                  <w:r>
                    <w:rPr>
                      <w:rFonts w:hint="eastAsia" w:cs="宋体"/>
                      <w:kern w:val="0"/>
                      <w:szCs w:val="21"/>
                    </w:rPr>
                    <w:t>，满足要求。</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28" w:type="dxa"/>
                  <w:left w:w="108" w:type="dxa"/>
                  <w:bottom w:w="28" w:type="dxa"/>
                  <w:right w:w="108" w:type="dxa"/>
                </w:tblCellMar>
              </w:tblPrEx>
              <w:trPr>
                <w:trHeight w:val="443" w:hRule="atLeast"/>
              </w:trPr>
              <w:tc>
                <w:tcPr>
                  <w:tcW w:w="858" w:type="dxa"/>
                  <w:vMerge w:val="continue"/>
                  <w:vAlign w:val="center"/>
                </w:tcPr>
                <w:p>
                  <w:pPr>
                    <w:pStyle w:val="49"/>
                    <w:spacing w:line="240" w:lineRule="auto"/>
                    <w:ind w:firstLine="0" w:firstLineChars="0"/>
                    <w:jc w:val="center"/>
                    <w:rPr>
                      <w:rFonts w:ascii="Times New Roman" w:hAnsi="Times New Roman" w:cs="宋体"/>
                      <w:kern w:val="0"/>
                      <w:sz w:val="21"/>
                      <w:szCs w:val="21"/>
                    </w:rPr>
                  </w:pPr>
                </w:p>
              </w:tc>
              <w:tc>
                <w:tcPr>
                  <w:tcW w:w="513" w:type="dxa"/>
                  <w:vAlign w:val="center"/>
                </w:tcPr>
                <w:p>
                  <w:pPr>
                    <w:pStyle w:val="49"/>
                    <w:spacing w:line="240" w:lineRule="auto"/>
                    <w:ind w:firstLine="0" w:firstLineChars="0"/>
                    <w:jc w:val="center"/>
                    <w:rPr>
                      <w:rFonts w:ascii="Times New Roman" w:hAnsi="Times New Roman" w:cs="宋体"/>
                      <w:kern w:val="0"/>
                      <w:sz w:val="21"/>
                      <w:szCs w:val="21"/>
                    </w:rPr>
                  </w:pPr>
                  <w:r>
                    <w:rPr>
                      <w:rFonts w:hint="eastAsia" w:ascii="Times New Roman" w:hAnsi="Times New Roman" w:cs="宋体"/>
                      <w:kern w:val="0"/>
                      <w:sz w:val="21"/>
                      <w:szCs w:val="21"/>
                    </w:rPr>
                    <w:t>6</w:t>
                  </w:r>
                </w:p>
              </w:tc>
              <w:tc>
                <w:tcPr>
                  <w:tcW w:w="3189" w:type="dxa"/>
                  <w:vAlign w:val="center"/>
                </w:tcPr>
                <w:p>
                  <w:pPr>
                    <w:pStyle w:val="49"/>
                    <w:spacing w:line="240" w:lineRule="auto"/>
                    <w:ind w:firstLine="0" w:firstLineChars="0"/>
                    <w:rPr>
                      <w:rFonts w:ascii="Times New Roman" w:hAnsi="Times New Roman" w:cs="宋体"/>
                      <w:kern w:val="0"/>
                      <w:sz w:val="21"/>
                      <w:szCs w:val="21"/>
                    </w:rPr>
                  </w:pPr>
                  <w:r>
                    <w:rPr>
                      <w:rFonts w:hint="eastAsia" w:ascii="Times New Roman" w:hAnsi="Times New Roman" w:cs="宋体"/>
                      <w:kern w:val="0"/>
                      <w:sz w:val="21"/>
                      <w:szCs w:val="21"/>
                    </w:rPr>
                    <w:t>厂房车间各生产工序须功能区划，各功能区安装固定的喷干雾抑尘装置。</w:t>
                  </w:r>
                </w:p>
              </w:tc>
              <w:tc>
                <w:tcPr>
                  <w:tcW w:w="3500" w:type="dxa"/>
                  <w:vAlign w:val="center"/>
                </w:tcPr>
                <w:p>
                  <w:pPr>
                    <w:pStyle w:val="49"/>
                    <w:spacing w:line="240" w:lineRule="auto"/>
                    <w:ind w:firstLine="0" w:firstLineChars="0"/>
                    <w:rPr>
                      <w:rFonts w:ascii="Times New Roman" w:hAnsi="Times New Roman" w:cs="宋体"/>
                      <w:kern w:val="0"/>
                      <w:sz w:val="21"/>
                      <w:szCs w:val="21"/>
                    </w:rPr>
                  </w:pPr>
                  <w:r>
                    <w:rPr>
                      <w:rFonts w:hint="eastAsia" w:ascii="Times New Roman" w:hAnsi="Times New Roman" w:cs="宋体"/>
                      <w:kern w:val="0"/>
                      <w:sz w:val="21"/>
                      <w:szCs w:val="21"/>
                    </w:rPr>
                    <w:t>项目设置</w:t>
                  </w:r>
                  <w:r>
                    <w:rPr>
                      <w:rFonts w:ascii="Times New Roman" w:hAnsi="Times New Roman" w:cs="宋体"/>
                      <w:kern w:val="0"/>
                      <w:sz w:val="21"/>
                      <w:szCs w:val="21"/>
                    </w:rPr>
                    <w:t>一个</w:t>
                  </w:r>
                  <w:r>
                    <w:rPr>
                      <w:rFonts w:hint="eastAsia" w:ascii="Times New Roman" w:hAnsi="Times New Roman" w:cs="宋体"/>
                      <w:kern w:val="0"/>
                      <w:sz w:val="21"/>
                      <w:szCs w:val="21"/>
                    </w:rPr>
                    <w:t>磨机和分选</w:t>
                  </w:r>
                  <w:r>
                    <w:rPr>
                      <w:rFonts w:ascii="Times New Roman" w:hAnsi="Times New Roman" w:cs="宋体"/>
                      <w:kern w:val="0"/>
                      <w:sz w:val="21"/>
                      <w:szCs w:val="21"/>
                    </w:rPr>
                    <w:t>生产车间，车间内</w:t>
                  </w:r>
                  <w:r>
                    <w:rPr>
                      <w:rFonts w:hint="eastAsia" w:ascii="Times New Roman" w:hAnsi="Times New Roman" w:cs="宋体"/>
                      <w:kern w:val="0"/>
                      <w:sz w:val="21"/>
                      <w:szCs w:val="21"/>
                    </w:rPr>
                    <w:t>安装</w:t>
                  </w:r>
                  <w:r>
                    <w:rPr>
                      <w:rFonts w:ascii="Times New Roman" w:hAnsi="Times New Roman" w:cs="宋体"/>
                      <w:kern w:val="0"/>
                      <w:sz w:val="21"/>
                      <w:szCs w:val="21"/>
                    </w:rPr>
                    <w:t>固定的</w:t>
                  </w:r>
                  <w:r>
                    <w:rPr>
                      <w:rFonts w:hint="eastAsia" w:ascii="Times New Roman" w:hAnsi="Times New Roman" w:cs="宋体"/>
                      <w:kern w:val="0"/>
                      <w:sz w:val="21"/>
                      <w:szCs w:val="21"/>
                    </w:rPr>
                    <w:t>喷干雾抑尘装置。</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28" w:type="dxa"/>
                  <w:left w:w="108" w:type="dxa"/>
                  <w:bottom w:w="28" w:type="dxa"/>
                  <w:right w:w="108" w:type="dxa"/>
                </w:tblCellMar>
              </w:tblPrEx>
              <w:trPr>
                <w:trHeight w:val="443" w:hRule="atLeast"/>
              </w:trPr>
              <w:tc>
                <w:tcPr>
                  <w:tcW w:w="858" w:type="dxa"/>
                  <w:vMerge w:val="continue"/>
                  <w:vAlign w:val="center"/>
                </w:tcPr>
                <w:p>
                  <w:pPr>
                    <w:pStyle w:val="49"/>
                    <w:spacing w:line="240" w:lineRule="auto"/>
                    <w:ind w:firstLine="0" w:firstLineChars="0"/>
                    <w:jc w:val="center"/>
                    <w:rPr>
                      <w:rFonts w:ascii="Times New Roman" w:hAnsi="Times New Roman" w:cs="宋体"/>
                      <w:kern w:val="0"/>
                      <w:sz w:val="21"/>
                      <w:szCs w:val="21"/>
                    </w:rPr>
                  </w:pPr>
                </w:p>
              </w:tc>
              <w:tc>
                <w:tcPr>
                  <w:tcW w:w="513" w:type="dxa"/>
                  <w:vAlign w:val="center"/>
                </w:tcPr>
                <w:p>
                  <w:pPr>
                    <w:pStyle w:val="49"/>
                    <w:spacing w:line="240" w:lineRule="auto"/>
                    <w:ind w:firstLine="0" w:firstLineChars="0"/>
                    <w:jc w:val="center"/>
                    <w:rPr>
                      <w:rFonts w:ascii="Times New Roman" w:hAnsi="Times New Roman" w:cs="宋体"/>
                      <w:kern w:val="0"/>
                      <w:sz w:val="21"/>
                      <w:szCs w:val="21"/>
                    </w:rPr>
                  </w:pPr>
                  <w:r>
                    <w:rPr>
                      <w:rFonts w:hint="eastAsia" w:ascii="Times New Roman" w:hAnsi="Times New Roman" w:cs="宋体"/>
                      <w:kern w:val="0"/>
                      <w:sz w:val="21"/>
                      <w:szCs w:val="21"/>
                    </w:rPr>
                    <w:t>7</w:t>
                  </w:r>
                </w:p>
              </w:tc>
              <w:tc>
                <w:tcPr>
                  <w:tcW w:w="3189" w:type="dxa"/>
                  <w:vAlign w:val="center"/>
                </w:tcPr>
                <w:p>
                  <w:pPr>
                    <w:pStyle w:val="49"/>
                    <w:spacing w:line="240" w:lineRule="auto"/>
                    <w:ind w:firstLine="0" w:firstLineChars="0"/>
                    <w:rPr>
                      <w:rFonts w:ascii="Times New Roman" w:hAnsi="Times New Roman" w:cs="宋体"/>
                      <w:kern w:val="0"/>
                      <w:sz w:val="21"/>
                      <w:szCs w:val="21"/>
                    </w:rPr>
                  </w:pPr>
                  <w:r>
                    <w:rPr>
                      <w:rFonts w:hint="eastAsia" w:ascii="Times New Roman" w:hAnsi="Times New Roman" w:cs="宋体"/>
                      <w:kern w:val="0"/>
                      <w:sz w:val="21"/>
                      <w:szCs w:val="21"/>
                    </w:rPr>
                    <w:t>厂区出口应安装车辆冲洗装置，保证出场车辆车轮车身干净、运行不起尘。</w:t>
                  </w:r>
                </w:p>
              </w:tc>
              <w:tc>
                <w:tcPr>
                  <w:tcW w:w="3500" w:type="dxa"/>
                  <w:vAlign w:val="center"/>
                </w:tcPr>
                <w:p>
                  <w:pPr>
                    <w:pStyle w:val="49"/>
                    <w:spacing w:line="240" w:lineRule="auto"/>
                    <w:ind w:firstLine="0" w:firstLineChars="0"/>
                    <w:rPr>
                      <w:rFonts w:ascii="Times New Roman" w:hAnsi="Times New Roman" w:cs="宋体"/>
                      <w:kern w:val="0"/>
                      <w:sz w:val="21"/>
                      <w:szCs w:val="21"/>
                    </w:rPr>
                  </w:pPr>
                  <w:r>
                    <w:rPr>
                      <w:rFonts w:hint="eastAsia" w:ascii="Times New Roman" w:hAnsi="Times New Roman" w:cs="宋体"/>
                      <w:kern w:val="0"/>
                      <w:sz w:val="21"/>
                      <w:szCs w:val="21"/>
                    </w:rPr>
                    <w:t>厂区出口处安装车辆冲洗装置，对出场车辆车轮车身清洗。</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28" w:type="dxa"/>
                  <w:left w:w="108" w:type="dxa"/>
                  <w:bottom w:w="28" w:type="dxa"/>
                  <w:right w:w="108" w:type="dxa"/>
                </w:tblCellMar>
              </w:tblPrEx>
              <w:trPr>
                <w:trHeight w:val="443" w:hRule="atLeast"/>
              </w:trPr>
              <w:tc>
                <w:tcPr>
                  <w:tcW w:w="858" w:type="dxa"/>
                  <w:vMerge w:val="restart"/>
                  <w:vAlign w:val="center"/>
                </w:tcPr>
                <w:p>
                  <w:pPr>
                    <w:pStyle w:val="49"/>
                    <w:spacing w:line="240" w:lineRule="auto"/>
                    <w:ind w:firstLine="0" w:firstLineChars="0"/>
                    <w:jc w:val="center"/>
                    <w:rPr>
                      <w:rFonts w:ascii="Times New Roman" w:hAnsi="Times New Roman" w:cs="宋体"/>
                      <w:kern w:val="0"/>
                      <w:sz w:val="21"/>
                      <w:szCs w:val="21"/>
                    </w:rPr>
                  </w:pPr>
                  <w:r>
                    <w:rPr>
                      <w:rFonts w:hint="eastAsia" w:ascii="Times New Roman" w:hAnsi="Times New Roman" w:cs="宋体"/>
                      <w:kern w:val="0"/>
                      <w:sz w:val="21"/>
                      <w:szCs w:val="21"/>
                    </w:rPr>
                    <w:t>物料输送环节治理</w:t>
                  </w:r>
                </w:p>
              </w:tc>
              <w:tc>
                <w:tcPr>
                  <w:tcW w:w="513" w:type="dxa"/>
                  <w:vAlign w:val="center"/>
                </w:tcPr>
                <w:p>
                  <w:pPr>
                    <w:pStyle w:val="49"/>
                    <w:spacing w:line="240" w:lineRule="auto"/>
                    <w:ind w:firstLine="0" w:firstLineChars="0"/>
                    <w:jc w:val="center"/>
                    <w:rPr>
                      <w:rFonts w:ascii="Times New Roman" w:hAnsi="Times New Roman" w:cs="宋体"/>
                      <w:kern w:val="0"/>
                      <w:sz w:val="21"/>
                      <w:szCs w:val="21"/>
                    </w:rPr>
                  </w:pPr>
                  <w:r>
                    <w:rPr>
                      <w:rFonts w:hint="eastAsia" w:ascii="Times New Roman" w:hAnsi="Times New Roman" w:cs="宋体"/>
                      <w:kern w:val="0"/>
                      <w:sz w:val="21"/>
                      <w:szCs w:val="21"/>
                    </w:rPr>
                    <w:t>1</w:t>
                  </w:r>
                </w:p>
              </w:tc>
              <w:tc>
                <w:tcPr>
                  <w:tcW w:w="3189" w:type="dxa"/>
                  <w:vAlign w:val="center"/>
                </w:tcPr>
                <w:p>
                  <w:pPr>
                    <w:autoSpaceDE w:val="0"/>
                    <w:autoSpaceDN w:val="0"/>
                    <w:adjustRightInd w:val="0"/>
                    <w:rPr>
                      <w:rFonts w:cs="宋体"/>
                      <w:kern w:val="0"/>
                      <w:szCs w:val="21"/>
                    </w:rPr>
                  </w:pPr>
                  <w:r>
                    <w:rPr>
                      <w:rFonts w:hint="eastAsia" w:cs="宋体"/>
                      <w:kern w:val="0"/>
                      <w:szCs w:val="21"/>
                    </w:rPr>
                    <w:t>散状物料采用封闭式输送方式，皮带输送机受料点、卸料点应设置密闭罩，并配备除尘设施。</w:t>
                  </w:r>
                </w:p>
              </w:tc>
              <w:tc>
                <w:tcPr>
                  <w:tcW w:w="3500" w:type="dxa"/>
                  <w:vAlign w:val="center"/>
                </w:tcPr>
                <w:p>
                  <w:pPr>
                    <w:pStyle w:val="49"/>
                    <w:spacing w:line="240" w:lineRule="auto"/>
                    <w:ind w:firstLine="0" w:firstLineChars="0"/>
                    <w:rPr>
                      <w:rFonts w:ascii="Times New Roman" w:hAnsi="Times New Roman" w:cs="宋体"/>
                      <w:kern w:val="0"/>
                      <w:sz w:val="21"/>
                      <w:szCs w:val="21"/>
                    </w:rPr>
                  </w:pPr>
                  <w:r>
                    <w:rPr>
                      <w:rFonts w:hint="eastAsia" w:ascii="Times New Roman" w:hAnsi="Times New Roman" w:cs="宋体"/>
                      <w:kern w:val="0"/>
                      <w:sz w:val="21"/>
                      <w:szCs w:val="21"/>
                    </w:rPr>
                    <w:t>项目原料和产品采用密闭罐车运输，输送机</w:t>
                  </w:r>
                  <w:r>
                    <w:rPr>
                      <w:rFonts w:ascii="Times New Roman" w:hAnsi="Times New Roman" w:cs="宋体"/>
                      <w:kern w:val="0"/>
                      <w:sz w:val="21"/>
                      <w:szCs w:val="21"/>
                    </w:rPr>
                    <w:t>、提升机</w:t>
                  </w:r>
                  <w:r>
                    <w:rPr>
                      <w:rFonts w:hint="eastAsia" w:ascii="Times New Roman" w:hAnsi="Times New Roman" w:cs="宋体"/>
                      <w:kern w:val="0"/>
                      <w:sz w:val="21"/>
                      <w:szCs w:val="21"/>
                    </w:rPr>
                    <w:t>采用封闭式输送方式，且</w:t>
                  </w:r>
                  <w:r>
                    <w:rPr>
                      <w:rFonts w:ascii="Times New Roman" w:hAnsi="Times New Roman" w:cs="宋体"/>
                      <w:kern w:val="0"/>
                      <w:sz w:val="21"/>
                      <w:szCs w:val="21"/>
                    </w:rPr>
                    <w:t>提升机落料</w:t>
                  </w:r>
                  <w:r>
                    <w:rPr>
                      <w:rFonts w:hint="eastAsia" w:ascii="Times New Roman" w:hAnsi="Times New Roman" w:cs="宋体"/>
                      <w:kern w:val="0"/>
                      <w:sz w:val="21"/>
                      <w:szCs w:val="21"/>
                    </w:rPr>
                    <w:t>点设集气罩，配备脉冲袋式</w:t>
                  </w:r>
                  <w:r>
                    <w:rPr>
                      <w:rFonts w:ascii="Times New Roman" w:hAnsi="Times New Roman" w:cs="宋体"/>
                      <w:kern w:val="0"/>
                      <w:sz w:val="21"/>
                      <w:szCs w:val="21"/>
                    </w:rPr>
                    <w:t>除尘器</w:t>
                  </w:r>
                  <w:r>
                    <w:rPr>
                      <w:rFonts w:hint="eastAsia" w:ascii="Times New Roman" w:hAnsi="Times New Roman" w:cs="宋体"/>
                      <w:kern w:val="0"/>
                      <w:sz w:val="21"/>
                      <w:szCs w:val="21"/>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28" w:type="dxa"/>
                  <w:left w:w="108" w:type="dxa"/>
                  <w:bottom w:w="28" w:type="dxa"/>
                  <w:right w:w="108" w:type="dxa"/>
                </w:tblCellMar>
              </w:tblPrEx>
              <w:trPr>
                <w:trHeight w:val="443" w:hRule="atLeast"/>
              </w:trPr>
              <w:tc>
                <w:tcPr>
                  <w:tcW w:w="858" w:type="dxa"/>
                  <w:vMerge w:val="continue"/>
                  <w:vAlign w:val="center"/>
                </w:tcPr>
                <w:p>
                  <w:pPr>
                    <w:pStyle w:val="49"/>
                    <w:spacing w:line="240" w:lineRule="auto"/>
                    <w:ind w:firstLine="0" w:firstLineChars="0"/>
                    <w:jc w:val="center"/>
                    <w:rPr>
                      <w:rFonts w:ascii="Times New Roman" w:hAnsi="Times New Roman" w:cs="宋体"/>
                      <w:kern w:val="0"/>
                      <w:sz w:val="21"/>
                      <w:szCs w:val="21"/>
                    </w:rPr>
                  </w:pPr>
                </w:p>
              </w:tc>
              <w:tc>
                <w:tcPr>
                  <w:tcW w:w="513" w:type="dxa"/>
                  <w:vAlign w:val="center"/>
                </w:tcPr>
                <w:p>
                  <w:pPr>
                    <w:pStyle w:val="49"/>
                    <w:spacing w:line="240" w:lineRule="auto"/>
                    <w:ind w:firstLine="0" w:firstLineChars="0"/>
                    <w:jc w:val="center"/>
                    <w:rPr>
                      <w:rFonts w:ascii="Times New Roman" w:hAnsi="Times New Roman" w:cs="宋体"/>
                      <w:kern w:val="0"/>
                      <w:sz w:val="21"/>
                      <w:szCs w:val="21"/>
                    </w:rPr>
                  </w:pPr>
                  <w:r>
                    <w:rPr>
                      <w:rFonts w:hint="eastAsia" w:ascii="Times New Roman" w:hAnsi="Times New Roman" w:cs="宋体"/>
                      <w:kern w:val="0"/>
                      <w:sz w:val="21"/>
                      <w:szCs w:val="21"/>
                    </w:rPr>
                    <w:t>2</w:t>
                  </w:r>
                </w:p>
              </w:tc>
              <w:tc>
                <w:tcPr>
                  <w:tcW w:w="3189" w:type="dxa"/>
                  <w:vAlign w:val="center"/>
                </w:tcPr>
                <w:p>
                  <w:pPr>
                    <w:autoSpaceDE w:val="0"/>
                    <w:autoSpaceDN w:val="0"/>
                    <w:adjustRightInd w:val="0"/>
                    <w:rPr>
                      <w:rFonts w:cs="宋体"/>
                      <w:kern w:val="0"/>
                      <w:szCs w:val="21"/>
                    </w:rPr>
                  </w:pPr>
                  <w:r>
                    <w:rPr>
                      <w:rFonts w:hint="eastAsia" w:cs="宋体"/>
                      <w:kern w:val="0"/>
                      <w:szCs w:val="21"/>
                    </w:rPr>
                    <w:t>皮带输送机或物料提升机需在密闭廊道内运行，并在所有落料位置设置集尘装置及配备除尘系统。</w:t>
                  </w:r>
                </w:p>
              </w:tc>
              <w:tc>
                <w:tcPr>
                  <w:tcW w:w="3500" w:type="dxa"/>
                  <w:vAlign w:val="center"/>
                </w:tcPr>
                <w:p>
                  <w:pPr>
                    <w:autoSpaceDE w:val="0"/>
                    <w:autoSpaceDN w:val="0"/>
                    <w:adjustRightInd w:val="0"/>
                    <w:rPr>
                      <w:rFonts w:cs="宋体"/>
                      <w:kern w:val="0"/>
                      <w:szCs w:val="21"/>
                    </w:rPr>
                  </w:pPr>
                  <w:r>
                    <w:rPr>
                      <w:rFonts w:hint="eastAsia" w:cs="宋体"/>
                      <w:kern w:val="0"/>
                      <w:szCs w:val="21"/>
                    </w:rPr>
                    <w:t>项目采用</w:t>
                  </w:r>
                  <w:r>
                    <w:rPr>
                      <w:rFonts w:cs="宋体"/>
                      <w:kern w:val="0"/>
                      <w:szCs w:val="21"/>
                    </w:rPr>
                    <w:t>密闭气体输送斜槽及提升机输送物料，厂区内</w:t>
                  </w:r>
                  <w:r>
                    <w:rPr>
                      <w:rFonts w:hint="eastAsia" w:cs="宋体"/>
                      <w:kern w:val="0"/>
                      <w:szCs w:val="21"/>
                    </w:rPr>
                    <w:t>不</w:t>
                  </w:r>
                  <w:r>
                    <w:rPr>
                      <w:rFonts w:cs="宋体"/>
                      <w:kern w:val="0"/>
                      <w:szCs w:val="21"/>
                    </w:rPr>
                    <w:t>设置皮带</w:t>
                  </w:r>
                  <w:r>
                    <w:rPr>
                      <w:rFonts w:hint="eastAsia" w:cs="宋体"/>
                      <w:kern w:val="0"/>
                      <w:szCs w:val="21"/>
                    </w:rPr>
                    <w:t>输送机。</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28" w:type="dxa"/>
                  <w:left w:w="108" w:type="dxa"/>
                  <w:bottom w:w="28" w:type="dxa"/>
                  <w:right w:w="108" w:type="dxa"/>
                </w:tblCellMar>
              </w:tblPrEx>
              <w:trPr>
                <w:trHeight w:val="443" w:hRule="atLeast"/>
              </w:trPr>
              <w:tc>
                <w:tcPr>
                  <w:tcW w:w="858" w:type="dxa"/>
                  <w:vMerge w:val="continue"/>
                  <w:vAlign w:val="center"/>
                </w:tcPr>
                <w:p>
                  <w:pPr>
                    <w:pStyle w:val="49"/>
                    <w:spacing w:line="240" w:lineRule="auto"/>
                    <w:ind w:firstLine="0" w:firstLineChars="0"/>
                    <w:jc w:val="center"/>
                    <w:rPr>
                      <w:rFonts w:ascii="Times New Roman" w:hAnsi="Times New Roman" w:cs="宋体"/>
                      <w:kern w:val="0"/>
                      <w:sz w:val="21"/>
                      <w:szCs w:val="21"/>
                    </w:rPr>
                  </w:pPr>
                </w:p>
              </w:tc>
              <w:tc>
                <w:tcPr>
                  <w:tcW w:w="513" w:type="dxa"/>
                  <w:vAlign w:val="center"/>
                </w:tcPr>
                <w:p>
                  <w:pPr>
                    <w:pStyle w:val="49"/>
                    <w:spacing w:line="240" w:lineRule="auto"/>
                    <w:ind w:firstLine="0" w:firstLineChars="0"/>
                    <w:jc w:val="center"/>
                    <w:rPr>
                      <w:rFonts w:ascii="Times New Roman" w:hAnsi="Times New Roman" w:cs="宋体"/>
                      <w:kern w:val="0"/>
                      <w:sz w:val="21"/>
                      <w:szCs w:val="21"/>
                    </w:rPr>
                  </w:pPr>
                  <w:r>
                    <w:rPr>
                      <w:rFonts w:hint="eastAsia" w:ascii="Times New Roman" w:hAnsi="Times New Roman" w:cs="宋体"/>
                      <w:kern w:val="0"/>
                      <w:sz w:val="21"/>
                      <w:szCs w:val="21"/>
                    </w:rPr>
                    <w:t>3</w:t>
                  </w:r>
                </w:p>
              </w:tc>
              <w:tc>
                <w:tcPr>
                  <w:tcW w:w="3189" w:type="dxa"/>
                  <w:vAlign w:val="center"/>
                </w:tcPr>
                <w:p>
                  <w:pPr>
                    <w:autoSpaceDE w:val="0"/>
                    <w:autoSpaceDN w:val="0"/>
                    <w:adjustRightInd w:val="0"/>
                    <w:rPr>
                      <w:rFonts w:cs="宋体"/>
                      <w:kern w:val="0"/>
                      <w:szCs w:val="21"/>
                    </w:rPr>
                  </w:pPr>
                  <w:r>
                    <w:rPr>
                      <w:rFonts w:hint="eastAsia" w:cs="宋体"/>
                      <w:kern w:val="0"/>
                      <w:szCs w:val="21"/>
                    </w:rPr>
                    <w:t>运输车辆装载高度最高点不得超过车辆槽帮上沿</w:t>
                  </w:r>
                  <w:r>
                    <w:rPr>
                      <w:rFonts w:cs="TimesNewRomanPSMT"/>
                      <w:kern w:val="0"/>
                      <w:szCs w:val="21"/>
                    </w:rPr>
                    <w:t>40</w:t>
                  </w:r>
                  <w:r>
                    <w:rPr>
                      <w:rFonts w:hint="eastAsia" w:cs="宋体"/>
                      <w:kern w:val="0"/>
                      <w:szCs w:val="21"/>
                    </w:rPr>
                    <w:t>厘米，两侧边缘应当低于槽帮上缘</w:t>
                  </w:r>
                  <w:r>
                    <w:rPr>
                      <w:rFonts w:cs="TimesNewRomanPSMT"/>
                      <w:kern w:val="0"/>
                      <w:szCs w:val="21"/>
                    </w:rPr>
                    <w:t>10</w:t>
                  </w:r>
                  <w:r>
                    <w:rPr>
                      <w:rFonts w:hint="eastAsia" w:cs="宋体"/>
                      <w:kern w:val="0"/>
                      <w:szCs w:val="21"/>
                    </w:rPr>
                    <w:t>厘米，车斗应采用苫布覆盖，苫布边缘至少要遮住槽帮上沿以下</w:t>
                  </w:r>
                  <w:r>
                    <w:rPr>
                      <w:rFonts w:cs="TimesNewRomanPSMT"/>
                      <w:kern w:val="0"/>
                      <w:szCs w:val="21"/>
                    </w:rPr>
                    <w:t>15</w:t>
                  </w:r>
                  <w:r>
                    <w:rPr>
                      <w:rFonts w:hint="eastAsia" w:cs="宋体"/>
                      <w:kern w:val="0"/>
                      <w:szCs w:val="21"/>
                    </w:rPr>
                    <w:t>厘米，禁止厂内露天转运散状物料。</w:t>
                  </w:r>
                </w:p>
              </w:tc>
              <w:tc>
                <w:tcPr>
                  <w:tcW w:w="3500" w:type="dxa"/>
                  <w:vAlign w:val="center"/>
                </w:tcPr>
                <w:p>
                  <w:pPr>
                    <w:pStyle w:val="49"/>
                    <w:spacing w:line="240" w:lineRule="auto"/>
                    <w:ind w:firstLine="0" w:firstLineChars="0"/>
                    <w:jc w:val="center"/>
                    <w:rPr>
                      <w:rFonts w:ascii="Times New Roman" w:hAnsi="Times New Roman" w:cs="宋体"/>
                      <w:kern w:val="0"/>
                      <w:sz w:val="21"/>
                      <w:szCs w:val="21"/>
                    </w:rPr>
                  </w:pPr>
                  <w:r>
                    <w:rPr>
                      <w:rFonts w:hint="eastAsia" w:ascii="Times New Roman" w:hAnsi="Times New Roman" w:cs="宋体"/>
                      <w:kern w:val="0"/>
                      <w:sz w:val="21"/>
                      <w:szCs w:val="21"/>
                    </w:rPr>
                    <w:t>项目运输</w:t>
                  </w:r>
                  <w:r>
                    <w:rPr>
                      <w:rFonts w:ascii="Times New Roman" w:hAnsi="Times New Roman" w:cs="宋体"/>
                      <w:kern w:val="0"/>
                      <w:sz w:val="21"/>
                      <w:szCs w:val="21"/>
                    </w:rPr>
                    <w:t>物料及产品车辆均为密闭</w:t>
                  </w:r>
                  <w:r>
                    <w:rPr>
                      <w:rFonts w:hint="eastAsia" w:ascii="Times New Roman" w:hAnsi="Times New Roman" w:cs="宋体"/>
                      <w:kern w:val="0"/>
                      <w:sz w:val="21"/>
                      <w:szCs w:val="21"/>
                    </w:rPr>
                    <w:t>罐车</w:t>
                  </w:r>
                  <w:r>
                    <w:rPr>
                      <w:rFonts w:ascii="Times New Roman" w:hAnsi="Times New Roman" w:cs="宋体"/>
                      <w:kern w:val="0"/>
                      <w:sz w:val="21"/>
                      <w:szCs w:val="21"/>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28" w:type="dxa"/>
                  <w:left w:w="108" w:type="dxa"/>
                  <w:bottom w:w="28" w:type="dxa"/>
                  <w:right w:w="108" w:type="dxa"/>
                </w:tblCellMar>
              </w:tblPrEx>
              <w:trPr>
                <w:trHeight w:val="443" w:hRule="atLeast"/>
              </w:trPr>
              <w:tc>
                <w:tcPr>
                  <w:tcW w:w="858" w:type="dxa"/>
                  <w:vMerge w:val="continue"/>
                  <w:vAlign w:val="center"/>
                </w:tcPr>
                <w:p>
                  <w:pPr>
                    <w:pStyle w:val="49"/>
                    <w:spacing w:line="240" w:lineRule="auto"/>
                    <w:ind w:firstLine="0" w:firstLineChars="0"/>
                    <w:jc w:val="center"/>
                    <w:rPr>
                      <w:rFonts w:ascii="Times New Roman" w:hAnsi="Times New Roman" w:cs="宋体"/>
                      <w:kern w:val="0"/>
                      <w:sz w:val="21"/>
                      <w:szCs w:val="21"/>
                    </w:rPr>
                  </w:pPr>
                </w:p>
              </w:tc>
              <w:tc>
                <w:tcPr>
                  <w:tcW w:w="513" w:type="dxa"/>
                  <w:vAlign w:val="center"/>
                </w:tcPr>
                <w:p>
                  <w:pPr>
                    <w:pStyle w:val="49"/>
                    <w:spacing w:line="240" w:lineRule="auto"/>
                    <w:ind w:firstLine="0" w:firstLineChars="0"/>
                    <w:jc w:val="center"/>
                    <w:rPr>
                      <w:rFonts w:ascii="Times New Roman" w:hAnsi="Times New Roman" w:cs="宋体"/>
                      <w:kern w:val="0"/>
                      <w:sz w:val="21"/>
                      <w:szCs w:val="21"/>
                    </w:rPr>
                  </w:pPr>
                  <w:r>
                    <w:rPr>
                      <w:rFonts w:hint="eastAsia" w:ascii="Times New Roman" w:hAnsi="Times New Roman" w:cs="宋体"/>
                      <w:kern w:val="0"/>
                      <w:sz w:val="21"/>
                      <w:szCs w:val="21"/>
                    </w:rPr>
                    <w:t>4</w:t>
                  </w:r>
                </w:p>
              </w:tc>
              <w:tc>
                <w:tcPr>
                  <w:tcW w:w="3189" w:type="dxa"/>
                  <w:vAlign w:val="center"/>
                </w:tcPr>
                <w:p>
                  <w:pPr>
                    <w:autoSpaceDE w:val="0"/>
                    <w:autoSpaceDN w:val="0"/>
                    <w:adjustRightInd w:val="0"/>
                    <w:rPr>
                      <w:rFonts w:cs="宋体"/>
                      <w:kern w:val="0"/>
                      <w:szCs w:val="21"/>
                    </w:rPr>
                  </w:pPr>
                  <w:r>
                    <w:rPr>
                      <w:rFonts w:hint="eastAsia" w:cs="宋体"/>
                      <w:kern w:val="0"/>
                      <w:szCs w:val="21"/>
                    </w:rPr>
                    <w:t>除尘器卸灰不直接卸落到地面，卸灰区封闭。除尘灰采用气力输送、罐车等密闭方式运输；采用非密闭方式运输的，车辆应苫盖，装卸车时应采取加湿等措施抑尘。</w:t>
                  </w:r>
                </w:p>
              </w:tc>
              <w:tc>
                <w:tcPr>
                  <w:tcW w:w="3500" w:type="dxa"/>
                  <w:vAlign w:val="center"/>
                </w:tcPr>
                <w:p>
                  <w:pPr>
                    <w:pStyle w:val="49"/>
                    <w:spacing w:line="240" w:lineRule="auto"/>
                    <w:ind w:firstLine="0" w:firstLineChars="0"/>
                    <w:rPr>
                      <w:rFonts w:ascii="Times New Roman" w:hAnsi="Times New Roman" w:cs="宋体"/>
                      <w:kern w:val="0"/>
                      <w:sz w:val="21"/>
                      <w:szCs w:val="21"/>
                    </w:rPr>
                  </w:pPr>
                  <w:r>
                    <w:rPr>
                      <w:rFonts w:hint="eastAsia" w:ascii="Times New Roman" w:hAnsi="Times New Roman" w:cs="宋体"/>
                      <w:kern w:val="0"/>
                      <w:sz w:val="21"/>
                      <w:szCs w:val="21"/>
                    </w:rPr>
                    <w:t>项目除尘器卸灰区封闭，不直接落到地面，收集的颗粒物作为产品外售。</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28" w:type="dxa"/>
                  <w:left w:w="108" w:type="dxa"/>
                  <w:bottom w:w="28" w:type="dxa"/>
                  <w:right w:w="108" w:type="dxa"/>
                </w:tblCellMar>
              </w:tblPrEx>
              <w:trPr>
                <w:trHeight w:val="443" w:hRule="atLeast"/>
              </w:trPr>
              <w:tc>
                <w:tcPr>
                  <w:tcW w:w="858" w:type="dxa"/>
                  <w:vMerge w:val="restart"/>
                  <w:vAlign w:val="center"/>
                </w:tcPr>
                <w:p>
                  <w:pPr>
                    <w:pStyle w:val="49"/>
                    <w:spacing w:line="240" w:lineRule="auto"/>
                    <w:ind w:firstLine="0" w:firstLineChars="0"/>
                    <w:jc w:val="center"/>
                    <w:rPr>
                      <w:rFonts w:ascii="Times New Roman" w:hAnsi="Times New Roman" w:cs="宋体"/>
                      <w:kern w:val="0"/>
                      <w:sz w:val="21"/>
                      <w:szCs w:val="21"/>
                    </w:rPr>
                  </w:pPr>
                  <w:r>
                    <w:rPr>
                      <w:rFonts w:hint="eastAsia" w:ascii="Times New Roman" w:hAnsi="Times New Roman" w:cs="宋体"/>
                      <w:kern w:val="0"/>
                      <w:sz w:val="21"/>
                      <w:szCs w:val="21"/>
                    </w:rPr>
                    <w:t>生产环节治理</w:t>
                  </w:r>
                </w:p>
              </w:tc>
              <w:tc>
                <w:tcPr>
                  <w:tcW w:w="513" w:type="dxa"/>
                  <w:vAlign w:val="center"/>
                </w:tcPr>
                <w:p>
                  <w:pPr>
                    <w:pStyle w:val="49"/>
                    <w:spacing w:line="240" w:lineRule="auto"/>
                    <w:ind w:firstLine="0" w:firstLineChars="0"/>
                    <w:jc w:val="center"/>
                    <w:rPr>
                      <w:rFonts w:ascii="Times New Roman" w:hAnsi="Times New Roman" w:cs="宋体"/>
                      <w:kern w:val="0"/>
                      <w:sz w:val="21"/>
                      <w:szCs w:val="21"/>
                    </w:rPr>
                  </w:pPr>
                  <w:r>
                    <w:rPr>
                      <w:rFonts w:hint="eastAsia" w:ascii="Times New Roman" w:hAnsi="Times New Roman" w:cs="宋体"/>
                      <w:kern w:val="0"/>
                      <w:sz w:val="21"/>
                      <w:szCs w:val="21"/>
                    </w:rPr>
                    <w:t>1</w:t>
                  </w:r>
                </w:p>
              </w:tc>
              <w:tc>
                <w:tcPr>
                  <w:tcW w:w="3189" w:type="dxa"/>
                  <w:vAlign w:val="center"/>
                </w:tcPr>
                <w:p>
                  <w:pPr>
                    <w:autoSpaceDE w:val="0"/>
                    <w:autoSpaceDN w:val="0"/>
                    <w:adjustRightInd w:val="0"/>
                    <w:rPr>
                      <w:rFonts w:cs="宋体"/>
                      <w:kern w:val="0"/>
                      <w:szCs w:val="21"/>
                    </w:rPr>
                  </w:pPr>
                  <w:r>
                    <w:rPr>
                      <w:rFonts w:hint="eastAsia" w:cs="宋体"/>
                      <w:kern w:val="0"/>
                      <w:szCs w:val="21"/>
                    </w:rPr>
                    <w:t>物料上料、破碎、筛分、混料等生产过程中的产尘点应在封闭的厂房内进行二次封闭，并安装集气设施和除尘设施。</w:t>
                  </w:r>
                </w:p>
              </w:tc>
              <w:tc>
                <w:tcPr>
                  <w:tcW w:w="3500" w:type="dxa"/>
                  <w:vAlign w:val="center"/>
                </w:tcPr>
                <w:p>
                  <w:pPr>
                    <w:pStyle w:val="49"/>
                    <w:spacing w:line="240" w:lineRule="auto"/>
                    <w:ind w:firstLine="0" w:firstLineChars="0"/>
                    <w:rPr>
                      <w:rFonts w:ascii="Times New Roman" w:hAnsi="Times New Roman" w:cs="宋体"/>
                      <w:kern w:val="0"/>
                      <w:sz w:val="21"/>
                      <w:szCs w:val="21"/>
                    </w:rPr>
                  </w:pPr>
                  <w:r>
                    <w:rPr>
                      <w:rFonts w:hint="eastAsia" w:ascii="Times New Roman" w:hAnsi="Times New Roman" w:cs="宋体"/>
                      <w:kern w:val="0"/>
                      <w:sz w:val="21"/>
                      <w:szCs w:val="21"/>
                    </w:rPr>
                    <w:t>项目分选机、磨机均为全封闭设备，并置放</w:t>
                  </w:r>
                  <w:r>
                    <w:rPr>
                      <w:rFonts w:ascii="Times New Roman" w:hAnsi="Times New Roman" w:cs="宋体"/>
                      <w:kern w:val="0"/>
                      <w:sz w:val="21"/>
                      <w:szCs w:val="21"/>
                    </w:rPr>
                    <w:t>于</w:t>
                  </w:r>
                  <w:r>
                    <w:rPr>
                      <w:rFonts w:hint="eastAsia" w:ascii="Times New Roman" w:hAnsi="Times New Roman" w:cs="宋体"/>
                      <w:kern w:val="0"/>
                      <w:sz w:val="21"/>
                      <w:szCs w:val="21"/>
                    </w:rPr>
                    <w:t>封闭</w:t>
                  </w:r>
                  <w:r>
                    <w:rPr>
                      <w:rFonts w:ascii="Times New Roman" w:hAnsi="Times New Roman" w:cs="宋体"/>
                      <w:kern w:val="0"/>
                      <w:sz w:val="21"/>
                      <w:szCs w:val="21"/>
                    </w:rPr>
                    <w:t>厂房内，</w:t>
                  </w:r>
                  <w:r>
                    <w:rPr>
                      <w:rFonts w:hint="eastAsia" w:ascii="Times New Roman" w:hAnsi="Times New Roman" w:cs="宋体"/>
                      <w:kern w:val="0"/>
                      <w:sz w:val="21"/>
                      <w:szCs w:val="21"/>
                    </w:rPr>
                    <w:t>并在产尘点安装集气设施和除尘设施。</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28" w:type="dxa"/>
                  <w:left w:w="108" w:type="dxa"/>
                  <w:bottom w:w="28" w:type="dxa"/>
                  <w:right w:w="108" w:type="dxa"/>
                </w:tblCellMar>
              </w:tblPrEx>
              <w:trPr>
                <w:trHeight w:val="443" w:hRule="atLeast"/>
              </w:trPr>
              <w:tc>
                <w:tcPr>
                  <w:tcW w:w="858" w:type="dxa"/>
                  <w:vMerge w:val="continue"/>
                  <w:vAlign w:val="center"/>
                </w:tcPr>
                <w:p>
                  <w:pPr>
                    <w:pStyle w:val="49"/>
                    <w:spacing w:line="240" w:lineRule="auto"/>
                    <w:ind w:firstLine="0" w:firstLineChars="0"/>
                    <w:jc w:val="center"/>
                    <w:rPr>
                      <w:rFonts w:ascii="Times New Roman" w:hAnsi="Times New Roman" w:cs="宋体"/>
                      <w:kern w:val="0"/>
                      <w:sz w:val="21"/>
                      <w:szCs w:val="21"/>
                    </w:rPr>
                  </w:pPr>
                </w:p>
              </w:tc>
              <w:tc>
                <w:tcPr>
                  <w:tcW w:w="513" w:type="dxa"/>
                  <w:vAlign w:val="center"/>
                </w:tcPr>
                <w:p>
                  <w:pPr>
                    <w:pStyle w:val="49"/>
                    <w:spacing w:line="240" w:lineRule="auto"/>
                    <w:ind w:firstLine="0" w:firstLineChars="0"/>
                    <w:jc w:val="center"/>
                    <w:rPr>
                      <w:rFonts w:ascii="Times New Roman" w:hAnsi="Times New Roman" w:cs="宋体"/>
                      <w:kern w:val="0"/>
                      <w:sz w:val="21"/>
                      <w:szCs w:val="21"/>
                    </w:rPr>
                  </w:pPr>
                  <w:r>
                    <w:rPr>
                      <w:rFonts w:hint="eastAsia" w:ascii="Times New Roman" w:hAnsi="Times New Roman" w:cs="宋体"/>
                      <w:kern w:val="0"/>
                      <w:sz w:val="21"/>
                      <w:szCs w:val="21"/>
                    </w:rPr>
                    <w:t>2</w:t>
                  </w:r>
                </w:p>
              </w:tc>
              <w:tc>
                <w:tcPr>
                  <w:tcW w:w="3189" w:type="dxa"/>
                  <w:vAlign w:val="center"/>
                </w:tcPr>
                <w:p>
                  <w:pPr>
                    <w:autoSpaceDE w:val="0"/>
                    <w:autoSpaceDN w:val="0"/>
                    <w:adjustRightInd w:val="0"/>
                    <w:rPr>
                      <w:rFonts w:cs="宋体"/>
                      <w:kern w:val="0"/>
                      <w:szCs w:val="21"/>
                    </w:rPr>
                  </w:pPr>
                  <w:r>
                    <w:rPr>
                      <w:rFonts w:hint="eastAsia" w:cs="宋体"/>
                      <w:kern w:val="0"/>
                      <w:szCs w:val="21"/>
                    </w:rPr>
                    <w:t>在生产过程中的产生VOC</w:t>
                  </w:r>
                  <w:r>
                    <w:rPr>
                      <w:rFonts w:hint="eastAsia" w:cs="宋体"/>
                      <w:kern w:val="0"/>
                      <w:szCs w:val="21"/>
                      <w:vertAlign w:val="subscript"/>
                    </w:rPr>
                    <w:t>S</w:t>
                  </w:r>
                  <w:r>
                    <w:rPr>
                      <w:rFonts w:hint="eastAsia" w:cs="宋体"/>
                      <w:kern w:val="0"/>
                      <w:szCs w:val="21"/>
                    </w:rPr>
                    <w:t>的工序应在封闭的厂房内进行二次封闭，并安装集气设施和VOCs处理设施。</w:t>
                  </w:r>
                </w:p>
              </w:tc>
              <w:tc>
                <w:tcPr>
                  <w:tcW w:w="3500" w:type="dxa"/>
                  <w:vAlign w:val="center"/>
                </w:tcPr>
                <w:p>
                  <w:pPr>
                    <w:pStyle w:val="49"/>
                    <w:spacing w:line="240" w:lineRule="auto"/>
                    <w:ind w:firstLine="0" w:firstLineChars="0"/>
                    <w:jc w:val="center"/>
                    <w:rPr>
                      <w:rFonts w:ascii="Times New Roman" w:hAnsi="Times New Roman" w:cs="宋体"/>
                      <w:kern w:val="0"/>
                      <w:sz w:val="21"/>
                      <w:szCs w:val="21"/>
                    </w:rPr>
                  </w:pPr>
                  <w:r>
                    <w:rPr>
                      <w:rFonts w:hint="eastAsia" w:ascii="Times New Roman" w:hAnsi="Times New Roman" w:cs="宋体"/>
                      <w:kern w:val="0"/>
                      <w:sz w:val="21"/>
                      <w:szCs w:val="21"/>
                    </w:rPr>
                    <w:t>本项目不涉及。</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28" w:type="dxa"/>
                  <w:left w:w="108" w:type="dxa"/>
                  <w:bottom w:w="28" w:type="dxa"/>
                  <w:right w:w="108" w:type="dxa"/>
                </w:tblCellMar>
              </w:tblPrEx>
              <w:trPr>
                <w:trHeight w:val="443" w:hRule="atLeast"/>
              </w:trPr>
              <w:tc>
                <w:tcPr>
                  <w:tcW w:w="858" w:type="dxa"/>
                  <w:vMerge w:val="continue"/>
                  <w:vAlign w:val="center"/>
                </w:tcPr>
                <w:p>
                  <w:pPr>
                    <w:pStyle w:val="49"/>
                    <w:spacing w:line="240" w:lineRule="auto"/>
                    <w:ind w:firstLine="0" w:firstLineChars="0"/>
                    <w:jc w:val="center"/>
                    <w:rPr>
                      <w:rFonts w:ascii="Times New Roman" w:hAnsi="Times New Roman" w:cs="宋体"/>
                      <w:kern w:val="0"/>
                      <w:sz w:val="21"/>
                      <w:szCs w:val="21"/>
                    </w:rPr>
                  </w:pPr>
                </w:p>
              </w:tc>
              <w:tc>
                <w:tcPr>
                  <w:tcW w:w="513" w:type="dxa"/>
                  <w:vAlign w:val="center"/>
                </w:tcPr>
                <w:p>
                  <w:pPr>
                    <w:pStyle w:val="49"/>
                    <w:spacing w:line="240" w:lineRule="auto"/>
                    <w:ind w:firstLine="0" w:firstLineChars="0"/>
                    <w:jc w:val="center"/>
                    <w:rPr>
                      <w:rFonts w:ascii="Times New Roman" w:hAnsi="Times New Roman" w:cs="宋体"/>
                      <w:kern w:val="0"/>
                      <w:sz w:val="21"/>
                      <w:szCs w:val="21"/>
                    </w:rPr>
                  </w:pPr>
                  <w:r>
                    <w:rPr>
                      <w:rFonts w:hint="eastAsia" w:ascii="Times New Roman" w:hAnsi="Times New Roman" w:cs="宋体"/>
                      <w:kern w:val="0"/>
                      <w:sz w:val="21"/>
                      <w:szCs w:val="21"/>
                    </w:rPr>
                    <w:t>3</w:t>
                  </w:r>
                </w:p>
              </w:tc>
              <w:tc>
                <w:tcPr>
                  <w:tcW w:w="3189" w:type="dxa"/>
                  <w:vAlign w:val="center"/>
                </w:tcPr>
                <w:p>
                  <w:pPr>
                    <w:autoSpaceDE w:val="0"/>
                    <w:autoSpaceDN w:val="0"/>
                    <w:adjustRightInd w:val="0"/>
                    <w:rPr>
                      <w:rFonts w:cs="宋体"/>
                      <w:kern w:val="0"/>
                      <w:szCs w:val="21"/>
                    </w:rPr>
                  </w:pPr>
                  <w:r>
                    <w:rPr>
                      <w:rFonts w:hint="eastAsia" w:cs="宋体"/>
                      <w:kern w:val="0"/>
                      <w:szCs w:val="21"/>
                    </w:rPr>
                    <w:t>其他方面：禁止生产车间内散放原料，需采用全封闭式</w:t>
                  </w:r>
                  <w:r>
                    <w:rPr>
                      <w:rFonts w:cs="宋体"/>
                      <w:kern w:val="0"/>
                      <w:szCs w:val="21"/>
                    </w:rPr>
                    <w:t>/</w:t>
                  </w:r>
                  <w:r>
                    <w:rPr>
                      <w:rFonts w:hint="eastAsia" w:cs="宋体"/>
                      <w:kern w:val="0"/>
                      <w:szCs w:val="21"/>
                    </w:rPr>
                    <w:t>地下料仓，并配备完备的废气收集和处理系统，生产环节必须在密闭良好的车间内运行。</w:t>
                  </w:r>
                </w:p>
              </w:tc>
              <w:tc>
                <w:tcPr>
                  <w:tcW w:w="3500" w:type="dxa"/>
                  <w:vAlign w:val="center"/>
                </w:tcPr>
                <w:p>
                  <w:pPr>
                    <w:pStyle w:val="49"/>
                    <w:spacing w:line="240" w:lineRule="auto"/>
                    <w:ind w:firstLine="0" w:firstLineChars="0"/>
                    <w:rPr>
                      <w:rFonts w:ascii="Times New Roman" w:hAnsi="Times New Roman" w:cs="宋体"/>
                      <w:kern w:val="0"/>
                      <w:sz w:val="21"/>
                      <w:szCs w:val="21"/>
                    </w:rPr>
                  </w:pPr>
                  <w:r>
                    <w:rPr>
                      <w:rFonts w:hint="eastAsia" w:ascii="Times New Roman" w:hAnsi="Times New Roman" w:cs="宋体"/>
                      <w:kern w:val="0"/>
                      <w:sz w:val="21"/>
                      <w:szCs w:val="21"/>
                    </w:rPr>
                    <w:t>项目散装物料均储存于密闭</w:t>
                  </w:r>
                  <w:r>
                    <w:rPr>
                      <w:rFonts w:ascii="Times New Roman" w:hAnsi="Times New Roman" w:cs="宋体"/>
                      <w:kern w:val="0"/>
                      <w:sz w:val="21"/>
                      <w:szCs w:val="21"/>
                    </w:rPr>
                    <w:t>筒仓内，</w:t>
                  </w:r>
                  <w:r>
                    <w:rPr>
                      <w:rFonts w:hint="eastAsia" w:ascii="Times New Roman" w:hAnsi="Times New Roman" w:cs="宋体"/>
                      <w:kern w:val="0"/>
                      <w:sz w:val="21"/>
                      <w:szCs w:val="21"/>
                    </w:rPr>
                    <w:t>仓顶</w:t>
                  </w:r>
                  <w:r>
                    <w:rPr>
                      <w:rFonts w:ascii="Times New Roman" w:hAnsi="Times New Roman" w:cs="宋体"/>
                      <w:kern w:val="0"/>
                      <w:sz w:val="21"/>
                      <w:szCs w:val="21"/>
                    </w:rPr>
                    <w:t>上部安装有</w:t>
                  </w:r>
                  <w:r>
                    <w:rPr>
                      <w:rFonts w:hint="eastAsia" w:ascii="Times New Roman" w:hAnsi="Times New Roman" w:cs="宋体"/>
                      <w:kern w:val="0"/>
                      <w:sz w:val="21"/>
                      <w:szCs w:val="21"/>
                    </w:rPr>
                    <w:t>脉冲</w:t>
                  </w:r>
                  <w:r>
                    <w:rPr>
                      <w:rFonts w:ascii="Times New Roman" w:hAnsi="Times New Roman" w:cs="宋体"/>
                      <w:kern w:val="0"/>
                      <w:sz w:val="21"/>
                      <w:szCs w:val="21"/>
                    </w:rPr>
                    <w:t>袋式除尘器</w:t>
                  </w:r>
                  <w:r>
                    <w:rPr>
                      <w:rFonts w:hint="eastAsia" w:ascii="Times New Roman" w:hAnsi="Times New Roman" w:cs="宋体"/>
                      <w:kern w:val="0"/>
                      <w:sz w:val="21"/>
                      <w:szCs w:val="21"/>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28" w:type="dxa"/>
                  <w:left w:w="108" w:type="dxa"/>
                  <w:bottom w:w="28" w:type="dxa"/>
                  <w:right w:w="108" w:type="dxa"/>
                </w:tblCellMar>
              </w:tblPrEx>
              <w:trPr>
                <w:trHeight w:val="443" w:hRule="atLeast"/>
              </w:trPr>
              <w:tc>
                <w:tcPr>
                  <w:tcW w:w="858" w:type="dxa"/>
                  <w:vMerge w:val="restart"/>
                  <w:vAlign w:val="center"/>
                </w:tcPr>
                <w:p>
                  <w:pPr>
                    <w:pStyle w:val="49"/>
                    <w:spacing w:line="240" w:lineRule="auto"/>
                    <w:ind w:firstLine="0" w:firstLineChars="0"/>
                    <w:jc w:val="center"/>
                    <w:rPr>
                      <w:rFonts w:ascii="Times New Roman" w:hAnsi="Times New Roman" w:cs="宋体"/>
                      <w:kern w:val="0"/>
                      <w:sz w:val="21"/>
                      <w:szCs w:val="21"/>
                    </w:rPr>
                  </w:pPr>
                  <w:r>
                    <w:rPr>
                      <w:rFonts w:hint="eastAsia" w:ascii="Times New Roman" w:hAnsi="Times New Roman" w:cs="宋体"/>
                      <w:kern w:val="0"/>
                      <w:sz w:val="21"/>
                      <w:szCs w:val="21"/>
                    </w:rPr>
                    <w:t>厂区、车辆治理</w:t>
                  </w:r>
                </w:p>
              </w:tc>
              <w:tc>
                <w:tcPr>
                  <w:tcW w:w="513" w:type="dxa"/>
                  <w:vAlign w:val="center"/>
                </w:tcPr>
                <w:p>
                  <w:pPr>
                    <w:pStyle w:val="49"/>
                    <w:spacing w:line="240" w:lineRule="auto"/>
                    <w:ind w:firstLine="0" w:firstLineChars="0"/>
                    <w:jc w:val="center"/>
                    <w:rPr>
                      <w:rFonts w:ascii="Times New Roman" w:hAnsi="Times New Roman" w:cs="宋体"/>
                      <w:kern w:val="0"/>
                      <w:sz w:val="21"/>
                      <w:szCs w:val="21"/>
                    </w:rPr>
                  </w:pPr>
                  <w:r>
                    <w:rPr>
                      <w:rFonts w:hint="eastAsia" w:ascii="Times New Roman" w:hAnsi="Times New Roman" w:cs="宋体"/>
                      <w:kern w:val="0"/>
                      <w:sz w:val="21"/>
                      <w:szCs w:val="21"/>
                    </w:rPr>
                    <w:t>1</w:t>
                  </w:r>
                </w:p>
              </w:tc>
              <w:tc>
                <w:tcPr>
                  <w:tcW w:w="3189" w:type="dxa"/>
                  <w:vAlign w:val="center"/>
                </w:tcPr>
                <w:p>
                  <w:pPr>
                    <w:autoSpaceDE w:val="0"/>
                    <w:autoSpaceDN w:val="0"/>
                    <w:adjustRightInd w:val="0"/>
                    <w:rPr>
                      <w:rFonts w:cs="宋体"/>
                      <w:kern w:val="0"/>
                      <w:szCs w:val="21"/>
                    </w:rPr>
                  </w:pPr>
                  <w:r>
                    <w:rPr>
                      <w:rFonts w:hint="eastAsia" w:cs="宋体"/>
                      <w:kern w:val="0"/>
                      <w:szCs w:val="21"/>
                    </w:rPr>
                    <w:t>厂区道路硬化，平整无破损，无积尘，厂区无裸露空地，闲置裸露空地绿化。</w:t>
                  </w:r>
                </w:p>
              </w:tc>
              <w:tc>
                <w:tcPr>
                  <w:tcW w:w="3500" w:type="dxa"/>
                  <w:vAlign w:val="center"/>
                </w:tcPr>
                <w:p>
                  <w:pPr>
                    <w:pStyle w:val="49"/>
                    <w:spacing w:line="240" w:lineRule="auto"/>
                    <w:ind w:firstLine="0" w:firstLineChars="0"/>
                    <w:jc w:val="left"/>
                    <w:rPr>
                      <w:rFonts w:ascii="Times New Roman" w:hAnsi="Times New Roman" w:cs="宋体"/>
                      <w:kern w:val="0"/>
                      <w:sz w:val="21"/>
                      <w:szCs w:val="21"/>
                    </w:rPr>
                  </w:pPr>
                  <w:r>
                    <w:rPr>
                      <w:rFonts w:hint="eastAsia" w:ascii="Times New Roman" w:hAnsi="Times New Roman" w:cs="宋体"/>
                      <w:kern w:val="0"/>
                      <w:sz w:val="21"/>
                      <w:szCs w:val="21"/>
                    </w:rPr>
                    <w:t>厂区内地面硬化，及时对厂区道路清扫，保证无积尘，厂区无裸露空地，闲置裸露空地绿化。</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28" w:type="dxa"/>
                  <w:left w:w="108" w:type="dxa"/>
                  <w:bottom w:w="28" w:type="dxa"/>
                  <w:right w:w="108" w:type="dxa"/>
                </w:tblCellMar>
              </w:tblPrEx>
              <w:trPr>
                <w:trHeight w:val="443" w:hRule="atLeast"/>
              </w:trPr>
              <w:tc>
                <w:tcPr>
                  <w:tcW w:w="858" w:type="dxa"/>
                  <w:vMerge w:val="continue"/>
                  <w:vAlign w:val="center"/>
                </w:tcPr>
                <w:p>
                  <w:pPr>
                    <w:pStyle w:val="49"/>
                    <w:spacing w:line="240" w:lineRule="auto"/>
                    <w:ind w:firstLine="0" w:firstLineChars="0"/>
                    <w:jc w:val="center"/>
                    <w:rPr>
                      <w:rFonts w:ascii="Times New Roman" w:hAnsi="Times New Roman" w:cs="宋体"/>
                      <w:kern w:val="0"/>
                      <w:sz w:val="21"/>
                      <w:szCs w:val="21"/>
                    </w:rPr>
                  </w:pPr>
                </w:p>
              </w:tc>
              <w:tc>
                <w:tcPr>
                  <w:tcW w:w="513" w:type="dxa"/>
                  <w:vAlign w:val="center"/>
                </w:tcPr>
                <w:p>
                  <w:pPr>
                    <w:pStyle w:val="49"/>
                    <w:spacing w:line="240" w:lineRule="auto"/>
                    <w:ind w:firstLine="0" w:firstLineChars="0"/>
                    <w:jc w:val="center"/>
                    <w:rPr>
                      <w:rFonts w:ascii="Times New Roman" w:hAnsi="Times New Roman" w:cs="宋体"/>
                      <w:kern w:val="0"/>
                      <w:sz w:val="21"/>
                      <w:szCs w:val="21"/>
                    </w:rPr>
                  </w:pPr>
                  <w:r>
                    <w:rPr>
                      <w:rFonts w:hint="eastAsia" w:ascii="Times New Roman" w:hAnsi="Times New Roman" w:cs="宋体"/>
                      <w:kern w:val="0"/>
                      <w:sz w:val="21"/>
                      <w:szCs w:val="21"/>
                    </w:rPr>
                    <w:t>2</w:t>
                  </w:r>
                </w:p>
              </w:tc>
              <w:tc>
                <w:tcPr>
                  <w:tcW w:w="3189" w:type="dxa"/>
                  <w:vAlign w:val="center"/>
                </w:tcPr>
                <w:p>
                  <w:pPr>
                    <w:autoSpaceDE w:val="0"/>
                    <w:autoSpaceDN w:val="0"/>
                    <w:adjustRightInd w:val="0"/>
                    <w:rPr>
                      <w:rFonts w:cs="宋体"/>
                      <w:kern w:val="0"/>
                      <w:szCs w:val="21"/>
                    </w:rPr>
                  </w:pPr>
                  <w:r>
                    <w:rPr>
                      <w:rFonts w:hint="eastAsia" w:cs="宋体"/>
                      <w:kern w:val="0"/>
                      <w:szCs w:val="21"/>
                    </w:rPr>
                    <w:t>对厂区道路定期洒水清扫。</w:t>
                  </w:r>
                </w:p>
              </w:tc>
              <w:tc>
                <w:tcPr>
                  <w:tcW w:w="3500" w:type="dxa"/>
                  <w:vAlign w:val="center"/>
                </w:tcPr>
                <w:p>
                  <w:pPr>
                    <w:pStyle w:val="49"/>
                    <w:spacing w:line="240" w:lineRule="auto"/>
                    <w:ind w:firstLine="0" w:firstLineChars="0"/>
                    <w:rPr>
                      <w:rFonts w:ascii="Times New Roman" w:hAnsi="Times New Roman" w:cs="宋体"/>
                      <w:kern w:val="0"/>
                      <w:sz w:val="21"/>
                      <w:szCs w:val="21"/>
                    </w:rPr>
                  </w:pPr>
                  <w:r>
                    <w:rPr>
                      <w:rFonts w:hint="eastAsia" w:cs="宋体"/>
                      <w:kern w:val="0"/>
                      <w:sz w:val="21"/>
                      <w:szCs w:val="21"/>
                    </w:rPr>
                    <w:t>派专人</w:t>
                  </w:r>
                  <w:r>
                    <w:rPr>
                      <w:rFonts w:cs="宋体"/>
                      <w:kern w:val="0"/>
                      <w:sz w:val="21"/>
                      <w:szCs w:val="21"/>
                    </w:rPr>
                    <w:t>及时</w:t>
                  </w:r>
                  <w:r>
                    <w:rPr>
                      <w:rFonts w:hint="eastAsia" w:cs="宋体"/>
                      <w:kern w:val="0"/>
                      <w:sz w:val="21"/>
                      <w:szCs w:val="21"/>
                    </w:rPr>
                    <w:t>对厂区道路定期洒水清扫。</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28" w:type="dxa"/>
                  <w:left w:w="108" w:type="dxa"/>
                  <w:bottom w:w="28" w:type="dxa"/>
                  <w:right w:w="108" w:type="dxa"/>
                </w:tblCellMar>
              </w:tblPrEx>
              <w:trPr>
                <w:trHeight w:val="443" w:hRule="atLeast"/>
              </w:trPr>
              <w:tc>
                <w:tcPr>
                  <w:tcW w:w="858" w:type="dxa"/>
                  <w:vMerge w:val="continue"/>
                  <w:vAlign w:val="center"/>
                </w:tcPr>
                <w:p>
                  <w:pPr>
                    <w:pStyle w:val="49"/>
                    <w:spacing w:line="240" w:lineRule="auto"/>
                    <w:ind w:firstLine="0" w:firstLineChars="0"/>
                    <w:jc w:val="center"/>
                    <w:rPr>
                      <w:rFonts w:ascii="Times New Roman" w:hAnsi="Times New Roman" w:cs="宋体"/>
                      <w:kern w:val="0"/>
                      <w:sz w:val="21"/>
                      <w:szCs w:val="21"/>
                    </w:rPr>
                  </w:pPr>
                </w:p>
              </w:tc>
              <w:tc>
                <w:tcPr>
                  <w:tcW w:w="513" w:type="dxa"/>
                  <w:vAlign w:val="center"/>
                </w:tcPr>
                <w:p>
                  <w:pPr>
                    <w:pStyle w:val="49"/>
                    <w:spacing w:line="240" w:lineRule="auto"/>
                    <w:ind w:firstLine="0" w:firstLineChars="0"/>
                    <w:jc w:val="center"/>
                    <w:rPr>
                      <w:rFonts w:ascii="Times New Roman" w:hAnsi="Times New Roman" w:cs="宋体"/>
                      <w:kern w:val="0"/>
                      <w:sz w:val="21"/>
                      <w:szCs w:val="21"/>
                    </w:rPr>
                  </w:pPr>
                  <w:r>
                    <w:rPr>
                      <w:rFonts w:hint="eastAsia" w:ascii="Times New Roman" w:hAnsi="Times New Roman" w:cs="宋体"/>
                      <w:kern w:val="0"/>
                      <w:sz w:val="21"/>
                      <w:szCs w:val="21"/>
                    </w:rPr>
                    <w:t>3</w:t>
                  </w:r>
                </w:p>
              </w:tc>
              <w:tc>
                <w:tcPr>
                  <w:tcW w:w="3189" w:type="dxa"/>
                  <w:vAlign w:val="center"/>
                </w:tcPr>
                <w:p>
                  <w:pPr>
                    <w:autoSpaceDE w:val="0"/>
                    <w:autoSpaceDN w:val="0"/>
                    <w:adjustRightInd w:val="0"/>
                    <w:rPr>
                      <w:rFonts w:cs="宋体"/>
                      <w:kern w:val="0"/>
                      <w:szCs w:val="21"/>
                    </w:rPr>
                  </w:pPr>
                  <w:r>
                    <w:rPr>
                      <w:rFonts w:hint="eastAsia" w:cs="宋体"/>
                      <w:kern w:val="0"/>
                      <w:szCs w:val="21"/>
                    </w:rPr>
                    <w:t>企业出厂口处配备高压清洗装置对所有车辆车轮、底盘进行冲洗，严禁带泥上路。洗车平台四周应设置洗车废水收集防治设施。</w:t>
                  </w:r>
                </w:p>
              </w:tc>
              <w:tc>
                <w:tcPr>
                  <w:tcW w:w="3500" w:type="dxa"/>
                  <w:vAlign w:val="center"/>
                </w:tcPr>
                <w:p>
                  <w:pPr>
                    <w:autoSpaceDE w:val="0"/>
                    <w:autoSpaceDN w:val="0"/>
                    <w:adjustRightInd w:val="0"/>
                    <w:rPr>
                      <w:rFonts w:cs="宋体"/>
                      <w:kern w:val="0"/>
                      <w:szCs w:val="21"/>
                    </w:rPr>
                  </w:pPr>
                  <w:r>
                    <w:rPr>
                      <w:rFonts w:hint="eastAsia" w:cs="宋体"/>
                      <w:kern w:val="0"/>
                      <w:szCs w:val="21"/>
                    </w:rPr>
                    <w:t>项目在厂区出口处配备高压清洗装置对所有车辆车轮、底盘进行冲洗，并设置洗车废水沉淀池。</w:t>
                  </w:r>
                </w:p>
              </w:tc>
            </w:tr>
          </w:tbl>
          <w:p>
            <w:pPr>
              <w:autoSpaceDE w:val="0"/>
              <w:autoSpaceDN w:val="0"/>
              <w:adjustRightInd w:val="0"/>
              <w:snapToGrid w:val="0"/>
              <w:spacing w:line="40" w:lineRule="exact"/>
              <w:ind w:firstLine="480" w:firstLineChars="200"/>
              <w:rPr>
                <w:rFonts w:cs="宋体"/>
                <w:kern w:val="0"/>
                <w:sz w:val="24"/>
              </w:rPr>
            </w:pPr>
          </w:p>
          <w:p>
            <w:pPr>
              <w:autoSpaceDE w:val="0"/>
              <w:autoSpaceDN w:val="0"/>
              <w:adjustRightInd w:val="0"/>
              <w:snapToGrid w:val="0"/>
              <w:spacing w:line="440" w:lineRule="exact"/>
              <w:ind w:firstLine="480" w:firstLineChars="200"/>
              <w:rPr>
                <w:rFonts w:cs="宋体"/>
                <w:kern w:val="0"/>
                <w:sz w:val="24"/>
              </w:rPr>
            </w:pPr>
            <w:r>
              <w:rPr>
                <w:rFonts w:hint="eastAsia" w:cs="宋体"/>
                <w:kern w:val="0"/>
                <w:sz w:val="24"/>
              </w:rPr>
              <w:t>本项目严格按照评价提出的措施进行建设，符合其他行业无组织排放治理方案要求。</w:t>
            </w:r>
          </w:p>
          <w:p>
            <w:pPr>
              <w:autoSpaceDE w:val="0"/>
              <w:autoSpaceDN w:val="0"/>
              <w:adjustRightInd w:val="0"/>
              <w:snapToGrid w:val="0"/>
              <w:spacing w:line="480" w:lineRule="exact"/>
              <w:ind w:firstLine="480" w:firstLineChars="200"/>
              <w:rPr>
                <w:rFonts w:cs="宋体"/>
                <w:b/>
                <w:bCs/>
                <w:kern w:val="0"/>
                <w:sz w:val="24"/>
              </w:rPr>
            </w:pPr>
            <w:r>
              <w:rPr>
                <w:rFonts w:cs="宋体"/>
                <w:kern w:val="0"/>
                <w:sz w:val="24"/>
              </w:rPr>
              <w:t>4</w:t>
            </w:r>
            <w:r>
              <w:rPr>
                <w:rFonts w:hint="eastAsia" w:cs="宋体"/>
                <w:b/>
                <w:bCs/>
                <w:kern w:val="0"/>
                <w:sz w:val="24"/>
              </w:rPr>
              <w:t>、《平顶山市生态环境局关于印发平顶山市2021年工业大气污染物全面达标提升行动方案的通知》（平环〔2021〕57号）相符性分析</w:t>
            </w:r>
          </w:p>
          <w:p>
            <w:pPr>
              <w:autoSpaceDE w:val="0"/>
              <w:autoSpaceDN w:val="0"/>
              <w:adjustRightInd w:val="0"/>
              <w:snapToGrid w:val="0"/>
              <w:spacing w:line="480" w:lineRule="exact"/>
              <w:ind w:firstLine="480" w:firstLineChars="200"/>
              <w:rPr>
                <w:rFonts w:cs="宋体"/>
                <w:kern w:val="0"/>
                <w:sz w:val="24"/>
              </w:rPr>
            </w:pPr>
            <w:r>
              <w:rPr>
                <w:rFonts w:hint="eastAsia" w:cs="宋体"/>
                <w:kern w:val="0"/>
                <w:sz w:val="24"/>
              </w:rPr>
              <w:t>根据《平顶山市生态环境局关于印发平顶山市2021年工业大气污染物全面达标提升行动方案的通知》（平环〔2021〕57号），</w:t>
            </w:r>
            <w:r>
              <w:rPr>
                <w:rFonts w:cs="宋体"/>
                <w:kern w:val="0"/>
                <w:sz w:val="24"/>
              </w:rPr>
              <w:t>与项目</w:t>
            </w:r>
            <w:r>
              <w:rPr>
                <w:rFonts w:hint="eastAsia" w:cs="宋体"/>
                <w:kern w:val="0"/>
                <w:sz w:val="24"/>
              </w:rPr>
              <w:t>有关</w:t>
            </w:r>
            <w:r>
              <w:rPr>
                <w:rFonts w:cs="宋体"/>
                <w:kern w:val="0"/>
                <w:sz w:val="24"/>
              </w:rPr>
              <w:t>内容如下：</w:t>
            </w:r>
          </w:p>
          <w:p>
            <w:pPr>
              <w:autoSpaceDE w:val="0"/>
              <w:autoSpaceDN w:val="0"/>
              <w:adjustRightInd w:val="0"/>
              <w:snapToGrid w:val="0"/>
              <w:spacing w:line="400" w:lineRule="exact"/>
              <w:ind w:firstLine="240" w:firstLineChars="100"/>
              <w:rPr>
                <w:rFonts w:eastAsia="黑体"/>
                <w:sz w:val="24"/>
                <w:szCs w:val="22"/>
              </w:rPr>
            </w:pPr>
          </w:p>
          <w:p>
            <w:pPr>
              <w:autoSpaceDE w:val="0"/>
              <w:autoSpaceDN w:val="0"/>
              <w:adjustRightInd w:val="0"/>
              <w:snapToGrid w:val="0"/>
              <w:spacing w:line="400" w:lineRule="exact"/>
              <w:ind w:firstLine="240" w:firstLineChars="100"/>
              <w:rPr>
                <w:rFonts w:eastAsia="黑体"/>
                <w:sz w:val="24"/>
                <w:szCs w:val="22"/>
              </w:rPr>
            </w:pPr>
          </w:p>
          <w:p>
            <w:pPr>
              <w:autoSpaceDE w:val="0"/>
              <w:autoSpaceDN w:val="0"/>
              <w:adjustRightInd w:val="0"/>
              <w:snapToGrid w:val="0"/>
              <w:spacing w:line="400" w:lineRule="exact"/>
              <w:ind w:firstLine="240" w:firstLineChars="100"/>
              <w:rPr>
                <w:rFonts w:eastAsia="黑体"/>
                <w:sz w:val="24"/>
                <w:szCs w:val="22"/>
              </w:rPr>
            </w:pPr>
          </w:p>
          <w:p>
            <w:pPr>
              <w:autoSpaceDE w:val="0"/>
              <w:autoSpaceDN w:val="0"/>
              <w:adjustRightInd w:val="0"/>
              <w:snapToGrid w:val="0"/>
              <w:spacing w:line="400" w:lineRule="exact"/>
              <w:ind w:firstLine="240" w:firstLineChars="100"/>
              <w:rPr>
                <w:rFonts w:eastAsia="黑体"/>
                <w:sz w:val="24"/>
                <w:szCs w:val="22"/>
              </w:rPr>
            </w:pPr>
            <w:r>
              <w:rPr>
                <w:rFonts w:hint="eastAsia" w:eastAsia="黑体"/>
                <w:sz w:val="24"/>
                <w:szCs w:val="22"/>
              </w:rPr>
              <w:t>表</w:t>
            </w:r>
            <w:r>
              <w:rPr>
                <w:rFonts w:eastAsia="黑体"/>
                <w:sz w:val="24"/>
                <w:szCs w:val="22"/>
              </w:rPr>
              <w:t>5</w:t>
            </w:r>
            <w:r>
              <w:rPr>
                <w:rFonts w:hint="eastAsia" w:eastAsia="黑体"/>
                <w:sz w:val="24"/>
                <w:szCs w:val="22"/>
              </w:rPr>
              <w:t xml:space="preserve">  平顶山市2021年工业大气污染物全面达标提升行动方案相关内容</w:t>
            </w:r>
          </w:p>
          <w:tbl>
            <w:tblPr>
              <w:tblStyle w:val="22"/>
              <w:tblW w:w="8060" w:type="dxa"/>
              <w:tblInd w:w="0"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
            <w:tblGrid>
              <w:gridCol w:w="4712"/>
              <w:gridCol w:w="3348"/>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443" w:hRule="atLeast"/>
              </w:trPr>
              <w:tc>
                <w:tcPr>
                  <w:tcW w:w="4712" w:type="dxa"/>
                  <w:vAlign w:val="center"/>
                </w:tcPr>
                <w:p>
                  <w:pPr>
                    <w:pStyle w:val="49"/>
                    <w:spacing w:line="240" w:lineRule="auto"/>
                    <w:ind w:firstLine="0" w:firstLineChars="0"/>
                    <w:jc w:val="center"/>
                    <w:rPr>
                      <w:rFonts w:ascii="Times New Roman" w:hAnsi="Times New Roman" w:cs="宋体"/>
                      <w:bCs/>
                      <w:kern w:val="0"/>
                      <w:sz w:val="21"/>
                      <w:szCs w:val="21"/>
                    </w:rPr>
                  </w:pPr>
                  <w:r>
                    <w:rPr>
                      <w:rFonts w:hint="eastAsia" w:ascii="Times New Roman" w:hAnsi="Times New Roman" w:cs="宋体"/>
                      <w:bCs/>
                      <w:kern w:val="0"/>
                      <w:sz w:val="21"/>
                      <w:szCs w:val="21"/>
                    </w:rPr>
                    <w:t>相关要求</w:t>
                  </w:r>
                </w:p>
              </w:tc>
              <w:tc>
                <w:tcPr>
                  <w:tcW w:w="3348" w:type="dxa"/>
                  <w:vAlign w:val="center"/>
                </w:tcPr>
                <w:p>
                  <w:pPr>
                    <w:pStyle w:val="49"/>
                    <w:spacing w:line="240" w:lineRule="auto"/>
                    <w:ind w:firstLine="0" w:firstLineChars="0"/>
                    <w:jc w:val="center"/>
                    <w:rPr>
                      <w:rFonts w:ascii="Times New Roman" w:hAnsi="Times New Roman" w:cs="宋体"/>
                      <w:bCs/>
                      <w:kern w:val="0"/>
                      <w:sz w:val="21"/>
                      <w:szCs w:val="21"/>
                    </w:rPr>
                  </w:pPr>
                  <w:r>
                    <w:rPr>
                      <w:rFonts w:hint="eastAsia" w:ascii="Times New Roman" w:hAnsi="Times New Roman" w:cs="宋体"/>
                      <w:bCs/>
                      <w:kern w:val="0"/>
                      <w:sz w:val="21"/>
                      <w:szCs w:val="21"/>
                    </w:rPr>
                    <w:t>项目拟建情况</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443" w:hRule="atLeast"/>
              </w:trPr>
              <w:tc>
                <w:tcPr>
                  <w:tcW w:w="4712" w:type="dxa"/>
                  <w:vAlign w:val="center"/>
                </w:tcPr>
                <w:p>
                  <w:pPr>
                    <w:pStyle w:val="49"/>
                    <w:spacing w:line="240" w:lineRule="auto"/>
                    <w:ind w:firstLine="0" w:firstLineChars="0"/>
                    <w:jc w:val="left"/>
                    <w:rPr>
                      <w:rFonts w:ascii="Times New Roman" w:hAnsi="Times New Roman" w:cs="宋体"/>
                      <w:bCs/>
                      <w:kern w:val="0"/>
                      <w:sz w:val="21"/>
                      <w:szCs w:val="21"/>
                    </w:rPr>
                  </w:pPr>
                  <w:r>
                    <w:rPr>
                      <w:rFonts w:hint="eastAsia" w:ascii="Times New Roman" w:hAnsi="Times New Roman" w:cs="宋体"/>
                      <w:bCs/>
                      <w:kern w:val="0"/>
                      <w:sz w:val="21"/>
                      <w:szCs w:val="21"/>
                    </w:rPr>
                    <w:t>（二）无</w:t>
                  </w:r>
                  <w:r>
                    <w:rPr>
                      <w:rFonts w:ascii="Times New Roman" w:hAnsi="Times New Roman" w:cs="宋体"/>
                      <w:bCs/>
                      <w:kern w:val="0"/>
                      <w:sz w:val="21"/>
                      <w:szCs w:val="21"/>
                    </w:rPr>
                    <w:t>组织排放。</w:t>
                  </w:r>
                  <w:r>
                    <w:rPr>
                      <w:rFonts w:hint="eastAsia" w:ascii="Times New Roman" w:hAnsi="Times New Roman" w:cs="宋体"/>
                      <w:bCs/>
                      <w:kern w:val="0"/>
                      <w:sz w:val="21"/>
                      <w:szCs w:val="21"/>
                    </w:rPr>
                    <w:t>无组织</w:t>
                  </w:r>
                  <w:r>
                    <w:rPr>
                      <w:rFonts w:ascii="Times New Roman" w:hAnsi="Times New Roman" w:cs="宋体"/>
                      <w:bCs/>
                      <w:kern w:val="0"/>
                      <w:sz w:val="21"/>
                      <w:szCs w:val="21"/>
                    </w:rPr>
                    <w:t>排放治理应达到大气污染防治攻坚治理措施要求，针对原料运输、贮存、装卸、混合、</w:t>
                  </w:r>
                  <w:r>
                    <w:rPr>
                      <w:rFonts w:hint="eastAsia" w:ascii="Times New Roman" w:hAnsi="Times New Roman" w:cs="宋体"/>
                      <w:bCs/>
                      <w:kern w:val="0"/>
                      <w:sz w:val="21"/>
                      <w:szCs w:val="21"/>
                    </w:rPr>
                    <w:t>转运</w:t>
                  </w:r>
                  <w:r>
                    <w:rPr>
                      <w:rFonts w:ascii="Times New Roman" w:hAnsi="Times New Roman" w:cs="宋体"/>
                      <w:bCs/>
                      <w:kern w:val="0"/>
                      <w:sz w:val="21"/>
                      <w:szCs w:val="21"/>
                    </w:rPr>
                    <w:t>、加装、工艺过程、产品出料、包装等各个</w:t>
                  </w:r>
                  <w:r>
                    <w:rPr>
                      <w:rFonts w:hint="eastAsia" w:ascii="Times New Roman" w:hAnsi="Times New Roman" w:cs="宋体"/>
                      <w:bCs/>
                      <w:kern w:val="0"/>
                      <w:sz w:val="21"/>
                      <w:szCs w:val="21"/>
                    </w:rPr>
                    <w:t>生产</w:t>
                  </w:r>
                  <w:r>
                    <w:rPr>
                      <w:rFonts w:ascii="Times New Roman" w:hAnsi="Times New Roman" w:cs="宋体"/>
                      <w:bCs/>
                      <w:kern w:val="0"/>
                      <w:sz w:val="21"/>
                      <w:szCs w:val="21"/>
                    </w:rPr>
                    <w:t>环节，持续做好全流程控制</w:t>
                  </w:r>
                  <w:r>
                    <w:rPr>
                      <w:rFonts w:hint="eastAsia" w:ascii="Times New Roman" w:hAnsi="Times New Roman" w:cs="宋体"/>
                      <w:bCs/>
                      <w:kern w:val="0"/>
                      <w:sz w:val="21"/>
                      <w:szCs w:val="21"/>
                    </w:rPr>
                    <w:t>、</w:t>
                  </w:r>
                  <w:r>
                    <w:rPr>
                      <w:rFonts w:ascii="Times New Roman" w:hAnsi="Times New Roman" w:cs="宋体"/>
                      <w:bCs/>
                      <w:kern w:val="0"/>
                      <w:sz w:val="21"/>
                      <w:szCs w:val="21"/>
                    </w:rPr>
                    <w:t>收集、净化处理工作，完善</w:t>
                  </w:r>
                  <w:r>
                    <w:rPr>
                      <w:rFonts w:hint="eastAsia" w:ascii="Times New Roman" w:hAnsi="Times New Roman" w:cs="宋体"/>
                      <w:bCs/>
                      <w:kern w:val="0"/>
                      <w:sz w:val="21"/>
                      <w:szCs w:val="21"/>
                    </w:rPr>
                    <w:t>在线</w:t>
                  </w:r>
                  <w:r>
                    <w:rPr>
                      <w:rFonts w:ascii="Times New Roman" w:hAnsi="Times New Roman" w:cs="宋体"/>
                      <w:bCs/>
                      <w:kern w:val="0"/>
                      <w:sz w:val="21"/>
                      <w:szCs w:val="21"/>
                    </w:rPr>
                    <w:t>监测、视频监控和相应的污染物排放监测设备，全面实现“</w:t>
                  </w:r>
                  <w:r>
                    <w:rPr>
                      <w:rFonts w:hint="eastAsia" w:ascii="Times New Roman" w:hAnsi="Times New Roman" w:cs="宋体"/>
                      <w:bCs/>
                      <w:kern w:val="0"/>
                      <w:sz w:val="21"/>
                      <w:szCs w:val="21"/>
                    </w:rPr>
                    <w:t>五</w:t>
                  </w:r>
                  <w:r>
                    <w:rPr>
                      <w:rFonts w:ascii="Times New Roman" w:hAnsi="Times New Roman" w:cs="宋体"/>
                      <w:bCs/>
                      <w:kern w:val="0"/>
                      <w:sz w:val="21"/>
                      <w:szCs w:val="21"/>
                    </w:rPr>
                    <w:t>到位、一密闭”</w:t>
                  </w:r>
                  <w:r>
                    <w:rPr>
                      <w:rFonts w:hint="eastAsia" w:ascii="Times New Roman" w:hAnsi="Times New Roman" w:cs="宋体"/>
                      <w:bCs/>
                      <w:kern w:val="0"/>
                      <w:sz w:val="21"/>
                      <w:szCs w:val="21"/>
                    </w:rPr>
                    <w:t>（生产</w:t>
                  </w:r>
                  <w:r>
                    <w:rPr>
                      <w:rFonts w:ascii="Times New Roman" w:hAnsi="Times New Roman" w:cs="宋体"/>
                      <w:bCs/>
                      <w:kern w:val="0"/>
                      <w:sz w:val="21"/>
                      <w:szCs w:val="21"/>
                    </w:rPr>
                    <w:t>过程收尘到位，物料运输抑尘到位，厂区道路除尘到位，裸露土地绿化到位，无</w:t>
                  </w:r>
                  <w:r>
                    <w:rPr>
                      <w:rFonts w:hint="eastAsia" w:ascii="Times New Roman" w:hAnsi="Times New Roman" w:cs="宋体"/>
                      <w:bCs/>
                      <w:kern w:val="0"/>
                      <w:sz w:val="21"/>
                      <w:szCs w:val="21"/>
                    </w:rPr>
                    <w:t>组织</w:t>
                  </w:r>
                  <w:r>
                    <w:rPr>
                      <w:rFonts w:ascii="Times New Roman" w:hAnsi="Times New Roman" w:cs="宋体"/>
                      <w:bCs/>
                      <w:kern w:val="0"/>
                      <w:sz w:val="21"/>
                      <w:szCs w:val="21"/>
                    </w:rPr>
                    <w:t>排放监控到位；厂区内贮存的各类易产生粉尘的物料及燃料全部密闭</w:t>
                  </w:r>
                  <w:r>
                    <w:rPr>
                      <w:rFonts w:hint="eastAsia" w:ascii="Times New Roman" w:hAnsi="Times New Roman" w:cs="宋体"/>
                      <w:bCs/>
                      <w:kern w:val="0"/>
                      <w:sz w:val="21"/>
                      <w:szCs w:val="21"/>
                    </w:rPr>
                    <w:t>）；</w:t>
                  </w:r>
                  <w:r>
                    <w:rPr>
                      <w:rFonts w:ascii="Times New Roman" w:hAnsi="Times New Roman" w:cs="宋体"/>
                      <w:bCs/>
                      <w:kern w:val="0"/>
                      <w:sz w:val="21"/>
                      <w:szCs w:val="21"/>
                    </w:rPr>
                    <w:t>涉及挥发性有机物无组织排放的企业应满足《</w:t>
                  </w:r>
                  <w:r>
                    <w:rPr>
                      <w:rFonts w:hint="eastAsia" w:ascii="Times New Roman" w:hAnsi="Times New Roman" w:cs="宋体"/>
                      <w:bCs/>
                      <w:kern w:val="0"/>
                      <w:sz w:val="21"/>
                      <w:szCs w:val="21"/>
                    </w:rPr>
                    <w:t>挥发性有机物</w:t>
                  </w:r>
                  <w:r>
                    <w:rPr>
                      <w:rFonts w:ascii="Times New Roman" w:hAnsi="Times New Roman" w:cs="宋体"/>
                      <w:bCs/>
                      <w:kern w:val="0"/>
                      <w:sz w:val="21"/>
                      <w:szCs w:val="21"/>
                    </w:rPr>
                    <w:t>无组织排放控制标准》</w:t>
                  </w:r>
                  <w:r>
                    <w:rPr>
                      <w:rFonts w:hint="eastAsia" w:ascii="Times New Roman" w:hAnsi="Times New Roman" w:cs="宋体"/>
                      <w:bCs/>
                      <w:kern w:val="0"/>
                      <w:sz w:val="21"/>
                      <w:szCs w:val="21"/>
                    </w:rPr>
                    <w:t>（GB</w:t>
                  </w:r>
                  <w:r>
                    <w:rPr>
                      <w:rFonts w:ascii="Times New Roman" w:hAnsi="Times New Roman" w:cs="宋体"/>
                      <w:bCs/>
                      <w:kern w:val="0"/>
                      <w:sz w:val="21"/>
                      <w:szCs w:val="21"/>
                    </w:rPr>
                    <w:t>37822-2019</w:t>
                  </w:r>
                  <w:r>
                    <w:rPr>
                      <w:rFonts w:hint="eastAsia" w:ascii="Times New Roman" w:hAnsi="Times New Roman" w:cs="宋体"/>
                      <w:bCs/>
                      <w:kern w:val="0"/>
                      <w:sz w:val="21"/>
                      <w:szCs w:val="21"/>
                    </w:rPr>
                    <w:t>）要求</w:t>
                  </w:r>
                  <w:r>
                    <w:rPr>
                      <w:rFonts w:ascii="Times New Roman" w:hAnsi="Times New Roman" w:cs="宋体"/>
                      <w:bCs/>
                      <w:kern w:val="0"/>
                      <w:sz w:val="21"/>
                      <w:szCs w:val="21"/>
                    </w:rPr>
                    <w:t>。</w:t>
                  </w:r>
                </w:p>
              </w:tc>
              <w:tc>
                <w:tcPr>
                  <w:tcW w:w="3348" w:type="dxa"/>
                  <w:vAlign w:val="center"/>
                </w:tcPr>
                <w:p>
                  <w:pPr>
                    <w:pStyle w:val="49"/>
                    <w:spacing w:line="240" w:lineRule="auto"/>
                    <w:ind w:firstLine="0" w:firstLineChars="0"/>
                    <w:jc w:val="left"/>
                    <w:rPr>
                      <w:rFonts w:ascii="Times New Roman" w:hAnsi="Times New Roman" w:cs="宋体"/>
                      <w:bCs/>
                      <w:kern w:val="0"/>
                      <w:sz w:val="21"/>
                      <w:szCs w:val="21"/>
                    </w:rPr>
                  </w:pPr>
                  <w:r>
                    <w:rPr>
                      <w:rFonts w:ascii="Times New Roman" w:hAnsi="Times New Roman" w:cs="宋体"/>
                      <w:bCs/>
                      <w:kern w:val="0"/>
                      <w:sz w:val="21"/>
                      <w:szCs w:val="21"/>
                    </w:rPr>
                    <w:t>项目按照“</w:t>
                  </w:r>
                  <w:r>
                    <w:rPr>
                      <w:rFonts w:hint="eastAsia" w:ascii="Times New Roman" w:hAnsi="Times New Roman" w:cs="宋体"/>
                      <w:bCs/>
                      <w:kern w:val="0"/>
                      <w:sz w:val="21"/>
                      <w:szCs w:val="21"/>
                    </w:rPr>
                    <w:t>五</w:t>
                  </w:r>
                  <w:r>
                    <w:rPr>
                      <w:rFonts w:ascii="Times New Roman" w:hAnsi="Times New Roman" w:cs="宋体"/>
                      <w:bCs/>
                      <w:kern w:val="0"/>
                      <w:sz w:val="21"/>
                      <w:szCs w:val="21"/>
                    </w:rPr>
                    <w:t>到位、一密闭”</w:t>
                  </w:r>
                  <w:r>
                    <w:rPr>
                      <w:rFonts w:hint="eastAsia" w:ascii="Times New Roman" w:hAnsi="Times New Roman" w:cs="宋体"/>
                      <w:bCs/>
                      <w:kern w:val="0"/>
                      <w:sz w:val="21"/>
                      <w:szCs w:val="21"/>
                    </w:rPr>
                    <w:t>相关</w:t>
                  </w:r>
                  <w:r>
                    <w:rPr>
                      <w:rFonts w:ascii="Times New Roman" w:hAnsi="Times New Roman" w:cs="宋体"/>
                      <w:bCs/>
                      <w:kern w:val="0"/>
                      <w:sz w:val="21"/>
                      <w:szCs w:val="21"/>
                    </w:rPr>
                    <w:t>内容</w:t>
                  </w:r>
                  <w:r>
                    <w:rPr>
                      <w:rFonts w:hint="eastAsia" w:ascii="Times New Roman" w:hAnsi="Times New Roman" w:cs="宋体"/>
                      <w:bCs/>
                      <w:kern w:val="0"/>
                      <w:sz w:val="21"/>
                      <w:szCs w:val="21"/>
                    </w:rPr>
                    <w:t>进行</w:t>
                  </w:r>
                  <w:r>
                    <w:rPr>
                      <w:rFonts w:ascii="Times New Roman" w:hAnsi="Times New Roman" w:cs="宋体"/>
                      <w:bCs/>
                      <w:kern w:val="0"/>
                      <w:sz w:val="21"/>
                      <w:szCs w:val="21"/>
                    </w:rPr>
                    <w:t>建设，厂区</w:t>
                  </w:r>
                  <w:r>
                    <w:rPr>
                      <w:rFonts w:hint="eastAsia" w:ascii="Times New Roman" w:hAnsi="Times New Roman" w:cs="宋体"/>
                      <w:bCs/>
                      <w:kern w:val="0"/>
                      <w:sz w:val="21"/>
                      <w:szCs w:val="21"/>
                    </w:rPr>
                    <w:t>除</w:t>
                  </w:r>
                  <w:r>
                    <w:rPr>
                      <w:rFonts w:ascii="Times New Roman" w:hAnsi="Times New Roman" w:cs="宋体"/>
                      <w:bCs/>
                      <w:kern w:val="0"/>
                      <w:sz w:val="21"/>
                      <w:szCs w:val="21"/>
                    </w:rPr>
                    <w:t>绿化用地外全部硬化，各工艺</w:t>
                  </w:r>
                  <w:r>
                    <w:rPr>
                      <w:rFonts w:hint="eastAsia" w:ascii="Times New Roman" w:hAnsi="Times New Roman" w:cs="宋体"/>
                      <w:bCs/>
                      <w:kern w:val="0"/>
                      <w:sz w:val="21"/>
                      <w:szCs w:val="21"/>
                    </w:rPr>
                    <w:t>产</w:t>
                  </w:r>
                  <w:r>
                    <w:rPr>
                      <w:rFonts w:ascii="Times New Roman" w:hAnsi="Times New Roman" w:cs="宋体"/>
                      <w:bCs/>
                      <w:kern w:val="0"/>
                      <w:sz w:val="21"/>
                      <w:szCs w:val="21"/>
                    </w:rPr>
                    <w:t>尘</w:t>
                  </w:r>
                  <w:r>
                    <w:rPr>
                      <w:rFonts w:hint="eastAsia" w:ascii="Times New Roman" w:hAnsi="Times New Roman" w:cs="宋体"/>
                      <w:bCs/>
                      <w:kern w:val="0"/>
                      <w:sz w:val="21"/>
                      <w:szCs w:val="21"/>
                    </w:rPr>
                    <w:t>环节</w:t>
                  </w:r>
                  <w:r>
                    <w:rPr>
                      <w:rFonts w:ascii="Times New Roman" w:hAnsi="Times New Roman" w:cs="宋体"/>
                      <w:bCs/>
                      <w:kern w:val="0"/>
                      <w:sz w:val="21"/>
                      <w:szCs w:val="21"/>
                    </w:rPr>
                    <w:t>均采用</w:t>
                  </w:r>
                  <w:r>
                    <w:rPr>
                      <w:rFonts w:hint="eastAsia" w:ascii="Times New Roman" w:hAnsi="Times New Roman" w:cs="宋体"/>
                      <w:bCs/>
                      <w:kern w:val="0"/>
                      <w:sz w:val="21"/>
                      <w:szCs w:val="21"/>
                    </w:rPr>
                    <w:t>脉冲</w:t>
                  </w:r>
                  <w:r>
                    <w:rPr>
                      <w:rFonts w:ascii="Times New Roman" w:hAnsi="Times New Roman" w:cs="宋体"/>
                      <w:bCs/>
                      <w:kern w:val="0"/>
                      <w:sz w:val="21"/>
                      <w:szCs w:val="21"/>
                    </w:rPr>
                    <w:t>袋式除尘器进行</w:t>
                  </w:r>
                  <w:r>
                    <w:rPr>
                      <w:rFonts w:hint="eastAsia" w:ascii="Times New Roman" w:hAnsi="Times New Roman" w:cs="宋体"/>
                      <w:bCs/>
                      <w:kern w:val="0"/>
                      <w:sz w:val="21"/>
                      <w:szCs w:val="21"/>
                    </w:rPr>
                    <w:t>收尘</w:t>
                  </w:r>
                  <w:r>
                    <w:rPr>
                      <w:rFonts w:ascii="Times New Roman" w:hAnsi="Times New Roman" w:cs="宋体"/>
                      <w:bCs/>
                      <w:kern w:val="0"/>
                      <w:sz w:val="21"/>
                      <w:szCs w:val="21"/>
                    </w:rPr>
                    <w:t>，</w:t>
                  </w:r>
                  <w:r>
                    <w:rPr>
                      <w:rFonts w:hint="eastAsia" w:ascii="Times New Roman" w:hAnsi="Times New Roman" w:cs="宋体"/>
                      <w:bCs/>
                      <w:kern w:val="0"/>
                      <w:sz w:val="21"/>
                      <w:szCs w:val="21"/>
                    </w:rPr>
                    <w:t>分选及</w:t>
                  </w:r>
                  <w:r>
                    <w:rPr>
                      <w:rFonts w:ascii="Times New Roman" w:hAnsi="Times New Roman" w:cs="宋体"/>
                      <w:bCs/>
                      <w:kern w:val="0"/>
                      <w:sz w:val="21"/>
                      <w:szCs w:val="21"/>
                    </w:rPr>
                    <w:t>粉磨生产</w:t>
                  </w:r>
                  <w:r>
                    <w:rPr>
                      <w:rFonts w:hint="eastAsia" w:ascii="Times New Roman" w:hAnsi="Times New Roman" w:cs="宋体"/>
                      <w:bCs/>
                      <w:kern w:val="0"/>
                      <w:sz w:val="21"/>
                      <w:szCs w:val="21"/>
                    </w:rPr>
                    <w:t>车间</w:t>
                  </w:r>
                  <w:r>
                    <w:rPr>
                      <w:rFonts w:ascii="Times New Roman" w:hAnsi="Times New Roman" w:cs="宋体"/>
                      <w:bCs/>
                      <w:kern w:val="0"/>
                      <w:sz w:val="21"/>
                      <w:szCs w:val="21"/>
                    </w:rPr>
                    <w:t>全</w:t>
                  </w:r>
                  <w:r>
                    <w:rPr>
                      <w:rFonts w:hint="eastAsia" w:ascii="Times New Roman" w:hAnsi="Times New Roman" w:cs="宋体"/>
                      <w:bCs/>
                      <w:kern w:val="0"/>
                      <w:sz w:val="21"/>
                      <w:szCs w:val="21"/>
                    </w:rPr>
                    <w:t>密闭</w:t>
                  </w:r>
                  <w:r>
                    <w:rPr>
                      <w:rFonts w:ascii="Times New Roman" w:hAnsi="Times New Roman" w:cs="宋体"/>
                      <w:bCs/>
                      <w:kern w:val="0"/>
                      <w:sz w:val="21"/>
                      <w:szCs w:val="21"/>
                    </w:rPr>
                    <w:t>，</w:t>
                  </w:r>
                  <w:r>
                    <w:rPr>
                      <w:rFonts w:hint="eastAsia" w:ascii="Times New Roman" w:hAnsi="Times New Roman" w:cs="宋体"/>
                      <w:bCs/>
                      <w:kern w:val="0"/>
                      <w:sz w:val="21"/>
                      <w:szCs w:val="21"/>
                    </w:rPr>
                    <w:t>派专人</w:t>
                  </w:r>
                  <w:r>
                    <w:rPr>
                      <w:rFonts w:hint="eastAsia" w:ascii="Times New Roman" w:hAnsi="Times New Roman" w:cs="宋体"/>
                      <w:kern w:val="0"/>
                      <w:sz w:val="21"/>
                      <w:szCs w:val="21"/>
                    </w:rPr>
                    <w:t>及时对厂区道路清扫，保证无积尘。</w:t>
                  </w:r>
                </w:p>
              </w:tc>
            </w:tr>
          </w:tbl>
          <w:p>
            <w:pPr>
              <w:autoSpaceDE w:val="0"/>
              <w:autoSpaceDN w:val="0"/>
              <w:adjustRightInd w:val="0"/>
              <w:snapToGrid w:val="0"/>
              <w:spacing w:line="440" w:lineRule="exact"/>
              <w:ind w:firstLine="480" w:firstLineChars="200"/>
              <w:rPr>
                <w:rFonts w:cs="宋体"/>
                <w:kern w:val="0"/>
                <w:sz w:val="24"/>
              </w:rPr>
            </w:pPr>
            <w:r>
              <w:rPr>
                <w:rFonts w:hint="eastAsia" w:cs="宋体"/>
                <w:kern w:val="0"/>
                <w:sz w:val="24"/>
              </w:rPr>
              <w:t>本项目将严格按照平顶山市2021年工业大气污染物全面达标提升行动方案内容</w:t>
            </w:r>
            <w:r>
              <w:rPr>
                <w:rFonts w:cs="宋体"/>
                <w:kern w:val="0"/>
                <w:sz w:val="24"/>
              </w:rPr>
              <w:t>进行建设</w:t>
            </w:r>
            <w:r>
              <w:rPr>
                <w:rFonts w:hint="eastAsia" w:cs="宋体"/>
                <w:kern w:val="0"/>
                <w:sz w:val="24"/>
              </w:rPr>
              <w:t>，以</w:t>
            </w:r>
            <w:r>
              <w:rPr>
                <w:rFonts w:cs="宋体"/>
                <w:kern w:val="0"/>
                <w:sz w:val="24"/>
              </w:rPr>
              <w:t>符合相关要求</w:t>
            </w:r>
            <w:r>
              <w:rPr>
                <w:rFonts w:hint="eastAsia" w:cs="宋体"/>
                <w:kern w:val="0"/>
                <w:sz w:val="24"/>
              </w:rPr>
              <w:t>。</w:t>
            </w:r>
          </w:p>
          <w:p>
            <w:pPr>
              <w:autoSpaceDE w:val="0"/>
              <w:autoSpaceDN w:val="0"/>
              <w:adjustRightInd w:val="0"/>
              <w:snapToGrid w:val="0"/>
              <w:spacing w:line="480" w:lineRule="exact"/>
              <w:ind w:firstLine="480" w:firstLineChars="200"/>
              <w:rPr>
                <w:rFonts w:cs="宋体"/>
                <w:b/>
                <w:bCs/>
                <w:kern w:val="0"/>
                <w:sz w:val="24"/>
              </w:rPr>
            </w:pPr>
            <w:r>
              <w:rPr>
                <w:rFonts w:cs="宋体"/>
                <w:kern w:val="0"/>
                <w:sz w:val="24"/>
              </w:rPr>
              <w:t>5</w:t>
            </w:r>
            <w:r>
              <w:rPr>
                <w:rFonts w:hint="eastAsia" w:cs="宋体"/>
                <w:b/>
                <w:bCs/>
                <w:kern w:val="0"/>
                <w:sz w:val="24"/>
              </w:rPr>
              <w:t>、《河南省重</w:t>
            </w:r>
            <w:r>
              <w:rPr>
                <w:rFonts w:cs="宋体"/>
                <w:b/>
                <w:bCs/>
                <w:kern w:val="0"/>
                <w:sz w:val="24"/>
              </w:rPr>
              <w:t>污染天气通用行业应急减排措施制定技术指南</w:t>
            </w:r>
            <w:r>
              <w:rPr>
                <w:rFonts w:hint="eastAsia" w:cs="宋体"/>
                <w:b/>
                <w:bCs/>
                <w:kern w:val="0"/>
                <w:sz w:val="24"/>
              </w:rPr>
              <w:t>（2021年修订稿）》（2</w:t>
            </w:r>
            <w:r>
              <w:rPr>
                <w:rFonts w:cs="宋体"/>
                <w:b/>
                <w:bCs/>
                <w:kern w:val="0"/>
                <w:sz w:val="24"/>
              </w:rPr>
              <w:t>021</w:t>
            </w:r>
            <w:r>
              <w:rPr>
                <w:rFonts w:hint="eastAsia" w:cs="宋体"/>
                <w:b/>
                <w:bCs/>
                <w:kern w:val="0"/>
                <w:sz w:val="24"/>
              </w:rPr>
              <w:t>年7月</w:t>
            </w:r>
            <w:r>
              <w:rPr>
                <w:rFonts w:cs="宋体"/>
                <w:b/>
                <w:bCs/>
                <w:kern w:val="0"/>
                <w:sz w:val="24"/>
              </w:rPr>
              <w:t>，河南省</w:t>
            </w:r>
            <w:r>
              <w:rPr>
                <w:rFonts w:hint="eastAsia" w:cs="宋体"/>
                <w:b/>
                <w:bCs/>
                <w:kern w:val="0"/>
                <w:sz w:val="24"/>
              </w:rPr>
              <w:t>生态</w:t>
            </w:r>
            <w:r>
              <w:rPr>
                <w:rFonts w:cs="宋体"/>
                <w:b/>
                <w:bCs/>
                <w:kern w:val="0"/>
                <w:sz w:val="24"/>
              </w:rPr>
              <w:t>环境厅</w:t>
            </w:r>
            <w:r>
              <w:rPr>
                <w:rFonts w:hint="eastAsia" w:cs="宋体"/>
                <w:b/>
                <w:bCs/>
                <w:kern w:val="0"/>
                <w:sz w:val="24"/>
              </w:rPr>
              <w:t>）</w:t>
            </w:r>
          </w:p>
          <w:p>
            <w:pPr>
              <w:autoSpaceDE w:val="0"/>
              <w:autoSpaceDN w:val="0"/>
              <w:adjustRightInd w:val="0"/>
              <w:snapToGrid w:val="0"/>
              <w:spacing w:line="480" w:lineRule="exact"/>
              <w:ind w:firstLine="480" w:firstLineChars="200"/>
              <w:rPr>
                <w:rFonts w:cs="宋体"/>
                <w:b/>
                <w:bCs/>
                <w:kern w:val="0"/>
                <w:sz w:val="24"/>
              </w:rPr>
            </w:pPr>
            <w:r>
              <w:rPr>
                <w:rFonts w:hint="eastAsia" w:ascii="宋体" w:hAnsi="宋体" w:cs="宋体"/>
                <w:kern w:val="0"/>
                <w:sz w:val="24"/>
              </w:rPr>
              <w:t>根据《河南省2021年大气污染防治攻坚战实施方案》要求“完善生态环境准入清单，强化项目环评及“三同时”管理，国家、省绩效分级重点行业的新建、改建、扩建项目达到B级以上要求”，本项目为</w:t>
            </w:r>
            <w:r>
              <w:rPr>
                <w:rFonts w:ascii="宋体" w:hAnsi="宋体" w:cs="宋体"/>
                <w:kern w:val="0"/>
                <w:sz w:val="24"/>
              </w:rPr>
              <w:t>废弃资源综合利用业</w:t>
            </w:r>
            <w:r>
              <w:rPr>
                <w:rFonts w:hint="eastAsia" w:ascii="宋体" w:hAnsi="宋体" w:cs="宋体"/>
                <w:kern w:val="0"/>
                <w:sz w:val="24"/>
              </w:rPr>
              <w:t>，属于河南省</w:t>
            </w:r>
            <w:r>
              <w:rPr>
                <w:rFonts w:ascii="宋体" w:hAnsi="宋体" w:cs="宋体"/>
                <w:kern w:val="0"/>
                <w:sz w:val="24"/>
              </w:rPr>
              <w:t>重污染天气通用行业</w:t>
            </w:r>
            <w:r>
              <w:rPr>
                <w:rFonts w:hint="eastAsia" w:ascii="宋体" w:hAnsi="宋体" w:cs="宋体"/>
                <w:kern w:val="0"/>
                <w:sz w:val="24"/>
              </w:rPr>
              <w:t>涉颗粒物</w:t>
            </w:r>
            <w:r>
              <w:rPr>
                <w:rFonts w:ascii="宋体" w:hAnsi="宋体" w:cs="宋体"/>
                <w:kern w:val="0"/>
                <w:sz w:val="24"/>
              </w:rPr>
              <w:t>企业</w:t>
            </w:r>
            <w:r>
              <w:rPr>
                <w:rFonts w:hint="eastAsia" w:ascii="宋体" w:hAnsi="宋体" w:cs="宋体"/>
                <w:kern w:val="0"/>
                <w:sz w:val="24"/>
              </w:rPr>
              <w:t>，项目与绩效分级先进性分析对照如下。</w:t>
            </w:r>
          </w:p>
          <w:p>
            <w:pPr>
              <w:autoSpaceDE w:val="0"/>
              <w:autoSpaceDN w:val="0"/>
              <w:adjustRightInd w:val="0"/>
              <w:snapToGrid w:val="0"/>
              <w:spacing w:line="400" w:lineRule="exact"/>
              <w:ind w:firstLine="720" w:firstLineChars="300"/>
              <w:rPr>
                <w:rFonts w:eastAsia="黑体"/>
                <w:sz w:val="24"/>
                <w:szCs w:val="22"/>
              </w:rPr>
            </w:pPr>
            <w:r>
              <w:rPr>
                <w:rFonts w:hint="eastAsia" w:eastAsia="黑体"/>
                <w:sz w:val="24"/>
                <w:szCs w:val="22"/>
              </w:rPr>
              <w:t>表</w:t>
            </w:r>
            <w:r>
              <w:rPr>
                <w:rFonts w:eastAsia="黑体"/>
                <w:sz w:val="24"/>
                <w:szCs w:val="22"/>
              </w:rPr>
              <w:t>6</w:t>
            </w:r>
            <w:r>
              <w:rPr>
                <w:rFonts w:hint="eastAsia" w:eastAsia="黑体"/>
                <w:sz w:val="24"/>
                <w:szCs w:val="22"/>
              </w:rPr>
              <w:t xml:space="preserve">  </w:t>
            </w:r>
            <w:r>
              <w:rPr>
                <w:rFonts w:eastAsia="黑体"/>
                <w:sz w:val="24"/>
                <w:szCs w:val="22"/>
              </w:rPr>
              <w:t xml:space="preserve">      </w:t>
            </w:r>
            <w:r>
              <w:rPr>
                <w:rFonts w:hint="eastAsia" w:eastAsia="黑体"/>
                <w:sz w:val="24"/>
                <w:szCs w:val="22"/>
              </w:rPr>
              <w:t xml:space="preserve"> </w:t>
            </w:r>
            <w:r>
              <w:rPr>
                <w:rFonts w:hint="eastAsia" w:cs="宋体"/>
                <w:b/>
                <w:bCs/>
                <w:kern w:val="0"/>
                <w:sz w:val="24"/>
              </w:rPr>
              <w:t>河南省重</w:t>
            </w:r>
            <w:r>
              <w:rPr>
                <w:rFonts w:cs="宋体"/>
                <w:b/>
                <w:bCs/>
                <w:kern w:val="0"/>
                <w:sz w:val="24"/>
              </w:rPr>
              <w:t>污染天气通用行</w:t>
            </w:r>
            <w:r>
              <w:rPr>
                <w:rFonts w:hint="eastAsia" w:cs="宋体"/>
                <w:b/>
                <w:bCs/>
                <w:kern w:val="0"/>
                <w:sz w:val="24"/>
              </w:rPr>
              <w:t>业涉颗粒物</w:t>
            </w:r>
            <w:r>
              <w:rPr>
                <w:rFonts w:cs="宋体"/>
                <w:b/>
                <w:bCs/>
                <w:kern w:val="0"/>
                <w:sz w:val="24"/>
              </w:rPr>
              <w:t>企业</w:t>
            </w:r>
            <w:r>
              <w:rPr>
                <w:rFonts w:hint="eastAsia" w:cs="宋体"/>
                <w:b/>
                <w:bCs/>
                <w:kern w:val="0"/>
                <w:sz w:val="24"/>
              </w:rPr>
              <w:t>有关</w:t>
            </w:r>
            <w:r>
              <w:rPr>
                <w:rFonts w:cs="宋体"/>
                <w:b/>
                <w:bCs/>
                <w:kern w:val="0"/>
                <w:sz w:val="24"/>
              </w:rPr>
              <w:t>要求</w:t>
            </w:r>
          </w:p>
          <w:tbl>
            <w:tblPr>
              <w:tblStyle w:val="22"/>
              <w:tblW w:w="8167" w:type="dxa"/>
              <w:tblInd w:w="0"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28" w:type="dxa"/>
                <w:left w:w="28" w:type="dxa"/>
                <w:bottom w:w="28" w:type="dxa"/>
                <w:right w:w="28" w:type="dxa"/>
              </w:tblCellMar>
            </w:tblPr>
            <w:tblGrid>
              <w:gridCol w:w="654"/>
              <w:gridCol w:w="4820"/>
              <w:gridCol w:w="2194"/>
              <w:gridCol w:w="14"/>
              <w:gridCol w:w="485"/>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28" w:type="dxa"/>
                  <w:left w:w="28" w:type="dxa"/>
                  <w:bottom w:w="28" w:type="dxa"/>
                  <w:right w:w="28" w:type="dxa"/>
                </w:tblCellMar>
              </w:tblPrEx>
              <w:trPr>
                <w:trHeight w:val="443" w:hRule="atLeast"/>
              </w:trPr>
              <w:tc>
                <w:tcPr>
                  <w:tcW w:w="654" w:type="dxa"/>
                  <w:vAlign w:val="center"/>
                </w:tcPr>
                <w:p>
                  <w:pPr>
                    <w:pStyle w:val="49"/>
                    <w:spacing w:line="240" w:lineRule="auto"/>
                    <w:ind w:firstLine="0" w:firstLineChars="0"/>
                    <w:jc w:val="center"/>
                    <w:rPr>
                      <w:rFonts w:ascii="Times New Roman" w:hAnsi="Times New Roman" w:cs="宋体"/>
                      <w:bCs/>
                      <w:kern w:val="0"/>
                      <w:sz w:val="21"/>
                      <w:szCs w:val="21"/>
                    </w:rPr>
                  </w:pPr>
                  <w:r>
                    <w:rPr>
                      <w:rFonts w:hint="eastAsia" w:ascii="Times New Roman" w:hAnsi="Times New Roman" w:cs="宋体"/>
                      <w:bCs/>
                      <w:kern w:val="0"/>
                      <w:sz w:val="21"/>
                      <w:szCs w:val="21"/>
                    </w:rPr>
                    <w:t>项目</w:t>
                  </w:r>
                </w:p>
              </w:tc>
              <w:tc>
                <w:tcPr>
                  <w:tcW w:w="4820" w:type="dxa"/>
                  <w:vAlign w:val="center"/>
                </w:tcPr>
                <w:p>
                  <w:pPr>
                    <w:pStyle w:val="49"/>
                    <w:spacing w:line="240" w:lineRule="auto"/>
                    <w:ind w:firstLine="0" w:firstLineChars="0"/>
                    <w:jc w:val="center"/>
                    <w:rPr>
                      <w:rFonts w:ascii="Times New Roman" w:hAnsi="Times New Roman" w:cs="宋体"/>
                      <w:bCs/>
                      <w:kern w:val="0"/>
                      <w:sz w:val="21"/>
                      <w:szCs w:val="21"/>
                    </w:rPr>
                  </w:pPr>
                  <w:r>
                    <w:rPr>
                      <w:rFonts w:hint="eastAsia" w:ascii="Times New Roman" w:hAnsi="Times New Roman" w:cs="宋体"/>
                      <w:bCs/>
                      <w:kern w:val="0"/>
                      <w:sz w:val="21"/>
                      <w:szCs w:val="21"/>
                    </w:rPr>
                    <w:t>相关要求</w:t>
                  </w:r>
                </w:p>
              </w:tc>
              <w:tc>
                <w:tcPr>
                  <w:tcW w:w="2208" w:type="dxa"/>
                  <w:gridSpan w:val="2"/>
                  <w:tcBorders>
                    <w:right w:val="single" w:color="auto" w:sz="4" w:space="0"/>
                  </w:tcBorders>
                  <w:vAlign w:val="center"/>
                </w:tcPr>
                <w:p>
                  <w:pPr>
                    <w:pStyle w:val="49"/>
                    <w:spacing w:line="240" w:lineRule="auto"/>
                    <w:ind w:firstLine="0" w:firstLineChars="0"/>
                    <w:jc w:val="center"/>
                    <w:rPr>
                      <w:rFonts w:ascii="Times New Roman" w:hAnsi="Times New Roman" w:cs="宋体"/>
                      <w:bCs/>
                      <w:kern w:val="0"/>
                      <w:sz w:val="21"/>
                      <w:szCs w:val="21"/>
                    </w:rPr>
                  </w:pPr>
                  <w:r>
                    <w:rPr>
                      <w:rFonts w:hint="eastAsia" w:ascii="Times New Roman" w:hAnsi="Times New Roman" w:cs="宋体"/>
                      <w:bCs/>
                      <w:kern w:val="0"/>
                      <w:sz w:val="21"/>
                      <w:szCs w:val="21"/>
                    </w:rPr>
                    <w:t>项目拟建情况</w:t>
                  </w:r>
                </w:p>
              </w:tc>
              <w:tc>
                <w:tcPr>
                  <w:tcW w:w="485" w:type="dxa"/>
                  <w:tcBorders>
                    <w:left w:val="single" w:color="auto" w:sz="4" w:space="0"/>
                  </w:tcBorders>
                  <w:vAlign w:val="center"/>
                </w:tcPr>
                <w:p>
                  <w:pPr>
                    <w:pStyle w:val="49"/>
                    <w:spacing w:line="240" w:lineRule="auto"/>
                    <w:ind w:firstLine="0" w:firstLineChars="0"/>
                    <w:jc w:val="center"/>
                    <w:rPr>
                      <w:rFonts w:ascii="Times New Roman" w:hAnsi="Times New Roman" w:cs="宋体"/>
                      <w:bCs/>
                      <w:kern w:val="0"/>
                      <w:sz w:val="21"/>
                      <w:szCs w:val="21"/>
                    </w:rPr>
                  </w:pPr>
                  <w:r>
                    <w:rPr>
                      <w:rFonts w:hint="eastAsia" w:ascii="Times New Roman" w:hAnsi="Times New Roman" w:cs="宋体"/>
                      <w:bCs/>
                      <w:kern w:val="0"/>
                      <w:sz w:val="21"/>
                      <w:szCs w:val="21"/>
                    </w:rPr>
                    <w:t>相符</w:t>
                  </w:r>
                  <w:r>
                    <w:rPr>
                      <w:rFonts w:ascii="Times New Roman" w:hAnsi="Times New Roman" w:cs="宋体"/>
                      <w:bCs/>
                      <w:kern w:val="0"/>
                      <w:sz w:val="21"/>
                      <w:szCs w:val="21"/>
                    </w:rPr>
                    <w:t>性</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28" w:type="dxa"/>
                  <w:left w:w="28" w:type="dxa"/>
                  <w:bottom w:w="28" w:type="dxa"/>
                  <w:right w:w="28" w:type="dxa"/>
                </w:tblCellMar>
              </w:tblPrEx>
              <w:trPr>
                <w:trHeight w:val="443" w:hRule="atLeast"/>
              </w:trPr>
              <w:tc>
                <w:tcPr>
                  <w:tcW w:w="654" w:type="dxa"/>
                  <w:vMerge w:val="restart"/>
                  <w:vAlign w:val="center"/>
                </w:tcPr>
                <w:p>
                  <w:pPr>
                    <w:pStyle w:val="49"/>
                    <w:spacing w:line="240" w:lineRule="auto"/>
                    <w:ind w:firstLine="0" w:firstLineChars="0"/>
                    <w:jc w:val="center"/>
                    <w:rPr>
                      <w:rFonts w:ascii="Times New Roman" w:hAnsi="Times New Roman" w:cs="宋体"/>
                      <w:bCs/>
                      <w:kern w:val="0"/>
                      <w:sz w:val="21"/>
                      <w:szCs w:val="21"/>
                    </w:rPr>
                  </w:pPr>
                  <w:r>
                    <w:rPr>
                      <w:rFonts w:hint="eastAsia" w:ascii="Times New Roman" w:hAnsi="Times New Roman" w:cs="宋体"/>
                      <w:bCs/>
                      <w:kern w:val="0"/>
                      <w:sz w:val="21"/>
                      <w:szCs w:val="21"/>
                    </w:rPr>
                    <w:t>（一）涉颗粒物</w:t>
                  </w:r>
                  <w:r>
                    <w:rPr>
                      <w:rFonts w:ascii="Times New Roman" w:hAnsi="Times New Roman" w:cs="宋体"/>
                      <w:bCs/>
                      <w:kern w:val="0"/>
                      <w:sz w:val="21"/>
                      <w:szCs w:val="21"/>
                    </w:rPr>
                    <w:t>企业基本要求</w:t>
                  </w:r>
                </w:p>
              </w:tc>
              <w:tc>
                <w:tcPr>
                  <w:tcW w:w="4820" w:type="dxa"/>
                  <w:vAlign w:val="center"/>
                </w:tcPr>
                <w:p>
                  <w:pPr>
                    <w:pStyle w:val="57"/>
                    <w:rPr>
                      <w:rFonts w:hint="default" w:eastAsia="宋体" w:cs="宋体"/>
                      <w:bCs/>
                      <w:color w:val="auto"/>
                      <w:sz w:val="21"/>
                      <w:szCs w:val="21"/>
                    </w:rPr>
                  </w:pPr>
                  <w:r>
                    <w:rPr>
                      <w:rFonts w:eastAsia="宋体" w:cs="宋体"/>
                      <w:bCs/>
                      <w:color w:val="auto"/>
                      <w:sz w:val="21"/>
                      <w:szCs w:val="21"/>
                    </w:rPr>
                    <w:t xml:space="preserve">1.物料装卸。车辆运输的物料应采取封闭措施。粉状、粒状、块状散装物料在封闭料场内装卸，装卸过程中产尘点应设置集气除尘装置，料堆应采取有效抑尘措施。 </w:t>
                  </w:r>
                </w:p>
                <w:p>
                  <w:pPr>
                    <w:pStyle w:val="49"/>
                    <w:spacing w:line="240" w:lineRule="auto"/>
                    <w:ind w:firstLine="0" w:firstLineChars="0"/>
                    <w:jc w:val="left"/>
                    <w:rPr>
                      <w:rFonts w:ascii="Times New Roman" w:hAnsi="Times New Roman" w:cs="宋体"/>
                      <w:bCs/>
                      <w:kern w:val="0"/>
                      <w:sz w:val="21"/>
                      <w:szCs w:val="21"/>
                    </w:rPr>
                  </w:pPr>
                  <w:r>
                    <w:rPr>
                      <w:rFonts w:hint="eastAsia" w:ascii="Times New Roman" w:hAnsi="Times New Roman" w:cs="宋体"/>
                      <w:bCs/>
                      <w:kern w:val="0"/>
                      <w:sz w:val="21"/>
                      <w:szCs w:val="21"/>
                    </w:rPr>
                    <w:t>不易产尘的袋装物料宜在料棚中装卸，如需露天装卸应采取防止破袋及粉尘外逸措施。</w:t>
                  </w:r>
                </w:p>
              </w:tc>
              <w:tc>
                <w:tcPr>
                  <w:tcW w:w="2208" w:type="dxa"/>
                  <w:gridSpan w:val="2"/>
                  <w:tcBorders>
                    <w:right w:val="single" w:color="auto" w:sz="4" w:space="0"/>
                  </w:tcBorders>
                  <w:vAlign w:val="center"/>
                </w:tcPr>
                <w:p>
                  <w:pPr>
                    <w:pStyle w:val="49"/>
                    <w:spacing w:line="240" w:lineRule="auto"/>
                    <w:ind w:firstLine="0" w:firstLineChars="0"/>
                    <w:jc w:val="left"/>
                    <w:rPr>
                      <w:rFonts w:ascii="Times New Roman" w:hAnsi="Times New Roman" w:cs="宋体"/>
                      <w:bCs/>
                      <w:kern w:val="0"/>
                      <w:sz w:val="21"/>
                      <w:szCs w:val="21"/>
                    </w:rPr>
                  </w:pPr>
                  <w:r>
                    <w:rPr>
                      <w:rFonts w:hint="eastAsia" w:ascii="Times New Roman" w:hAnsi="Times New Roman" w:cs="宋体"/>
                      <w:bCs/>
                      <w:kern w:val="0"/>
                      <w:sz w:val="21"/>
                      <w:szCs w:val="21"/>
                    </w:rPr>
                    <w:t>原料</w:t>
                  </w:r>
                  <w:r>
                    <w:rPr>
                      <w:rFonts w:ascii="Times New Roman" w:hAnsi="Times New Roman" w:cs="宋体"/>
                      <w:bCs/>
                      <w:kern w:val="0"/>
                      <w:sz w:val="21"/>
                      <w:szCs w:val="21"/>
                    </w:rPr>
                    <w:t>及产品</w:t>
                  </w:r>
                  <w:r>
                    <w:rPr>
                      <w:rFonts w:hint="eastAsia" w:ascii="Times New Roman" w:hAnsi="Times New Roman" w:cs="宋体"/>
                      <w:bCs/>
                      <w:kern w:val="0"/>
                      <w:sz w:val="21"/>
                      <w:szCs w:val="21"/>
                    </w:rPr>
                    <w:t>均</w:t>
                  </w:r>
                  <w:r>
                    <w:rPr>
                      <w:rFonts w:ascii="Times New Roman" w:hAnsi="Times New Roman" w:cs="宋体"/>
                      <w:bCs/>
                      <w:kern w:val="0"/>
                      <w:sz w:val="21"/>
                      <w:szCs w:val="21"/>
                    </w:rPr>
                    <w:t>采用密闭罐车运输，</w:t>
                  </w:r>
                  <w:r>
                    <w:rPr>
                      <w:rFonts w:hint="eastAsia" w:ascii="Times New Roman" w:hAnsi="Times New Roman" w:cs="宋体"/>
                      <w:bCs/>
                      <w:kern w:val="0"/>
                      <w:sz w:val="21"/>
                      <w:szCs w:val="21"/>
                    </w:rPr>
                    <w:t>原料罐车</w:t>
                  </w:r>
                  <w:r>
                    <w:rPr>
                      <w:rFonts w:ascii="Times New Roman" w:hAnsi="Times New Roman" w:cs="宋体"/>
                      <w:bCs/>
                      <w:kern w:val="0"/>
                      <w:sz w:val="21"/>
                      <w:szCs w:val="21"/>
                    </w:rPr>
                    <w:t>采用气力</w:t>
                  </w:r>
                  <w:r>
                    <w:rPr>
                      <w:rFonts w:hint="eastAsia" w:ascii="Times New Roman" w:hAnsi="Times New Roman" w:cs="宋体"/>
                      <w:bCs/>
                      <w:kern w:val="0"/>
                      <w:sz w:val="21"/>
                      <w:szCs w:val="21"/>
                    </w:rPr>
                    <w:t>输送</w:t>
                  </w:r>
                  <w:r>
                    <w:rPr>
                      <w:rFonts w:ascii="Times New Roman" w:hAnsi="Times New Roman" w:cs="宋体"/>
                      <w:bCs/>
                      <w:kern w:val="0"/>
                      <w:sz w:val="21"/>
                      <w:szCs w:val="21"/>
                    </w:rPr>
                    <w:t>管至原料料仓</w:t>
                  </w:r>
                  <w:r>
                    <w:rPr>
                      <w:rFonts w:hint="eastAsia" w:ascii="Times New Roman" w:hAnsi="Times New Roman" w:cs="宋体"/>
                      <w:bCs/>
                      <w:kern w:val="0"/>
                      <w:sz w:val="21"/>
                      <w:szCs w:val="21"/>
                    </w:rPr>
                    <w:t>；成品</w:t>
                  </w:r>
                  <w:r>
                    <w:rPr>
                      <w:rFonts w:ascii="Times New Roman" w:hAnsi="Times New Roman" w:cs="宋体"/>
                      <w:bCs/>
                      <w:kern w:val="0"/>
                      <w:sz w:val="21"/>
                      <w:szCs w:val="21"/>
                    </w:rPr>
                    <w:t>散装机</w:t>
                  </w:r>
                  <w:r>
                    <w:rPr>
                      <w:rFonts w:hint="eastAsia" w:ascii="Times New Roman" w:hAnsi="Times New Roman" w:cs="宋体"/>
                      <w:bCs/>
                      <w:kern w:val="0"/>
                      <w:sz w:val="21"/>
                      <w:szCs w:val="21"/>
                    </w:rPr>
                    <w:t>采用</w:t>
                  </w:r>
                  <w:r>
                    <w:rPr>
                      <w:rFonts w:ascii="Times New Roman" w:hAnsi="Times New Roman" w:cs="宋体"/>
                      <w:bCs/>
                      <w:kern w:val="0"/>
                      <w:sz w:val="21"/>
                      <w:szCs w:val="21"/>
                    </w:rPr>
                    <w:t>带抽风口的散装卸料装置，</w:t>
                  </w:r>
                  <w:r>
                    <w:rPr>
                      <w:rFonts w:hint="eastAsia" w:ascii="Times New Roman" w:hAnsi="Times New Roman" w:cs="宋体"/>
                      <w:bCs/>
                      <w:kern w:val="0"/>
                      <w:sz w:val="21"/>
                      <w:szCs w:val="21"/>
                    </w:rPr>
                    <w:t>并</w:t>
                  </w:r>
                  <w:r>
                    <w:rPr>
                      <w:rFonts w:ascii="Times New Roman" w:hAnsi="Times New Roman" w:cs="宋体"/>
                      <w:bCs/>
                      <w:kern w:val="0"/>
                      <w:sz w:val="21"/>
                      <w:szCs w:val="21"/>
                    </w:rPr>
                    <w:t>配备袋式除尘器</w:t>
                  </w:r>
                  <w:r>
                    <w:rPr>
                      <w:rFonts w:hint="eastAsia" w:ascii="Times New Roman" w:hAnsi="Times New Roman" w:cs="宋体"/>
                      <w:bCs/>
                      <w:kern w:val="0"/>
                      <w:sz w:val="21"/>
                      <w:szCs w:val="21"/>
                    </w:rPr>
                    <w:t>。</w:t>
                  </w:r>
                </w:p>
              </w:tc>
              <w:tc>
                <w:tcPr>
                  <w:tcW w:w="485" w:type="dxa"/>
                  <w:tcBorders>
                    <w:left w:val="single" w:color="auto" w:sz="4" w:space="0"/>
                  </w:tcBorders>
                  <w:vAlign w:val="center"/>
                </w:tcPr>
                <w:p>
                  <w:pPr>
                    <w:pStyle w:val="49"/>
                    <w:spacing w:line="240" w:lineRule="auto"/>
                    <w:ind w:firstLine="0" w:firstLineChars="0"/>
                    <w:jc w:val="left"/>
                    <w:rPr>
                      <w:rFonts w:ascii="Times New Roman" w:hAnsi="Times New Roman" w:cs="宋体"/>
                      <w:bCs/>
                      <w:kern w:val="0"/>
                      <w:sz w:val="21"/>
                      <w:szCs w:val="21"/>
                    </w:rPr>
                  </w:pPr>
                  <w:r>
                    <w:rPr>
                      <w:rFonts w:hint="eastAsia" w:ascii="Times New Roman" w:hAnsi="Times New Roman" w:cs="宋体"/>
                      <w:bCs/>
                      <w:kern w:val="0"/>
                      <w:sz w:val="21"/>
                      <w:szCs w:val="21"/>
                    </w:rPr>
                    <w:t>相符</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28" w:type="dxa"/>
                  <w:left w:w="28" w:type="dxa"/>
                  <w:bottom w:w="28" w:type="dxa"/>
                  <w:right w:w="28" w:type="dxa"/>
                </w:tblCellMar>
              </w:tblPrEx>
              <w:trPr>
                <w:trHeight w:val="443" w:hRule="atLeast"/>
              </w:trPr>
              <w:tc>
                <w:tcPr>
                  <w:tcW w:w="654" w:type="dxa"/>
                  <w:vMerge w:val="continue"/>
                  <w:vAlign w:val="center"/>
                </w:tcPr>
                <w:p>
                  <w:pPr>
                    <w:pStyle w:val="49"/>
                    <w:spacing w:line="240" w:lineRule="auto"/>
                    <w:ind w:firstLine="0" w:firstLineChars="0"/>
                    <w:jc w:val="center"/>
                    <w:rPr>
                      <w:rFonts w:ascii="Times New Roman" w:hAnsi="Times New Roman" w:cs="宋体"/>
                      <w:bCs/>
                      <w:kern w:val="0"/>
                      <w:sz w:val="21"/>
                      <w:szCs w:val="21"/>
                    </w:rPr>
                  </w:pPr>
                </w:p>
              </w:tc>
              <w:tc>
                <w:tcPr>
                  <w:tcW w:w="4820" w:type="dxa"/>
                  <w:vAlign w:val="center"/>
                </w:tcPr>
                <w:p>
                  <w:pPr>
                    <w:pStyle w:val="57"/>
                    <w:rPr>
                      <w:rFonts w:hint="default" w:eastAsia="宋体" w:cs="宋体"/>
                      <w:bCs/>
                      <w:color w:val="auto"/>
                      <w:sz w:val="21"/>
                      <w:szCs w:val="21"/>
                    </w:rPr>
                  </w:pPr>
                  <w:r>
                    <w:rPr>
                      <w:rFonts w:eastAsia="宋体" w:cs="宋体"/>
                      <w:bCs/>
                      <w:color w:val="auto"/>
                      <w:sz w:val="21"/>
                      <w:szCs w:val="21"/>
                    </w:rPr>
                    <w:t>2.物料储存。一般物料。粉状物料应储存于密闭/封闭料仓中；粒状、块状物料应储存于封闭料场中，并采取喷淋、清扫或其他有效抑尘措施；袋装物料应储存于封闭/半封闭料场中。封闭料场顶棚和四周围墙完整，料场内路面全部硬化，料场货物进出大门为硬质材料门或自动感应门，在确保安全的情况下，所有门窗保持常闭状态。不产尘物料（如钢材、管件）及产品如露天储存应在规定的存储区域码放整齐。</w:t>
                  </w:r>
                </w:p>
                <w:p>
                  <w:pPr>
                    <w:pStyle w:val="57"/>
                    <w:rPr>
                      <w:rFonts w:hint="default" w:eastAsia="宋体" w:cs="宋体"/>
                      <w:bCs/>
                      <w:color w:val="auto"/>
                      <w:sz w:val="21"/>
                      <w:szCs w:val="21"/>
                    </w:rPr>
                  </w:pPr>
                  <w:r>
                    <w:rPr>
                      <w:rFonts w:eastAsia="宋体" w:cs="宋体"/>
                      <w:bCs/>
                      <w:color w:val="auto"/>
                      <w:sz w:val="21"/>
                      <w:szCs w:val="21"/>
                    </w:rPr>
                    <w:t>危险废物。应有符合规范要求的危险废物储存间，危险废物储存间门口应张贴标准规范的危险废物标识和危废信息板，建立台账并挂于危废间内，危险废物的记录和货单保存3年以上。危废间内禁止存放除危险废物和应急工具外的其他物品。</w:t>
                  </w:r>
                </w:p>
              </w:tc>
              <w:tc>
                <w:tcPr>
                  <w:tcW w:w="2208" w:type="dxa"/>
                  <w:gridSpan w:val="2"/>
                  <w:tcBorders>
                    <w:right w:val="single" w:color="auto" w:sz="4" w:space="0"/>
                  </w:tcBorders>
                  <w:vAlign w:val="center"/>
                </w:tcPr>
                <w:p>
                  <w:pPr>
                    <w:pStyle w:val="49"/>
                    <w:spacing w:line="240" w:lineRule="auto"/>
                    <w:ind w:firstLine="0" w:firstLineChars="0"/>
                    <w:jc w:val="left"/>
                    <w:rPr>
                      <w:rFonts w:ascii="Times New Roman" w:hAnsi="Times New Roman" w:cs="宋体"/>
                      <w:bCs/>
                      <w:kern w:val="0"/>
                      <w:sz w:val="21"/>
                      <w:szCs w:val="21"/>
                    </w:rPr>
                  </w:pPr>
                  <w:r>
                    <w:rPr>
                      <w:rFonts w:ascii="Times New Roman" w:hAnsi="Times New Roman" w:cs="宋体"/>
                      <w:bCs/>
                      <w:kern w:val="0"/>
                      <w:sz w:val="21"/>
                      <w:szCs w:val="21"/>
                    </w:rPr>
                    <w:t>项目</w:t>
                  </w:r>
                  <w:r>
                    <w:rPr>
                      <w:rFonts w:hint="eastAsia" w:ascii="Times New Roman" w:hAnsi="Times New Roman" w:cs="宋体"/>
                      <w:bCs/>
                      <w:kern w:val="0"/>
                      <w:sz w:val="21"/>
                      <w:szCs w:val="21"/>
                    </w:rPr>
                    <w:t>原料</w:t>
                  </w:r>
                  <w:r>
                    <w:rPr>
                      <w:rFonts w:ascii="Times New Roman" w:hAnsi="Times New Roman" w:cs="宋体"/>
                      <w:bCs/>
                      <w:kern w:val="0"/>
                      <w:sz w:val="21"/>
                      <w:szCs w:val="21"/>
                    </w:rPr>
                    <w:t>及</w:t>
                  </w:r>
                  <w:r>
                    <w:rPr>
                      <w:rFonts w:hint="eastAsia" w:ascii="Times New Roman" w:hAnsi="Times New Roman" w:cs="宋体"/>
                      <w:bCs/>
                      <w:kern w:val="0"/>
                      <w:sz w:val="21"/>
                      <w:szCs w:val="21"/>
                    </w:rPr>
                    <w:t>成品库</w:t>
                  </w:r>
                  <w:r>
                    <w:rPr>
                      <w:rFonts w:ascii="Times New Roman" w:hAnsi="Times New Roman" w:cs="宋体"/>
                      <w:bCs/>
                      <w:kern w:val="0"/>
                      <w:sz w:val="21"/>
                      <w:szCs w:val="21"/>
                    </w:rPr>
                    <w:t>采用密闭</w:t>
                  </w:r>
                  <w:r>
                    <w:rPr>
                      <w:rFonts w:hint="eastAsia" w:ascii="Times New Roman" w:hAnsi="Times New Roman" w:cs="宋体"/>
                      <w:bCs/>
                      <w:kern w:val="0"/>
                      <w:sz w:val="21"/>
                      <w:szCs w:val="21"/>
                    </w:rPr>
                    <w:t>储</w:t>
                  </w:r>
                  <w:r>
                    <w:rPr>
                      <w:rFonts w:ascii="Times New Roman" w:hAnsi="Times New Roman" w:cs="宋体"/>
                      <w:bCs/>
                      <w:kern w:val="0"/>
                      <w:sz w:val="21"/>
                      <w:szCs w:val="21"/>
                    </w:rPr>
                    <w:t>仓</w:t>
                  </w:r>
                  <w:r>
                    <w:rPr>
                      <w:rFonts w:hint="eastAsia" w:ascii="Times New Roman" w:hAnsi="Times New Roman" w:cs="宋体"/>
                      <w:bCs/>
                      <w:kern w:val="0"/>
                      <w:sz w:val="21"/>
                      <w:szCs w:val="21"/>
                    </w:rPr>
                    <w:t>，库顶</w:t>
                  </w:r>
                  <w:r>
                    <w:rPr>
                      <w:rFonts w:ascii="Times New Roman" w:hAnsi="Times New Roman" w:cs="宋体"/>
                      <w:bCs/>
                      <w:kern w:val="0"/>
                      <w:sz w:val="21"/>
                      <w:szCs w:val="21"/>
                    </w:rPr>
                    <w:t>泄压口配备袋式除尘器</w:t>
                  </w:r>
                  <w:r>
                    <w:rPr>
                      <w:rFonts w:hint="eastAsia" w:ascii="Times New Roman" w:hAnsi="Times New Roman" w:cs="宋体"/>
                      <w:bCs/>
                      <w:kern w:val="0"/>
                      <w:sz w:val="21"/>
                      <w:szCs w:val="21"/>
                    </w:rPr>
                    <w:t>。</w:t>
                  </w:r>
                </w:p>
                <w:p>
                  <w:pPr>
                    <w:pStyle w:val="49"/>
                    <w:spacing w:line="240" w:lineRule="auto"/>
                    <w:ind w:firstLine="0" w:firstLineChars="0"/>
                    <w:jc w:val="left"/>
                    <w:rPr>
                      <w:rFonts w:ascii="Times New Roman" w:hAnsi="Times New Roman" w:cs="宋体"/>
                      <w:bCs/>
                      <w:kern w:val="0"/>
                      <w:sz w:val="21"/>
                      <w:szCs w:val="21"/>
                    </w:rPr>
                  </w:pPr>
                  <w:r>
                    <w:rPr>
                      <w:rFonts w:hint="eastAsia" w:ascii="Times New Roman" w:hAnsi="Times New Roman" w:cs="宋体"/>
                      <w:bCs/>
                      <w:kern w:val="0"/>
                      <w:sz w:val="21"/>
                      <w:szCs w:val="21"/>
                    </w:rPr>
                    <w:t>危险</w:t>
                  </w:r>
                  <w:r>
                    <w:rPr>
                      <w:rFonts w:ascii="Times New Roman" w:hAnsi="Times New Roman" w:cs="宋体"/>
                      <w:bCs/>
                      <w:kern w:val="0"/>
                      <w:sz w:val="21"/>
                      <w:szCs w:val="21"/>
                    </w:rPr>
                    <w:t>废物</w:t>
                  </w:r>
                  <w:r>
                    <w:rPr>
                      <w:rFonts w:hint="eastAsia" w:ascii="Times New Roman" w:hAnsi="Times New Roman" w:cs="宋体"/>
                      <w:bCs/>
                      <w:kern w:val="0"/>
                      <w:sz w:val="21"/>
                      <w:szCs w:val="21"/>
                    </w:rPr>
                    <w:t>设</w:t>
                  </w:r>
                  <w:r>
                    <w:rPr>
                      <w:rFonts w:ascii="Times New Roman" w:hAnsi="Times New Roman" w:cs="宋体"/>
                      <w:bCs/>
                      <w:kern w:val="0"/>
                      <w:sz w:val="21"/>
                      <w:szCs w:val="21"/>
                    </w:rPr>
                    <w:t>有危险废物暂存间，</w:t>
                  </w:r>
                  <w:r>
                    <w:rPr>
                      <w:rFonts w:hint="eastAsia" w:cs="宋体"/>
                      <w:bCs/>
                      <w:sz w:val="21"/>
                      <w:szCs w:val="21"/>
                    </w:rPr>
                    <w:t>危险废物暂存间门口应张贴标准规范的危险废物标识和危废信息板，建立台账并挂于危废间内，危险废物的记录和货单保存</w:t>
                  </w:r>
                  <w:r>
                    <w:rPr>
                      <w:rFonts w:ascii="Times New Roman" w:cs="宋体"/>
                      <w:bCs/>
                      <w:sz w:val="21"/>
                      <w:szCs w:val="21"/>
                    </w:rPr>
                    <w:t>3</w:t>
                  </w:r>
                  <w:r>
                    <w:rPr>
                      <w:rFonts w:hint="eastAsia" w:cs="宋体"/>
                      <w:bCs/>
                      <w:sz w:val="21"/>
                      <w:szCs w:val="21"/>
                    </w:rPr>
                    <w:t>年以上。危废间内禁止存放除危险废物和应急工具外的其他物品。</w:t>
                  </w:r>
                </w:p>
              </w:tc>
              <w:tc>
                <w:tcPr>
                  <w:tcW w:w="485" w:type="dxa"/>
                  <w:tcBorders>
                    <w:left w:val="single" w:color="auto" w:sz="4" w:space="0"/>
                  </w:tcBorders>
                  <w:vAlign w:val="center"/>
                </w:tcPr>
                <w:p>
                  <w:pPr>
                    <w:pStyle w:val="49"/>
                    <w:spacing w:line="240" w:lineRule="auto"/>
                    <w:ind w:firstLine="0" w:firstLineChars="0"/>
                    <w:jc w:val="left"/>
                    <w:rPr>
                      <w:rFonts w:ascii="Times New Roman" w:hAnsi="Times New Roman" w:cs="宋体"/>
                      <w:bCs/>
                      <w:kern w:val="0"/>
                      <w:sz w:val="21"/>
                      <w:szCs w:val="21"/>
                    </w:rPr>
                  </w:pPr>
                  <w:r>
                    <w:rPr>
                      <w:rFonts w:hint="eastAsia" w:ascii="Times New Roman" w:hAnsi="Times New Roman" w:cs="宋体"/>
                      <w:bCs/>
                      <w:kern w:val="0"/>
                      <w:sz w:val="21"/>
                      <w:szCs w:val="21"/>
                    </w:rPr>
                    <w:t>相符</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28" w:type="dxa"/>
                  <w:left w:w="28" w:type="dxa"/>
                  <w:bottom w:w="28" w:type="dxa"/>
                  <w:right w:w="28" w:type="dxa"/>
                </w:tblCellMar>
              </w:tblPrEx>
              <w:trPr>
                <w:trHeight w:val="443" w:hRule="atLeast"/>
              </w:trPr>
              <w:tc>
                <w:tcPr>
                  <w:tcW w:w="654" w:type="dxa"/>
                  <w:vMerge w:val="continue"/>
                  <w:vAlign w:val="center"/>
                </w:tcPr>
                <w:p>
                  <w:pPr>
                    <w:pStyle w:val="49"/>
                    <w:spacing w:line="240" w:lineRule="auto"/>
                    <w:ind w:firstLine="0" w:firstLineChars="0"/>
                    <w:jc w:val="center"/>
                    <w:rPr>
                      <w:rFonts w:ascii="Times New Roman" w:hAnsi="Times New Roman" w:cs="宋体"/>
                      <w:bCs/>
                      <w:kern w:val="0"/>
                      <w:sz w:val="21"/>
                      <w:szCs w:val="21"/>
                    </w:rPr>
                  </w:pPr>
                </w:p>
              </w:tc>
              <w:tc>
                <w:tcPr>
                  <w:tcW w:w="4820" w:type="dxa"/>
                  <w:vAlign w:val="center"/>
                </w:tcPr>
                <w:p>
                  <w:pPr>
                    <w:pStyle w:val="49"/>
                    <w:spacing w:line="240" w:lineRule="auto"/>
                    <w:ind w:firstLine="0" w:firstLineChars="0"/>
                    <w:rPr>
                      <w:rFonts w:ascii="Times New Roman" w:hAnsi="Times New Roman" w:cs="宋体"/>
                      <w:bCs/>
                      <w:kern w:val="0"/>
                      <w:sz w:val="21"/>
                      <w:szCs w:val="21"/>
                    </w:rPr>
                  </w:pPr>
                  <w:r>
                    <w:rPr>
                      <w:rFonts w:hint="eastAsia" w:ascii="Times New Roman" w:hAnsi="Times New Roman" w:cs="宋体"/>
                      <w:bCs/>
                      <w:kern w:val="0"/>
                      <w:sz w:val="21"/>
                      <w:szCs w:val="21"/>
                    </w:rPr>
                    <w:t>3. 物料</w:t>
                  </w:r>
                  <w:r>
                    <w:rPr>
                      <w:rFonts w:ascii="Times New Roman" w:hAnsi="Times New Roman" w:cs="宋体"/>
                      <w:bCs/>
                      <w:kern w:val="0"/>
                      <w:sz w:val="21"/>
                      <w:szCs w:val="21"/>
                    </w:rPr>
                    <w:t>转移和输送</w:t>
                  </w:r>
                  <w:r>
                    <w:rPr>
                      <w:rFonts w:hint="eastAsia" w:ascii="Times New Roman" w:hAnsi="Times New Roman" w:cs="宋体"/>
                      <w:bCs/>
                      <w:kern w:val="0"/>
                      <w:sz w:val="21"/>
                      <w:szCs w:val="21"/>
                    </w:rPr>
                    <w:t>。粉状、粒状等易产尘物料厂内转移、输送过程应采用气力输送、封闭皮带等；无法封闭的产尘点（物料转载、下料口等）应采取集气除尘措施，或有效抑尘措施。</w:t>
                  </w:r>
                </w:p>
              </w:tc>
              <w:tc>
                <w:tcPr>
                  <w:tcW w:w="2194" w:type="dxa"/>
                  <w:tcBorders>
                    <w:right w:val="single" w:color="auto" w:sz="4" w:space="0"/>
                  </w:tcBorders>
                  <w:vAlign w:val="center"/>
                </w:tcPr>
                <w:p>
                  <w:pPr>
                    <w:pStyle w:val="49"/>
                    <w:spacing w:line="240" w:lineRule="auto"/>
                    <w:ind w:firstLine="0" w:firstLineChars="0"/>
                    <w:jc w:val="left"/>
                    <w:rPr>
                      <w:rFonts w:ascii="Times New Roman" w:hAnsi="Times New Roman" w:cs="宋体"/>
                      <w:bCs/>
                      <w:kern w:val="0"/>
                      <w:sz w:val="21"/>
                      <w:szCs w:val="21"/>
                    </w:rPr>
                  </w:pPr>
                  <w:r>
                    <w:rPr>
                      <w:rFonts w:hint="eastAsia" w:ascii="Times New Roman" w:hAnsi="Times New Roman" w:cs="宋体"/>
                      <w:bCs/>
                      <w:kern w:val="0"/>
                      <w:sz w:val="21"/>
                      <w:szCs w:val="21"/>
                    </w:rPr>
                    <w:t>物料</w:t>
                  </w:r>
                  <w:r>
                    <w:rPr>
                      <w:rFonts w:ascii="Times New Roman" w:hAnsi="Times New Roman" w:cs="宋体"/>
                      <w:bCs/>
                      <w:kern w:val="0"/>
                      <w:sz w:val="21"/>
                      <w:szCs w:val="21"/>
                    </w:rPr>
                    <w:t>输送采用</w:t>
                  </w:r>
                  <w:r>
                    <w:rPr>
                      <w:rFonts w:hint="eastAsia" w:ascii="Times New Roman" w:hAnsi="Times New Roman" w:cs="宋体"/>
                      <w:bCs/>
                      <w:kern w:val="0"/>
                      <w:sz w:val="21"/>
                      <w:szCs w:val="21"/>
                    </w:rPr>
                    <w:t>密闭</w:t>
                  </w:r>
                  <w:r>
                    <w:rPr>
                      <w:rFonts w:ascii="Times New Roman" w:hAnsi="Times New Roman" w:cs="宋体"/>
                      <w:bCs/>
                      <w:kern w:val="0"/>
                      <w:sz w:val="21"/>
                      <w:szCs w:val="21"/>
                    </w:rPr>
                    <w:t>气体输送管道及密闭提升机，</w:t>
                  </w:r>
                  <w:r>
                    <w:rPr>
                      <w:rFonts w:hint="eastAsia" w:ascii="Times New Roman" w:hAnsi="Times New Roman" w:cs="宋体"/>
                      <w:bCs/>
                      <w:kern w:val="0"/>
                      <w:sz w:val="21"/>
                      <w:szCs w:val="21"/>
                    </w:rPr>
                    <w:t>各</w:t>
                  </w:r>
                  <w:r>
                    <w:rPr>
                      <w:rFonts w:ascii="Times New Roman" w:hAnsi="Times New Roman" w:cs="宋体"/>
                      <w:bCs/>
                      <w:kern w:val="0"/>
                      <w:sz w:val="21"/>
                      <w:szCs w:val="21"/>
                    </w:rPr>
                    <w:t>下料口产尘点均</w:t>
                  </w:r>
                  <w:r>
                    <w:rPr>
                      <w:rFonts w:hint="eastAsia" w:ascii="Times New Roman" w:hAnsi="Times New Roman" w:cs="宋体"/>
                      <w:bCs/>
                      <w:kern w:val="0"/>
                      <w:sz w:val="21"/>
                      <w:szCs w:val="21"/>
                    </w:rPr>
                    <w:t>设置</w:t>
                  </w:r>
                  <w:r>
                    <w:rPr>
                      <w:rFonts w:ascii="Times New Roman" w:hAnsi="Times New Roman" w:cs="宋体"/>
                      <w:bCs/>
                      <w:kern w:val="0"/>
                      <w:sz w:val="21"/>
                      <w:szCs w:val="21"/>
                    </w:rPr>
                    <w:t>集气罩并配备袋式除尘器</w:t>
                  </w:r>
                  <w:r>
                    <w:rPr>
                      <w:rFonts w:hint="eastAsia" w:ascii="Times New Roman" w:hAnsi="Times New Roman" w:cs="宋体"/>
                      <w:bCs/>
                      <w:kern w:val="0"/>
                      <w:sz w:val="21"/>
                      <w:szCs w:val="21"/>
                    </w:rPr>
                    <w:t>。</w:t>
                  </w:r>
                </w:p>
              </w:tc>
              <w:tc>
                <w:tcPr>
                  <w:tcW w:w="499" w:type="dxa"/>
                  <w:gridSpan w:val="2"/>
                  <w:tcBorders>
                    <w:left w:val="single" w:color="auto" w:sz="4" w:space="0"/>
                  </w:tcBorders>
                  <w:vAlign w:val="center"/>
                </w:tcPr>
                <w:p>
                  <w:pPr>
                    <w:pStyle w:val="49"/>
                    <w:spacing w:line="240" w:lineRule="auto"/>
                    <w:ind w:firstLine="0" w:firstLineChars="0"/>
                    <w:jc w:val="left"/>
                    <w:rPr>
                      <w:rFonts w:ascii="Times New Roman" w:hAnsi="Times New Roman" w:cs="宋体"/>
                      <w:bCs/>
                      <w:kern w:val="0"/>
                      <w:sz w:val="21"/>
                      <w:szCs w:val="21"/>
                    </w:rPr>
                  </w:pPr>
                  <w:r>
                    <w:rPr>
                      <w:rFonts w:hint="eastAsia" w:ascii="Times New Roman" w:hAnsi="Times New Roman" w:cs="宋体"/>
                      <w:bCs/>
                      <w:kern w:val="0"/>
                      <w:sz w:val="21"/>
                      <w:szCs w:val="21"/>
                    </w:rPr>
                    <w:t>相符</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28" w:type="dxa"/>
                  <w:left w:w="28" w:type="dxa"/>
                  <w:bottom w:w="28" w:type="dxa"/>
                  <w:right w:w="28" w:type="dxa"/>
                </w:tblCellMar>
              </w:tblPrEx>
              <w:trPr>
                <w:trHeight w:val="443" w:hRule="atLeast"/>
              </w:trPr>
              <w:tc>
                <w:tcPr>
                  <w:tcW w:w="654" w:type="dxa"/>
                  <w:vMerge w:val="continue"/>
                  <w:vAlign w:val="center"/>
                </w:tcPr>
                <w:p>
                  <w:pPr>
                    <w:pStyle w:val="49"/>
                    <w:spacing w:line="240" w:lineRule="auto"/>
                    <w:ind w:firstLine="0" w:firstLineChars="0"/>
                    <w:jc w:val="center"/>
                    <w:rPr>
                      <w:rFonts w:ascii="Times New Roman" w:hAnsi="Times New Roman" w:cs="宋体"/>
                      <w:bCs/>
                      <w:kern w:val="0"/>
                      <w:sz w:val="21"/>
                      <w:szCs w:val="21"/>
                    </w:rPr>
                  </w:pPr>
                </w:p>
              </w:tc>
              <w:tc>
                <w:tcPr>
                  <w:tcW w:w="4820" w:type="dxa"/>
                  <w:vAlign w:val="center"/>
                </w:tcPr>
                <w:p>
                  <w:pPr>
                    <w:pStyle w:val="49"/>
                    <w:spacing w:line="240" w:lineRule="auto"/>
                    <w:ind w:firstLine="0" w:firstLineChars="0"/>
                    <w:rPr>
                      <w:rFonts w:ascii="Times New Roman" w:hAnsi="Times New Roman" w:cs="宋体"/>
                      <w:bCs/>
                      <w:kern w:val="0"/>
                      <w:sz w:val="21"/>
                      <w:szCs w:val="21"/>
                    </w:rPr>
                  </w:pPr>
                  <w:r>
                    <w:rPr>
                      <w:rFonts w:hint="eastAsia" w:ascii="Times New Roman" w:hAnsi="Times New Roman" w:cs="宋体"/>
                      <w:bCs/>
                      <w:kern w:val="0"/>
                      <w:sz w:val="21"/>
                      <w:szCs w:val="21"/>
                    </w:rPr>
                    <w:t>4.成品</w:t>
                  </w:r>
                  <w:r>
                    <w:rPr>
                      <w:rFonts w:ascii="Times New Roman" w:hAnsi="Times New Roman" w:cs="宋体"/>
                      <w:bCs/>
                      <w:kern w:val="0"/>
                      <w:sz w:val="21"/>
                      <w:szCs w:val="21"/>
                    </w:rPr>
                    <w:t>包装。</w:t>
                  </w:r>
                  <w:r>
                    <w:rPr>
                      <w:rFonts w:hint="eastAsia" w:ascii="Times New Roman" w:hAnsi="Times New Roman" w:cs="宋体"/>
                      <w:bCs/>
                      <w:kern w:val="0"/>
                      <w:sz w:val="21"/>
                      <w:szCs w:val="21"/>
                    </w:rPr>
                    <w:t>卸料口应完全封闭，如不能封闭应采取局部集气除尘措施。卸料口地面应及时清扫，地面无明显积尘。</w:t>
                  </w:r>
                </w:p>
              </w:tc>
              <w:tc>
                <w:tcPr>
                  <w:tcW w:w="2194" w:type="dxa"/>
                  <w:tcBorders>
                    <w:right w:val="single" w:color="auto" w:sz="4" w:space="0"/>
                  </w:tcBorders>
                  <w:vAlign w:val="center"/>
                </w:tcPr>
                <w:p>
                  <w:pPr>
                    <w:pStyle w:val="49"/>
                    <w:spacing w:line="240" w:lineRule="auto"/>
                    <w:ind w:firstLine="0" w:firstLineChars="0"/>
                    <w:jc w:val="left"/>
                    <w:rPr>
                      <w:rFonts w:ascii="Times New Roman" w:hAnsi="Times New Roman" w:cs="宋体"/>
                      <w:bCs/>
                      <w:kern w:val="0"/>
                      <w:sz w:val="21"/>
                      <w:szCs w:val="21"/>
                    </w:rPr>
                  </w:pPr>
                  <w:r>
                    <w:rPr>
                      <w:rFonts w:hint="eastAsia" w:ascii="Times New Roman" w:hAnsi="Times New Roman" w:cs="宋体"/>
                      <w:bCs/>
                      <w:kern w:val="0"/>
                      <w:sz w:val="21"/>
                      <w:szCs w:val="21"/>
                    </w:rPr>
                    <w:t>为散装</w:t>
                  </w:r>
                  <w:r>
                    <w:rPr>
                      <w:rFonts w:ascii="Times New Roman" w:hAnsi="Times New Roman" w:cs="宋体"/>
                      <w:bCs/>
                      <w:kern w:val="0"/>
                      <w:sz w:val="21"/>
                      <w:szCs w:val="21"/>
                    </w:rPr>
                    <w:t>罐车运输，无成品包装工序</w:t>
                  </w:r>
                  <w:r>
                    <w:rPr>
                      <w:rFonts w:hint="eastAsia" w:ascii="Times New Roman" w:hAnsi="Times New Roman" w:cs="宋体"/>
                      <w:bCs/>
                      <w:kern w:val="0"/>
                      <w:sz w:val="21"/>
                      <w:szCs w:val="21"/>
                    </w:rPr>
                    <w:t>。散装机下料口设集气除尘装置。</w:t>
                  </w:r>
                </w:p>
              </w:tc>
              <w:tc>
                <w:tcPr>
                  <w:tcW w:w="499" w:type="dxa"/>
                  <w:gridSpan w:val="2"/>
                  <w:tcBorders>
                    <w:left w:val="single" w:color="auto" w:sz="4" w:space="0"/>
                  </w:tcBorders>
                  <w:vAlign w:val="center"/>
                </w:tcPr>
                <w:p>
                  <w:pPr>
                    <w:pStyle w:val="49"/>
                    <w:spacing w:line="240" w:lineRule="auto"/>
                    <w:ind w:firstLine="0" w:firstLineChars="0"/>
                    <w:jc w:val="left"/>
                    <w:rPr>
                      <w:rFonts w:ascii="Times New Roman" w:hAnsi="Times New Roman" w:cs="宋体"/>
                      <w:bCs/>
                      <w:kern w:val="0"/>
                      <w:sz w:val="21"/>
                      <w:szCs w:val="21"/>
                    </w:rPr>
                  </w:pPr>
                  <w:r>
                    <w:rPr>
                      <w:rFonts w:hint="eastAsia" w:ascii="Times New Roman" w:hAnsi="Times New Roman" w:cs="宋体"/>
                      <w:bCs/>
                      <w:kern w:val="0"/>
                      <w:sz w:val="21"/>
                      <w:szCs w:val="21"/>
                    </w:rPr>
                    <w:t>相符</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28" w:type="dxa"/>
                  <w:left w:w="28" w:type="dxa"/>
                  <w:bottom w:w="28" w:type="dxa"/>
                  <w:right w:w="28" w:type="dxa"/>
                </w:tblCellMar>
              </w:tblPrEx>
              <w:trPr>
                <w:trHeight w:val="443" w:hRule="atLeast"/>
              </w:trPr>
              <w:tc>
                <w:tcPr>
                  <w:tcW w:w="654" w:type="dxa"/>
                  <w:vMerge w:val="continue"/>
                  <w:vAlign w:val="center"/>
                </w:tcPr>
                <w:p>
                  <w:pPr>
                    <w:pStyle w:val="49"/>
                    <w:spacing w:line="240" w:lineRule="auto"/>
                    <w:ind w:firstLine="0" w:firstLineChars="0"/>
                    <w:jc w:val="center"/>
                    <w:rPr>
                      <w:rFonts w:ascii="Times New Roman" w:hAnsi="Times New Roman" w:cs="宋体"/>
                      <w:bCs/>
                      <w:kern w:val="0"/>
                      <w:sz w:val="21"/>
                      <w:szCs w:val="21"/>
                    </w:rPr>
                  </w:pPr>
                </w:p>
              </w:tc>
              <w:tc>
                <w:tcPr>
                  <w:tcW w:w="4820" w:type="dxa"/>
                  <w:vAlign w:val="center"/>
                </w:tcPr>
                <w:p>
                  <w:pPr>
                    <w:pStyle w:val="57"/>
                    <w:rPr>
                      <w:rFonts w:hint="default" w:eastAsia="宋体" w:cs="宋体"/>
                      <w:bCs/>
                      <w:color w:val="auto"/>
                      <w:sz w:val="21"/>
                      <w:szCs w:val="21"/>
                    </w:rPr>
                  </w:pPr>
                  <w:r>
                    <w:rPr>
                      <w:rFonts w:cs="宋体"/>
                      <w:bCs/>
                      <w:color w:val="auto"/>
                      <w:sz w:val="21"/>
                      <w:szCs w:val="21"/>
                    </w:rPr>
                    <w:t>5.</w:t>
                  </w:r>
                  <w:r>
                    <w:rPr>
                      <w:rFonts w:eastAsia="宋体" w:cs="宋体"/>
                      <w:bCs/>
                      <w:color w:val="auto"/>
                      <w:sz w:val="21"/>
                      <w:szCs w:val="21"/>
                    </w:rPr>
                    <w:t xml:space="preserve">工艺过程。各种物料破碎、筛分、配料、混料等过程应在封闭厂房内进行，并采取局部收尘/抑尘措施。破碎筛分设备在进、出料口和配料混料过程等产尘点应设置集气除尘设施。 </w:t>
                  </w:r>
                </w:p>
                <w:p>
                  <w:pPr>
                    <w:autoSpaceDE w:val="0"/>
                    <w:autoSpaceDN w:val="0"/>
                    <w:adjustRightInd w:val="0"/>
                    <w:jc w:val="left"/>
                    <w:rPr>
                      <w:rFonts w:cs="宋体"/>
                      <w:bCs/>
                      <w:kern w:val="0"/>
                      <w:szCs w:val="21"/>
                    </w:rPr>
                  </w:pPr>
                  <w:r>
                    <w:rPr>
                      <w:rFonts w:hint="eastAsia" w:cs="宋体"/>
                      <w:bCs/>
                      <w:kern w:val="0"/>
                      <w:szCs w:val="21"/>
                    </w:rPr>
                    <w:t>各生产工序的车间地面干净，无积料、积灰现象。</w:t>
                  </w:r>
                  <w:r>
                    <w:rPr>
                      <w:rFonts w:cs="宋体"/>
                      <w:bCs/>
                      <w:kern w:val="0"/>
                      <w:szCs w:val="21"/>
                    </w:rPr>
                    <w:t xml:space="preserve"> </w:t>
                  </w:r>
                </w:p>
                <w:p>
                  <w:pPr>
                    <w:pStyle w:val="49"/>
                    <w:spacing w:line="240" w:lineRule="auto"/>
                    <w:ind w:firstLine="0" w:firstLineChars="0"/>
                    <w:rPr>
                      <w:rFonts w:ascii="Times New Roman" w:hAnsi="Times New Roman" w:cs="宋体"/>
                      <w:bCs/>
                      <w:kern w:val="0"/>
                      <w:sz w:val="21"/>
                      <w:szCs w:val="21"/>
                    </w:rPr>
                  </w:pPr>
                  <w:r>
                    <w:rPr>
                      <w:rFonts w:hint="eastAsia" w:ascii="Times New Roman" w:hAnsi="Times New Roman" w:cs="宋体"/>
                      <w:bCs/>
                      <w:kern w:val="0"/>
                      <w:sz w:val="21"/>
                      <w:szCs w:val="21"/>
                    </w:rPr>
                    <w:t>生产车间不得有可见烟粉尘外逸。</w:t>
                  </w:r>
                </w:p>
              </w:tc>
              <w:tc>
                <w:tcPr>
                  <w:tcW w:w="2194" w:type="dxa"/>
                  <w:tcBorders>
                    <w:right w:val="single" w:color="auto" w:sz="4" w:space="0"/>
                  </w:tcBorders>
                  <w:vAlign w:val="center"/>
                </w:tcPr>
                <w:p>
                  <w:pPr>
                    <w:pStyle w:val="49"/>
                    <w:spacing w:line="240" w:lineRule="auto"/>
                    <w:ind w:firstLine="0" w:firstLineChars="0"/>
                    <w:jc w:val="left"/>
                    <w:rPr>
                      <w:rFonts w:ascii="Times New Roman" w:hAnsi="Times New Roman" w:cs="宋体"/>
                      <w:bCs/>
                      <w:kern w:val="0"/>
                      <w:sz w:val="21"/>
                      <w:szCs w:val="21"/>
                    </w:rPr>
                  </w:pPr>
                  <w:r>
                    <w:rPr>
                      <w:rFonts w:ascii="Times New Roman" w:hAnsi="Times New Roman" w:cs="宋体"/>
                      <w:bCs/>
                      <w:kern w:val="0"/>
                      <w:sz w:val="21"/>
                      <w:szCs w:val="21"/>
                    </w:rPr>
                    <w:t>工艺废气主要为粉磨废气，</w:t>
                  </w:r>
                  <w:r>
                    <w:rPr>
                      <w:rFonts w:hint="eastAsia" w:ascii="Times New Roman" w:hAnsi="Times New Roman" w:cs="宋体"/>
                      <w:bCs/>
                      <w:kern w:val="0"/>
                      <w:sz w:val="21"/>
                      <w:szCs w:val="21"/>
                    </w:rPr>
                    <w:t>在</w:t>
                  </w:r>
                  <w:r>
                    <w:rPr>
                      <w:rFonts w:ascii="Times New Roman" w:hAnsi="Times New Roman" w:cs="宋体"/>
                      <w:bCs/>
                      <w:kern w:val="0"/>
                      <w:sz w:val="21"/>
                      <w:szCs w:val="21"/>
                    </w:rPr>
                    <w:t>磨头、磨尾</w:t>
                  </w:r>
                  <w:r>
                    <w:rPr>
                      <w:rFonts w:hint="eastAsia" w:ascii="Times New Roman" w:hAnsi="Times New Roman" w:cs="宋体"/>
                      <w:bCs/>
                      <w:kern w:val="0"/>
                      <w:sz w:val="21"/>
                      <w:szCs w:val="21"/>
                    </w:rPr>
                    <w:t>设置</w:t>
                  </w:r>
                  <w:r>
                    <w:rPr>
                      <w:rFonts w:ascii="Times New Roman" w:hAnsi="Times New Roman" w:cs="宋体"/>
                      <w:bCs/>
                      <w:kern w:val="0"/>
                      <w:sz w:val="21"/>
                      <w:szCs w:val="21"/>
                    </w:rPr>
                    <w:t>集气罩，之后</w:t>
                  </w:r>
                  <w:r>
                    <w:rPr>
                      <w:rFonts w:hint="eastAsia" w:ascii="Times New Roman" w:hAnsi="Times New Roman" w:cs="宋体"/>
                      <w:bCs/>
                      <w:kern w:val="0"/>
                      <w:sz w:val="21"/>
                      <w:szCs w:val="21"/>
                    </w:rPr>
                    <w:t>由收尘</w:t>
                  </w:r>
                  <w:r>
                    <w:rPr>
                      <w:rFonts w:ascii="Times New Roman" w:hAnsi="Times New Roman" w:cs="宋体"/>
                      <w:bCs/>
                      <w:kern w:val="0"/>
                      <w:sz w:val="21"/>
                      <w:szCs w:val="21"/>
                    </w:rPr>
                    <w:t>管引入</w:t>
                  </w:r>
                  <w:r>
                    <w:rPr>
                      <w:rFonts w:hint="eastAsia" w:ascii="Times New Roman" w:hAnsi="Times New Roman" w:cs="宋体"/>
                      <w:bCs/>
                      <w:kern w:val="0"/>
                      <w:sz w:val="21"/>
                      <w:szCs w:val="21"/>
                    </w:rPr>
                    <w:t>袋式</w:t>
                  </w:r>
                  <w:r>
                    <w:rPr>
                      <w:rFonts w:ascii="Times New Roman" w:hAnsi="Times New Roman" w:cs="宋体"/>
                      <w:bCs/>
                      <w:kern w:val="0"/>
                      <w:sz w:val="21"/>
                      <w:szCs w:val="21"/>
                    </w:rPr>
                    <w:t>除尘器处理</w:t>
                  </w:r>
                  <w:r>
                    <w:rPr>
                      <w:rFonts w:hint="eastAsia" w:ascii="Times New Roman" w:hAnsi="Times New Roman" w:cs="宋体"/>
                      <w:bCs/>
                      <w:kern w:val="0"/>
                      <w:sz w:val="21"/>
                      <w:szCs w:val="21"/>
                    </w:rPr>
                    <w:t>。</w:t>
                  </w:r>
                </w:p>
              </w:tc>
              <w:tc>
                <w:tcPr>
                  <w:tcW w:w="499" w:type="dxa"/>
                  <w:gridSpan w:val="2"/>
                  <w:tcBorders>
                    <w:left w:val="single" w:color="auto" w:sz="4" w:space="0"/>
                  </w:tcBorders>
                  <w:vAlign w:val="center"/>
                </w:tcPr>
                <w:p>
                  <w:pPr>
                    <w:pStyle w:val="49"/>
                    <w:spacing w:line="240" w:lineRule="auto"/>
                    <w:ind w:firstLine="0" w:firstLineChars="0"/>
                    <w:jc w:val="left"/>
                    <w:rPr>
                      <w:rFonts w:ascii="Times New Roman" w:hAnsi="Times New Roman" w:cs="宋体"/>
                      <w:bCs/>
                      <w:kern w:val="0"/>
                      <w:sz w:val="21"/>
                      <w:szCs w:val="21"/>
                    </w:rPr>
                  </w:pPr>
                  <w:r>
                    <w:rPr>
                      <w:rFonts w:hint="eastAsia" w:ascii="Times New Roman" w:hAnsi="Times New Roman" w:cs="宋体"/>
                      <w:bCs/>
                      <w:kern w:val="0"/>
                      <w:sz w:val="21"/>
                      <w:szCs w:val="21"/>
                    </w:rPr>
                    <w:t>相符</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28" w:type="dxa"/>
                  <w:left w:w="28" w:type="dxa"/>
                  <w:bottom w:w="28" w:type="dxa"/>
                  <w:right w:w="28" w:type="dxa"/>
                </w:tblCellMar>
              </w:tblPrEx>
              <w:trPr>
                <w:trHeight w:val="443" w:hRule="atLeast"/>
              </w:trPr>
              <w:tc>
                <w:tcPr>
                  <w:tcW w:w="654" w:type="dxa"/>
                  <w:vMerge w:val="restart"/>
                  <w:vAlign w:val="center"/>
                </w:tcPr>
                <w:p>
                  <w:pPr>
                    <w:pStyle w:val="49"/>
                    <w:spacing w:line="240" w:lineRule="auto"/>
                    <w:ind w:firstLine="0" w:firstLineChars="0"/>
                    <w:jc w:val="center"/>
                    <w:rPr>
                      <w:rFonts w:ascii="Times New Roman" w:hAnsi="Times New Roman" w:cs="宋体"/>
                      <w:bCs/>
                      <w:kern w:val="0"/>
                      <w:sz w:val="21"/>
                      <w:szCs w:val="21"/>
                    </w:rPr>
                  </w:pPr>
                  <w:r>
                    <w:rPr>
                      <w:rFonts w:hint="eastAsia" w:ascii="Times New Roman" w:hAnsi="Times New Roman" w:cs="宋体"/>
                      <w:bCs/>
                      <w:kern w:val="0"/>
                      <w:sz w:val="21"/>
                      <w:szCs w:val="21"/>
                    </w:rPr>
                    <w:t>（二）其他</w:t>
                  </w:r>
                  <w:r>
                    <w:rPr>
                      <w:rFonts w:ascii="Times New Roman" w:hAnsi="Times New Roman" w:cs="宋体"/>
                      <w:bCs/>
                      <w:kern w:val="0"/>
                      <w:sz w:val="21"/>
                      <w:szCs w:val="21"/>
                    </w:rPr>
                    <w:t>基本要求</w:t>
                  </w:r>
                </w:p>
              </w:tc>
              <w:tc>
                <w:tcPr>
                  <w:tcW w:w="4820" w:type="dxa"/>
                  <w:vAlign w:val="center"/>
                </w:tcPr>
                <w:p>
                  <w:pPr>
                    <w:pStyle w:val="57"/>
                    <w:rPr>
                      <w:rFonts w:hint="default" w:eastAsia="宋体" w:cs="宋体"/>
                      <w:bCs/>
                      <w:color w:val="auto"/>
                      <w:sz w:val="21"/>
                      <w:szCs w:val="21"/>
                    </w:rPr>
                  </w:pPr>
                  <w:r>
                    <w:rPr>
                      <w:rFonts w:cs="宋体"/>
                      <w:bCs/>
                      <w:color w:val="auto"/>
                      <w:sz w:val="21"/>
                      <w:szCs w:val="21"/>
                    </w:rPr>
                    <w:t>1.运</w:t>
                  </w:r>
                  <w:r>
                    <w:rPr>
                      <w:rFonts w:eastAsia="宋体" w:cs="宋体"/>
                      <w:bCs/>
                      <w:color w:val="auto"/>
                      <w:sz w:val="21"/>
                      <w:szCs w:val="21"/>
                    </w:rPr>
                    <w:t>输方式及运输监管。</w:t>
                  </w:r>
                </w:p>
                <w:p>
                  <w:pPr>
                    <w:pStyle w:val="57"/>
                    <w:rPr>
                      <w:rFonts w:hint="default" w:eastAsia="宋体" w:cs="宋体"/>
                      <w:bCs/>
                      <w:color w:val="auto"/>
                      <w:sz w:val="21"/>
                      <w:szCs w:val="21"/>
                    </w:rPr>
                  </w:pPr>
                  <w:r>
                    <w:rPr>
                      <w:rFonts w:eastAsia="宋体" w:cs="宋体"/>
                      <w:bCs/>
                      <w:color w:val="auto"/>
                      <w:sz w:val="21"/>
                      <w:szCs w:val="21"/>
                    </w:rPr>
                    <w:t>（1）运输方式</w:t>
                  </w:r>
                </w:p>
                <w:p>
                  <w:pPr>
                    <w:pStyle w:val="57"/>
                    <w:rPr>
                      <w:rFonts w:hint="default" w:eastAsia="宋体" w:cs="宋体"/>
                      <w:bCs/>
                      <w:color w:val="auto"/>
                      <w:sz w:val="21"/>
                      <w:szCs w:val="21"/>
                    </w:rPr>
                  </w:pPr>
                  <w:r>
                    <w:rPr>
                      <w:rFonts w:eastAsia="宋体" w:cs="宋体"/>
                      <w:bCs/>
                      <w:color w:val="auto"/>
                      <w:sz w:val="21"/>
                      <w:szCs w:val="21"/>
                    </w:rPr>
                    <w:t xml:space="preserve">①公路运输。物料公路运输使用达到国五及以上排放标准重型载货车辆（含燃气）或新能源车辆比例（A级100%，B级不低于80%），其他车辆达到国四排放标准； </w:t>
                  </w:r>
                </w:p>
                <w:p>
                  <w:pPr>
                    <w:pStyle w:val="57"/>
                    <w:rPr>
                      <w:rFonts w:hint="default" w:eastAsia="宋体" w:cs="宋体"/>
                      <w:bCs/>
                      <w:color w:val="auto"/>
                      <w:sz w:val="21"/>
                      <w:szCs w:val="21"/>
                    </w:rPr>
                  </w:pPr>
                  <w:r>
                    <w:rPr>
                      <w:rFonts w:eastAsia="宋体" w:cs="宋体"/>
                      <w:bCs/>
                      <w:color w:val="auto"/>
                      <w:sz w:val="21"/>
                      <w:szCs w:val="21"/>
                    </w:rPr>
                    <w:t xml:space="preserve">②厂内运输车辆。达到国五及以上排放标准（含燃气）或使用新能源车辆的比例（A级100%，B级不低于80%），其他车辆达到国四排放标准； </w:t>
                  </w:r>
                </w:p>
                <w:p>
                  <w:pPr>
                    <w:pStyle w:val="57"/>
                    <w:rPr>
                      <w:rFonts w:hint="default" w:eastAsia="宋体" w:cs="宋体"/>
                      <w:bCs/>
                      <w:color w:val="auto"/>
                      <w:sz w:val="21"/>
                      <w:szCs w:val="21"/>
                    </w:rPr>
                  </w:pPr>
                  <w:r>
                    <w:rPr>
                      <w:rFonts w:eastAsia="宋体" w:cs="宋体"/>
                      <w:bCs/>
                      <w:color w:val="auto"/>
                      <w:sz w:val="21"/>
                      <w:szCs w:val="21"/>
                    </w:rPr>
                    <w:t xml:space="preserve">③危险品及危废运输。国五及以上或新能源车辆（A级/B级100%）； </w:t>
                  </w:r>
                </w:p>
                <w:p>
                  <w:pPr>
                    <w:pStyle w:val="57"/>
                    <w:rPr>
                      <w:rFonts w:hint="default" w:cs="宋体"/>
                      <w:bCs/>
                      <w:color w:val="auto"/>
                      <w:sz w:val="21"/>
                      <w:szCs w:val="21"/>
                    </w:rPr>
                  </w:pPr>
                  <w:r>
                    <w:rPr>
                      <w:rFonts w:eastAsia="宋体" w:cs="宋体"/>
                      <w:bCs/>
                      <w:color w:val="auto"/>
                      <w:sz w:val="21"/>
                      <w:szCs w:val="21"/>
                    </w:rPr>
                    <w:t>④厂内非道路移动机械。国三及以上排放标准或使用新能源机械（A级/B级100%）。</w:t>
                  </w:r>
                </w:p>
              </w:tc>
              <w:tc>
                <w:tcPr>
                  <w:tcW w:w="2194" w:type="dxa"/>
                  <w:tcBorders>
                    <w:right w:val="single" w:color="auto" w:sz="4" w:space="0"/>
                  </w:tcBorders>
                  <w:vAlign w:val="center"/>
                </w:tcPr>
                <w:p>
                  <w:pPr>
                    <w:pStyle w:val="81"/>
                    <w:jc w:val="both"/>
                    <w:rPr>
                      <w:rFonts w:cs="宋体"/>
                      <w:bCs/>
                      <w:kern w:val="0"/>
                    </w:rPr>
                  </w:pPr>
                  <w:r>
                    <w:rPr>
                      <w:rFonts w:hint="eastAsia" w:cs="宋体"/>
                      <w:bCs/>
                      <w:kern w:val="0"/>
                    </w:rPr>
                    <w:t>物料、产品运输全部使用国五及以上车辆；</w:t>
                  </w:r>
                </w:p>
                <w:p>
                  <w:pPr>
                    <w:pStyle w:val="81"/>
                    <w:jc w:val="both"/>
                    <w:rPr>
                      <w:rFonts w:cs="宋体"/>
                      <w:bCs/>
                      <w:kern w:val="0"/>
                    </w:rPr>
                  </w:pPr>
                  <w:r>
                    <w:rPr>
                      <w:rFonts w:hint="eastAsia" w:cs="宋体"/>
                      <w:bCs/>
                      <w:kern w:val="0"/>
                    </w:rPr>
                    <w:t>厂区车辆全部达国五及以上。</w:t>
                  </w:r>
                </w:p>
              </w:tc>
              <w:tc>
                <w:tcPr>
                  <w:tcW w:w="499" w:type="dxa"/>
                  <w:gridSpan w:val="2"/>
                  <w:tcBorders>
                    <w:left w:val="single" w:color="auto" w:sz="4" w:space="0"/>
                  </w:tcBorders>
                  <w:vAlign w:val="center"/>
                </w:tcPr>
                <w:p>
                  <w:pPr>
                    <w:pStyle w:val="81"/>
                    <w:jc w:val="both"/>
                    <w:rPr>
                      <w:rFonts w:cs="宋体"/>
                      <w:bCs/>
                      <w:kern w:val="0"/>
                    </w:rPr>
                  </w:pPr>
                  <w:r>
                    <w:rPr>
                      <w:rFonts w:hint="eastAsia" w:cs="宋体"/>
                      <w:bCs/>
                      <w:kern w:val="0"/>
                    </w:rPr>
                    <w:t>A级</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28" w:type="dxa"/>
                  <w:left w:w="28" w:type="dxa"/>
                  <w:bottom w:w="28" w:type="dxa"/>
                  <w:right w:w="28" w:type="dxa"/>
                </w:tblCellMar>
              </w:tblPrEx>
              <w:trPr>
                <w:trHeight w:val="443" w:hRule="atLeast"/>
              </w:trPr>
              <w:tc>
                <w:tcPr>
                  <w:tcW w:w="654" w:type="dxa"/>
                  <w:vMerge w:val="continue"/>
                  <w:vAlign w:val="center"/>
                </w:tcPr>
                <w:p>
                  <w:pPr>
                    <w:pStyle w:val="49"/>
                    <w:spacing w:line="240" w:lineRule="auto"/>
                    <w:ind w:firstLine="0" w:firstLineChars="0"/>
                    <w:jc w:val="center"/>
                    <w:rPr>
                      <w:rFonts w:ascii="Times New Roman" w:hAnsi="Times New Roman" w:cs="宋体"/>
                      <w:bCs/>
                      <w:kern w:val="0"/>
                      <w:sz w:val="21"/>
                      <w:szCs w:val="21"/>
                    </w:rPr>
                  </w:pPr>
                </w:p>
              </w:tc>
              <w:tc>
                <w:tcPr>
                  <w:tcW w:w="4820" w:type="dxa"/>
                  <w:vAlign w:val="center"/>
                </w:tcPr>
                <w:p>
                  <w:pPr>
                    <w:pStyle w:val="57"/>
                    <w:rPr>
                      <w:rFonts w:hint="default" w:eastAsia="宋体" w:cs="宋体"/>
                      <w:bCs/>
                      <w:color w:val="auto"/>
                      <w:sz w:val="21"/>
                      <w:szCs w:val="21"/>
                    </w:rPr>
                  </w:pPr>
                  <w:r>
                    <w:rPr>
                      <w:rFonts w:eastAsia="宋体" w:cs="宋体"/>
                      <w:bCs/>
                      <w:color w:val="auto"/>
                      <w:sz w:val="21"/>
                      <w:szCs w:val="21"/>
                    </w:rPr>
                    <w:t>（2）运输监管</w:t>
                  </w:r>
                </w:p>
                <w:p>
                  <w:pPr>
                    <w:pStyle w:val="57"/>
                    <w:rPr>
                      <w:rFonts w:hint="default" w:cs="宋体"/>
                      <w:bCs/>
                      <w:color w:val="auto"/>
                      <w:sz w:val="21"/>
                      <w:szCs w:val="21"/>
                    </w:rPr>
                  </w:pPr>
                  <w:r>
                    <w:rPr>
                      <w:rFonts w:eastAsia="宋体" w:cs="宋体"/>
                      <w:bCs/>
                      <w:color w:val="auto"/>
                      <w:sz w:val="21"/>
                      <w:szCs w:val="21"/>
                    </w:rPr>
                    <w:t>厂区货运车辆进出大门口：日均进出货物150吨（或载货车辆日进出10辆次）及以上（货物包括原料、辅料、燃料、产品和其他与生产相关物料）的企业，或纳入我省重点行业年产值1000万及以上的企业，拟申报A、B级企业时，应参照《重污染天气重点行业移动源应急管理技术指南》建立门禁视频监控系统和电子台账；其他企业建立门禁视频监控系统和台账。安装高清视频监控系统并能保留数据6个月以上。</w:t>
                  </w:r>
                </w:p>
              </w:tc>
              <w:tc>
                <w:tcPr>
                  <w:tcW w:w="2194" w:type="dxa"/>
                  <w:tcBorders>
                    <w:right w:val="single" w:color="auto" w:sz="4" w:space="0"/>
                  </w:tcBorders>
                  <w:vAlign w:val="center"/>
                </w:tcPr>
                <w:p>
                  <w:pPr>
                    <w:pStyle w:val="57"/>
                    <w:rPr>
                      <w:rFonts w:hint="default" w:eastAsia="宋体" w:cs="宋体"/>
                      <w:bCs/>
                      <w:color w:val="auto"/>
                      <w:sz w:val="21"/>
                      <w:szCs w:val="21"/>
                    </w:rPr>
                  </w:pPr>
                  <w:r>
                    <w:rPr>
                      <w:rFonts w:ascii="宋体" w:hAnsi="宋体" w:eastAsia="宋体" w:cs="宋体"/>
                      <w:bCs/>
                      <w:color w:val="auto"/>
                      <w:sz w:val="21"/>
                      <w:szCs w:val="21"/>
                    </w:rPr>
                    <w:t>项目</w:t>
                  </w:r>
                  <w:r>
                    <w:rPr>
                      <w:rFonts w:eastAsia="宋体" w:cs="宋体"/>
                      <w:bCs/>
                      <w:color w:val="auto"/>
                      <w:sz w:val="21"/>
                      <w:szCs w:val="21"/>
                    </w:rPr>
                    <w:t>日均进出货物</w:t>
                  </w:r>
                  <w:r>
                    <w:rPr>
                      <w:rFonts w:hint="default" w:eastAsia="宋体" w:cs="宋体"/>
                      <w:bCs/>
                      <w:color w:val="auto"/>
                      <w:sz w:val="21"/>
                      <w:szCs w:val="21"/>
                    </w:rPr>
                    <w:t>12</w:t>
                  </w:r>
                  <w:r>
                    <w:rPr>
                      <w:rFonts w:eastAsia="宋体" w:cs="宋体"/>
                      <w:bCs/>
                      <w:color w:val="auto"/>
                      <w:sz w:val="21"/>
                      <w:szCs w:val="21"/>
                    </w:rPr>
                    <w:t>0吨（载货车辆日进出</w:t>
                  </w:r>
                  <w:r>
                    <w:rPr>
                      <w:rFonts w:hint="default" w:eastAsia="宋体" w:cs="宋体"/>
                      <w:bCs/>
                      <w:color w:val="auto"/>
                      <w:sz w:val="21"/>
                      <w:szCs w:val="21"/>
                    </w:rPr>
                    <w:t>8</w:t>
                  </w:r>
                  <w:r>
                    <w:rPr>
                      <w:rFonts w:eastAsia="宋体" w:cs="宋体"/>
                      <w:bCs/>
                      <w:color w:val="auto"/>
                      <w:sz w:val="21"/>
                      <w:szCs w:val="21"/>
                    </w:rPr>
                    <w:t>辆次），</w:t>
                  </w:r>
                  <w:r>
                    <w:rPr>
                      <w:rFonts w:hint="default" w:eastAsia="宋体" w:cs="宋体"/>
                      <w:bCs/>
                      <w:color w:val="auto"/>
                      <w:sz w:val="21"/>
                      <w:szCs w:val="21"/>
                    </w:rPr>
                    <w:t>应按</w:t>
                  </w:r>
                  <w:r>
                    <w:rPr>
                      <w:rFonts w:eastAsia="宋体" w:cs="宋体"/>
                      <w:bCs/>
                      <w:color w:val="auto"/>
                      <w:sz w:val="21"/>
                      <w:szCs w:val="21"/>
                    </w:rPr>
                    <w:t>要求安装门禁视频监控系统。</w:t>
                  </w:r>
                </w:p>
              </w:tc>
              <w:tc>
                <w:tcPr>
                  <w:tcW w:w="499" w:type="dxa"/>
                  <w:gridSpan w:val="2"/>
                  <w:tcBorders>
                    <w:left w:val="single" w:color="auto" w:sz="4" w:space="0"/>
                  </w:tcBorders>
                  <w:vAlign w:val="center"/>
                </w:tcPr>
                <w:p>
                  <w:pPr>
                    <w:pStyle w:val="49"/>
                    <w:spacing w:line="240" w:lineRule="auto"/>
                    <w:ind w:firstLine="0" w:firstLineChars="0"/>
                    <w:jc w:val="center"/>
                    <w:rPr>
                      <w:rFonts w:ascii="Times New Roman" w:hAnsi="Times New Roman" w:cs="宋体"/>
                      <w:bCs/>
                      <w:kern w:val="0"/>
                      <w:sz w:val="21"/>
                      <w:szCs w:val="21"/>
                    </w:rPr>
                  </w:pPr>
                  <w:r>
                    <w:rPr>
                      <w:rFonts w:hint="eastAsia" w:ascii="Times New Roman" w:hAnsi="Times New Roman" w:cs="宋体"/>
                      <w:bCs/>
                      <w:kern w:val="0"/>
                      <w:sz w:val="21"/>
                      <w:szCs w:val="21"/>
                    </w:rPr>
                    <w:t>相符</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28" w:type="dxa"/>
                  <w:left w:w="28" w:type="dxa"/>
                  <w:bottom w:w="28" w:type="dxa"/>
                  <w:right w:w="28" w:type="dxa"/>
                </w:tblCellMar>
              </w:tblPrEx>
              <w:trPr>
                <w:trHeight w:val="443" w:hRule="atLeast"/>
              </w:trPr>
              <w:tc>
                <w:tcPr>
                  <w:tcW w:w="654" w:type="dxa"/>
                  <w:vMerge w:val="continue"/>
                  <w:vAlign w:val="center"/>
                </w:tcPr>
                <w:p>
                  <w:pPr>
                    <w:pStyle w:val="49"/>
                    <w:spacing w:line="240" w:lineRule="auto"/>
                    <w:ind w:firstLine="0" w:firstLineChars="0"/>
                    <w:jc w:val="center"/>
                    <w:rPr>
                      <w:rFonts w:ascii="Times New Roman" w:hAnsi="Times New Roman" w:cs="宋体"/>
                      <w:bCs/>
                      <w:kern w:val="0"/>
                      <w:sz w:val="21"/>
                      <w:szCs w:val="21"/>
                    </w:rPr>
                  </w:pPr>
                </w:p>
              </w:tc>
              <w:tc>
                <w:tcPr>
                  <w:tcW w:w="4820" w:type="dxa"/>
                  <w:vAlign w:val="center"/>
                </w:tcPr>
                <w:p>
                  <w:pPr>
                    <w:pStyle w:val="57"/>
                    <w:rPr>
                      <w:rFonts w:hint="default" w:eastAsia="宋体" w:cs="宋体"/>
                      <w:bCs/>
                      <w:color w:val="auto"/>
                      <w:sz w:val="21"/>
                      <w:szCs w:val="21"/>
                    </w:rPr>
                  </w:pPr>
                  <w:r>
                    <w:rPr>
                      <w:rFonts w:eastAsia="宋体" w:cs="宋体"/>
                      <w:bCs/>
                      <w:color w:val="auto"/>
                      <w:sz w:val="21"/>
                      <w:szCs w:val="21"/>
                    </w:rPr>
                    <w:t>2.环境</w:t>
                  </w:r>
                  <w:r>
                    <w:rPr>
                      <w:rFonts w:hint="default" w:eastAsia="宋体" w:cs="宋体"/>
                      <w:bCs/>
                      <w:color w:val="auto"/>
                      <w:sz w:val="21"/>
                      <w:szCs w:val="21"/>
                    </w:rPr>
                    <w:t>管理要求</w:t>
                  </w:r>
                </w:p>
                <w:p>
                  <w:pPr>
                    <w:autoSpaceDE w:val="0"/>
                    <w:autoSpaceDN w:val="0"/>
                    <w:adjustRightInd w:val="0"/>
                    <w:jc w:val="left"/>
                    <w:rPr>
                      <w:rFonts w:cs="宋体"/>
                      <w:bCs/>
                      <w:kern w:val="0"/>
                      <w:szCs w:val="21"/>
                    </w:rPr>
                  </w:pPr>
                  <w:r>
                    <w:rPr>
                      <w:rFonts w:hint="eastAsia" w:cs="宋体"/>
                      <w:bCs/>
                      <w:kern w:val="0"/>
                      <w:szCs w:val="21"/>
                    </w:rPr>
                    <w:t>（</w:t>
                  </w:r>
                  <w:r>
                    <w:rPr>
                      <w:rFonts w:cs="宋体"/>
                      <w:bCs/>
                      <w:kern w:val="0"/>
                      <w:szCs w:val="21"/>
                    </w:rPr>
                    <w:t>1</w:t>
                  </w:r>
                  <w:r>
                    <w:rPr>
                      <w:rFonts w:hint="eastAsia" w:cs="宋体"/>
                      <w:bCs/>
                      <w:kern w:val="0"/>
                      <w:szCs w:val="21"/>
                    </w:rPr>
                    <w:t>）环保档案资料齐全</w:t>
                  </w:r>
                </w:p>
                <w:p>
                  <w:pPr>
                    <w:autoSpaceDE w:val="0"/>
                    <w:autoSpaceDN w:val="0"/>
                    <w:adjustRightInd w:val="0"/>
                    <w:jc w:val="left"/>
                    <w:rPr>
                      <w:rFonts w:cs="宋体"/>
                      <w:bCs/>
                      <w:kern w:val="0"/>
                      <w:szCs w:val="21"/>
                    </w:rPr>
                  </w:pPr>
                  <w:r>
                    <w:rPr>
                      <w:rFonts w:hint="eastAsia" w:cs="宋体"/>
                      <w:bCs/>
                      <w:kern w:val="0"/>
                      <w:szCs w:val="21"/>
                    </w:rPr>
                    <w:t>①环评批复文件和竣工验收文件</w:t>
                  </w:r>
                  <w:r>
                    <w:rPr>
                      <w:rFonts w:cs="宋体"/>
                      <w:bCs/>
                      <w:kern w:val="0"/>
                      <w:szCs w:val="21"/>
                    </w:rPr>
                    <w:t>/</w:t>
                  </w:r>
                  <w:r>
                    <w:rPr>
                      <w:rFonts w:hint="eastAsia" w:cs="宋体"/>
                      <w:bCs/>
                      <w:kern w:val="0"/>
                      <w:szCs w:val="21"/>
                    </w:rPr>
                    <w:t>现状评估文件；</w:t>
                  </w:r>
                </w:p>
                <w:p>
                  <w:pPr>
                    <w:autoSpaceDE w:val="0"/>
                    <w:autoSpaceDN w:val="0"/>
                    <w:adjustRightInd w:val="0"/>
                    <w:jc w:val="left"/>
                    <w:rPr>
                      <w:rFonts w:cs="宋体"/>
                      <w:bCs/>
                      <w:kern w:val="0"/>
                      <w:szCs w:val="21"/>
                    </w:rPr>
                  </w:pPr>
                  <w:r>
                    <w:rPr>
                      <w:rFonts w:hint="eastAsia" w:cs="宋体"/>
                      <w:bCs/>
                      <w:kern w:val="0"/>
                      <w:szCs w:val="21"/>
                    </w:rPr>
                    <w:t>②废气治理设施运行管理规程；</w:t>
                  </w:r>
                </w:p>
                <w:p>
                  <w:pPr>
                    <w:autoSpaceDE w:val="0"/>
                    <w:autoSpaceDN w:val="0"/>
                    <w:adjustRightInd w:val="0"/>
                    <w:jc w:val="left"/>
                    <w:rPr>
                      <w:rFonts w:cs="宋体"/>
                      <w:bCs/>
                      <w:kern w:val="0"/>
                      <w:szCs w:val="21"/>
                    </w:rPr>
                  </w:pPr>
                  <w:r>
                    <w:rPr>
                      <w:rFonts w:hint="eastAsia" w:cs="宋体"/>
                      <w:bCs/>
                      <w:kern w:val="0"/>
                      <w:szCs w:val="21"/>
                    </w:rPr>
                    <w:t>③一年内废气监测报告；</w:t>
                  </w:r>
                </w:p>
                <w:p>
                  <w:pPr>
                    <w:pStyle w:val="57"/>
                    <w:rPr>
                      <w:rFonts w:hint="default" w:eastAsia="宋体" w:cs="宋体"/>
                      <w:bCs/>
                      <w:color w:val="auto"/>
                      <w:sz w:val="21"/>
                      <w:szCs w:val="21"/>
                    </w:rPr>
                  </w:pPr>
                  <w:r>
                    <w:rPr>
                      <w:rFonts w:eastAsia="宋体" w:cs="宋体"/>
                      <w:bCs/>
                      <w:color w:val="auto"/>
                      <w:sz w:val="21"/>
                      <w:szCs w:val="21"/>
                    </w:rPr>
                    <w:t>④国家版排污许可证，并按要求开展自行监测和信息披露</w:t>
                  </w:r>
                  <w:r>
                    <w:rPr>
                      <w:rFonts w:eastAsia="宋体" w:cs="宋体"/>
                      <w:bCs/>
                      <w:color w:val="auto"/>
                      <w:spacing w:val="-8"/>
                      <w:sz w:val="21"/>
                      <w:szCs w:val="21"/>
                    </w:rPr>
                    <w:t>，有规范的排气筒监测平台和排污口标识。</w:t>
                  </w:r>
                </w:p>
              </w:tc>
              <w:tc>
                <w:tcPr>
                  <w:tcW w:w="2194" w:type="dxa"/>
                  <w:tcBorders>
                    <w:right w:val="single" w:color="auto" w:sz="4" w:space="0"/>
                  </w:tcBorders>
                  <w:vAlign w:val="center"/>
                </w:tcPr>
                <w:p>
                  <w:pPr>
                    <w:pStyle w:val="49"/>
                    <w:spacing w:line="240" w:lineRule="auto"/>
                    <w:ind w:firstLine="0" w:firstLineChars="0"/>
                    <w:jc w:val="center"/>
                    <w:rPr>
                      <w:rFonts w:ascii="Times New Roman" w:hAnsi="Times New Roman" w:cs="宋体"/>
                      <w:bCs/>
                      <w:kern w:val="0"/>
                      <w:sz w:val="21"/>
                      <w:szCs w:val="21"/>
                    </w:rPr>
                  </w:pPr>
                  <w:r>
                    <w:rPr>
                      <w:rFonts w:hint="eastAsia" w:ascii="Times New Roman" w:hAnsi="Times New Roman" w:cs="宋体"/>
                      <w:bCs/>
                      <w:kern w:val="0"/>
                      <w:sz w:val="21"/>
                      <w:szCs w:val="21"/>
                    </w:rPr>
                    <w:t>项目</w:t>
                  </w:r>
                  <w:r>
                    <w:rPr>
                      <w:rFonts w:ascii="Times New Roman" w:hAnsi="Times New Roman" w:cs="宋体"/>
                      <w:bCs/>
                      <w:kern w:val="0"/>
                      <w:sz w:val="21"/>
                      <w:szCs w:val="21"/>
                    </w:rPr>
                    <w:t>为新建，需按照相关环境管理要求进行</w:t>
                  </w:r>
                </w:p>
              </w:tc>
              <w:tc>
                <w:tcPr>
                  <w:tcW w:w="499" w:type="dxa"/>
                  <w:gridSpan w:val="2"/>
                  <w:tcBorders>
                    <w:left w:val="single" w:color="auto" w:sz="4" w:space="0"/>
                  </w:tcBorders>
                  <w:vAlign w:val="center"/>
                </w:tcPr>
                <w:p>
                  <w:pPr>
                    <w:pStyle w:val="49"/>
                    <w:spacing w:line="240" w:lineRule="auto"/>
                    <w:ind w:firstLine="0" w:firstLineChars="0"/>
                    <w:jc w:val="center"/>
                    <w:rPr>
                      <w:rFonts w:ascii="Times New Roman" w:hAnsi="Times New Roman" w:cs="宋体"/>
                      <w:bCs/>
                      <w:kern w:val="0"/>
                      <w:sz w:val="21"/>
                      <w:szCs w:val="21"/>
                    </w:rPr>
                  </w:pPr>
                  <w:r>
                    <w:rPr>
                      <w:rFonts w:hint="eastAsia" w:ascii="Times New Roman" w:hAnsi="Times New Roman" w:cs="宋体"/>
                      <w:bCs/>
                      <w:kern w:val="0"/>
                      <w:sz w:val="21"/>
                      <w:szCs w:val="21"/>
                    </w:rPr>
                    <w:t>相符</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28" w:type="dxa"/>
                  <w:left w:w="28" w:type="dxa"/>
                  <w:bottom w:w="28" w:type="dxa"/>
                  <w:right w:w="28" w:type="dxa"/>
                </w:tblCellMar>
              </w:tblPrEx>
              <w:trPr>
                <w:trHeight w:val="443" w:hRule="atLeast"/>
              </w:trPr>
              <w:tc>
                <w:tcPr>
                  <w:tcW w:w="654" w:type="dxa"/>
                  <w:vMerge w:val="continue"/>
                  <w:vAlign w:val="center"/>
                </w:tcPr>
                <w:p>
                  <w:pPr>
                    <w:pStyle w:val="49"/>
                    <w:spacing w:line="240" w:lineRule="auto"/>
                    <w:ind w:firstLine="0" w:firstLineChars="0"/>
                    <w:jc w:val="center"/>
                    <w:rPr>
                      <w:rFonts w:ascii="Times New Roman" w:hAnsi="Times New Roman" w:cs="宋体"/>
                      <w:bCs/>
                      <w:kern w:val="0"/>
                      <w:sz w:val="21"/>
                      <w:szCs w:val="21"/>
                    </w:rPr>
                  </w:pPr>
                </w:p>
              </w:tc>
              <w:tc>
                <w:tcPr>
                  <w:tcW w:w="4820" w:type="dxa"/>
                  <w:vAlign w:val="center"/>
                </w:tcPr>
                <w:p>
                  <w:pPr>
                    <w:pStyle w:val="57"/>
                    <w:rPr>
                      <w:rFonts w:hint="default" w:eastAsia="宋体" w:cs="宋体"/>
                      <w:bCs/>
                      <w:color w:val="auto"/>
                      <w:sz w:val="21"/>
                      <w:szCs w:val="21"/>
                    </w:rPr>
                  </w:pPr>
                  <w:r>
                    <w:rPr>
                      <w:rFonts w:eastAsia="宋体" w:cs="宋体"/>
                      <w:bCs/>
                      <w:color w:val="auto"/>
                      <w:sz w:val="21"/>
                      <w:szCs w:val="21"/>
                    </w:rPr>
                    <w:t>（2）台账记录信息完整</w:t>
                  </w:r>
                </w:p>
                <w:p>
                  <w:pPr>
                    <w:pStyle w:val="57"/>
                    <w:rPr>
                      <w:rFonts w:hint="default" w:eastAsia="宋体" w:cs="宋体"/>
                      <w:bCs/>
                      <w:color w:val="auto"/>
                      <w:sz w:val="21"/>
                      <w:szCs w:val="21"/>
                    </w:rPr>
                  </w:pPr>
                  <w:r>
                    <w:rPr>
                      <w:rFonts w:eastAsia="宋体" w:cs="宋体"/>
                      <w:bCs/>
                      <w:color w:val="auto"/>
                      <w:sz w:val="21"/>
                      <w:szCs w:val="21"/>
                    </w:rPr>
                    <w:t xml:space="preserve">①生产设施运行管理信息（生产时间、 运行负荷、产品产量等）； </w:t>
                  </w:r>
                </w:p>
                <w:p>
                  <w:pPr>
                    <w:pStyle w:val="57"/>
                    <w:rPr>
                      <w:rFonts w:hint="default" w:eastAsia="宋体" w:cs="宋体"/>
                      <w:bCs/>
                      <w:color w:val="auto"/>
                      <w:sz w:val="21"/>
                      <w:szCs w:val="21"/>
                    </w:rPr>
                  </w:pPr>
                  <w:r>
                    <w:rPr>
                      <w:rFonts w:eastAsia="宋体" w:cs="宋体"/>
                      <w:bCs/>
                      <w:color w:val="auto"/>
                      <w:sz w:val="21"/>
                      <w:szCs w:val="21"/>
                    </w:rPr>
                    <w:t xml:space="preserve">②废气污染治理设施运行管理信息（除尘滤料、活性炭等更换量和时间）； </w:t>
                  </w:r>
                </w:p>
                <w:p>
                  <w:pPr>
                    <w:pStyle w:val="57"/>
                    <w:rPr>
                      <w:rFonts w:hint="default" w:eastAsia="宋体" w:cs="宋体"/>
                      <w:bCs/>
                      <w:color w:val="auto"/>
                      <w:sz w:val="21"/>
                      <w:szCs w:val="21"/>
                    </w:rPr>
                  </w:pPr>
                  <w:r>
                    <w:rPr>
                      <w:rFonts w:eastAsia="宋体" w:cs="宋体"/>
                      <w:bCs/>
                      <w:color w:val="auto"/>
                      <w:sz w:val="21"/>
                      <w:szCs w:val="21"/>
                    </w:rPr>
                    <w:t xml:space="preserve">③监测记录信息（主要污染排放口废气排放记录（手工监测和在线监测）等）； </w:t>
                  </w:r>
                </w:p>
                <w:p>
                  <w:pPr>
                    <w:pStyle w:val="57"/>
                    <w:rPr>
                      <w:rFonts w:hint="default" w:eastAsia="宋体" w:cs="宋体"/>
                      <w:bCs/>
                      <w:color w:val="auto"/>
                      <w:sz w:val="21"/>
                      <w:szCs w:val="21"/>
                    </w:rPr>
                  </w:pPr>
                  <w:r>
                    <w:rPr>
                      <w:rFonts w:eastAsia="宋体" w:cs="宋体"/>
                      <w:bCs/>
                      <w:color w:val="auto"/>
                      <w:sz w:val="21"/>
                      <w:szCs w:val="21"/>
                    </w:rPr>
                    <w:t xml:space="preserve">④主要原辅材料、燃料消耗记录（A、B级企业必需）； </w:t>
                  </w:r>
                </w:p>
                <w:p>
                  <w:pPr>
                    <w:pStyle w:val="57"/>
                    <w:rPr>
                      <w:rFonts w:hint="default" w:eastAsia="宋体" w:cs="宋体"/>
                      <w:bCs/>
                      <w:color w:val="auto"/>
                      <w:sz w:val="21"/>
                      <w:szCs w:val="21"/>
                    </w:rPr>
                  </w:pPr>
                  <w:r>
                    <w:rPr>
                      <w:rFonts w:eastAsia="宋体" w:cs="宋体"/>
                      <w:bCs/>
                      <w:color w:val="auto"/>
                      <w:sz w:val="21"/>
                      <w:szCs w:val="21"/>
                    </w:rPr>
                    <w:t>⑤电消耗记录（已安装用电监管设备的A、B级企业必需）。</w:t>
                  </w:r>
                </w:p>
              </w:tc>
              <w:tc>
                <w:tcPr>
                  <w:tcW w:w="2194" w:type="dxa"/>
                  <w:tcBorders>
                    <w:right w:val="single" w:color="auto" w:sz="4" w:space="0"/>
                  </w:tcBorders>
                  <w:vAlign w:val="center"/>
                </w:tcPr>
                <w:p>
                  <w:pPr>
                    <w:pStyle w:val="49"/>
                    <w:spacing w:line="240" w:lineRule="auto"/>
                    <w:ind w:firstLine="0" w:firstLineChars="0"/>
                    <w:jc w:val="center"/>
                    <w:rPr>
                      <w:rFonts w:ascii="Times New Roman" w:hAnsi="Times New Roman" w:cs="宋体"/>
                      <w:bCs/>
                      <w:kern w:val="0"/>
                      <w:sz w:val="21"/>
                      <w:szCs w:val="21"/>
                    </w:rPr>
                  </w:pPr>
                  <w:r>
                    <w:rPr>
                      <w:rFonts w:hint="eastAsia" w:ascii="Times New Roman" w:hAnsi="Times New Roman" w:cs="宋体"/>
                      <w:bCs/>
                      <w:kern w:val="0"/>
                      <w:sz w:val="21"/>
                      <w:szCs w:val="21"/>
                    </w:rPr>
                    <w:t>项目</w:t>
                  </w:r>
                  <w:r>
                    <w:rPr>
                      <w:rFonts w:ascii="Times New Roman" w:hAnsi="Times New Roman" w:cs="宋体"/>
                      <w:bCs/>
                      <w:kern w:val="0"/>
                      <w:sz w:val="21"/>
                      <w:szCs w:val="21"/>
                    </w:rPr>
                    <w:t>为新建，需按照相关</w:t>
                  </w:r>
                  <w:r>
                    <w:rPr>
                      <w:rFonts w:hint="eastAsia" w:ascii="Times New Roman" w:hAnsi="Times New Roman" w:cs="宋体"/>
                      <w:bCs/>
                      <w:kern w:val="0"/>
                      <w:sz w:val="21"/>
                      <w:szCs w:val="21"/>
                    </w:rPr>
                    <w:t>台账记录</w:t>
                  </w:r>
                  <w:r>
                    <w:rPr>
                      <w:rFonts w:ascii="Times New Roman" w:hAnsi="Times New Roman" w:cs="宋体"/>
                      <w:bCs/>
                      <w:kern w:val="0"/>
                      <w:sz w:val="21"/>
                      <w:szCs w:val="21"/>
                    </w:rPr>
                    <w:t>信息进行</w:t>
                  </w:r>
                </w:p>
              </w:tc>
              <w:tc>
                <w:tcPr>
                  <w:tcW w:w="499" w:type="dxa"/>
                  <w:gridSpan w:val="2"/>
                  <w:tcBorders>
                    <w:left w:val="single" w:color="auto" w:sz="4" w:space="0"/>
                  </w:tcBorders>
                  <w:vAlign w:val="center"/>
                </w:tcPr>
                <w:p>
                  <w:pPr>
                    <w:pStyle w:val="49"/>
                    <w:spacing w:line="240" w:lineRule="auto"/>
                    <w:ind w:firstLine="0" w:firstLineChars="0"/>
                    <w:jc w:val="center"/>
                    <w:rPr>
                      <w:rFonts w:ascii="Times New Roman" w:hAnsi="Times New Roman" w:cs="宋体"/>
                      <w:bCs/>
                      <w:kern w:val="0"/>
                      <w:sz w:val="21"/>
                      <w:szCs w:val="21"/>
                    </w:rPr>
                  </w:pPr>
                  <w:r>
                    <w:rPr>
                      <w:rFonts w:hint="eastAsia" w:ascii="Times New Roman" w:hAnsi="Times New Roman" w:cs="宋体"/>
                      <w:bCs/>
                      <w:kern w:val="0"/>
                      <w:sz w:val="21"/>
                      <w:szCs w:val="21"/>
                    </w:rPr>
                    <w:t>相符</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28" w:type="dxa"/>
                  <w:left w:w="28" w:type="dxa"/>
                  <w:bottom w:w="28" w:type="dxa"/>
                  <w:right w:w="28" w:type="dxa"/>
                </w:tblCellMar>
              </w:tblPrEx>
              <w:trPr>
                <w:trHeight w:val="443" w:hRule="atLeast"/>
              </w:trPr>
              <w:tc>
                <w:tcPr>
                  <w:tcW w:w="654" w:type="dxa"/>
                  <w:vMerge w:val="continue"/>
                  <w:vAlign w:val="center"/>
                </w:tcPr>
                <w:p>
                  <w:pPr>
                    <w:pStyle w:val="49"/>
                    <w:spacing w:line="240" w:lineRule="auto"/>
                    <w:ind w:firstLine="0" w:firstLineChars="0"/>
                    <w:jc w:val="center"/>
                    <w:rPr>
                      <w:rFonts w:ascii="Times New Roman" w:hAnsi="Times New Roman" w:cs="宋体"/>
                      <w:bCs/>
                      <w:kern w:val="0"/>
                      <w:sz w:val="21"/>
                      <w:szCs w:val="21"/>
                    </w:rPr>
                  </w:pPr>
                </w:p>
              </w:tc>
              <w:tc>
                <w:tcPr>
                  <w:tcW w:w="4820" w:type="dxa"/>
                  <w:vAlign w:val="center"/>
                </w:tcPr>
                <w:p>
                  <w:pPr>
                    <w:pStyle w:val="57"/>
                    <w:rPr>
                      <w:rFonts w:hint="default" w:eastAsia="宋体" w:cs="宋体"/>
                      <w:bCs/>
                      <w:color w:val="auto"/>
                      <w:sz w:val="21"/>
                      <w:szCs w:val="21"/>
                    </w:rPr>
                  </w:pPr>
                  <w:r>
                    <w:rPr>
                      <w:rFonts w:eastAsia="宋体" w:cs="宋体"/>
                      <w:bCs/>
                      <w:color w:val="auto"/>
                      <w:sz w:val="21"/>
                      <w:szCs w:val="21"/>
                    </w:rPr>
                    <w:t>（3）人员配置合理</w:t>
                  </w:r>
                </w:p>
                <w:p>
                  <w:pPr>
                    <w:pStyle w:val="57"/>
                    <w:rPr>
                      <w:rFonts w:hint="default" w:eastAsia="宋体" w:cs="宋体"/>
                      <w:bCs/>
                      <w:color w:val="auto"/>
                      <w:sz w:val="21"/>
                      <w:szCs w:val="21"/>
                    </w:rPr>
                  </w:pPr>
                  <w:r>
                    <w:rPr>
                      <w:rFonts w:eastAsia="宋体" w:cs="宋体"/>
                      <w:bCs/>
                      <w:color w:val="auto"/>
                      <w:sz w:val="21"/>
                      <w:szCs w:val="21"/>
                    </w:rPr>
                    <w:t>配备专/兼职环保人员，并具备相应的环境管理能力（学历、培训、从业经验等）。</w:t>
                  </w:r>
                </w:p>
              </w:tc>
              <w:tc>
                <w:tcPr>
                  <w:tcW w:w="2194" w:type="dxa"/>
                  <w:tcBorders>
                    <w:right w:val="single" w:color="auto" w:sz="4" w:space="0"/>
                  </w:tcBorders>
                  <w:vAlign w:val="center"/>
                </w:tcPr>
                <w:p>
                  <w:pPr>
                    <w:pStyle w:val="49"/>
                    <w:spacing w:line="240" w:lineRule="auto"/>
                    <w:ind w:firstLine="0" w:firstLineChars="0"/>
                    <w:jc w:val="center"/>
                    <w:rPr>
                      <w:rFonts w:ascii="Times New Roman" w:hAnsi="Times New Roman" w:cs="宋体"/>
                      <w:bCs/>
                      <w:kern w:val="0"/>
                      <w:sz w:val="21"/>
                      <w:szCs w:val="21"/>
                    </w:rPr>
                  </w:pPr>
                  <w:r>
                    <w:rPr>
                      <w:rFonts w:hint="eastAsia" w:ascii="Times New Roman" w:hAnsi="Times New Roman" w:cs="宋体"/>
                      <w:bCs/>
                      <w:kern w:val="0"/>
                      <w:sz w:val="21"/>
                      <w:szCs w:val="21"/>
                    </w:rPr>
                    <w:t>应</w:t>
                  </w:r>
                  <w:r>
                    <w:rPr>
                      <w:rFonts w:ascii="Times New Roman" w:hAnsi="Times New Roman" w:cs="宋体"/>
                      <w:bCs/>
                      <w:kern w:val="0"/>
                      <w:sz w:val="21"/>
                      <w:szCs w:val="21"/>
                    </w:rPr>
                    <w:t>配备环境管理人员</w:t>
                  </w:r>
                </w:p>
              </w:tc>
              <w:tc>
                <w:tcPr>
                  <w:tcW w:w="499" w:type="dxa"/>
                  <w:gridSpan w:val="2"/>
                  <w:tcBorders>
                    <w:left w:val="single" w:color="auto" w:sz="4" w:space="0"/>
                  </w:tcBorders>
                  <w:vAlign w:val="center"/>
                </w:tcPr>
                <w:p>
                  <w:pPr>
                    <w:pStyle w:val="49"/>
                    <w:spacing w:line="240" w:lineRule="auto"/>
                    <w:ind w:firstLine="0" w:firstLineChars="0"/>
                    <w:jc w:val="center"/>
                    <w:rPr>
                      <w:rFonts w:ascii="Times New Roman" w:hAnsi="Times New Roman" w:cs="宋体"/>
                      <w:bCs/>
                      <w:kern w:val="0"/>
                      <w:sz w:val="21"/>
                      <w:szCs w:val="21"/>
                    </w:rPr>
                  </w:pPr>
                  <w:r>
                    <w:rPr>
                      <w:rFonts w:hint="eastAsia" w:ascii="Times New Roman" w:hAnsi="Times New Roman" w:cs="宋体"/>
                      <w:bCs/>
                      <w:kern w:val="0"/>
                      <w:sz w:val="21"/>
                      <w:szCs w:val="21"/>
                    </w:rPr>
                    <w:t>相符</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28" w:type="dxa"/>
                  <w:left w:w="28" w:type="dxa"/>
                  <w:bottom w:w="28" w:type="dxa"/>
                  <w:right w:w="28" w:type="dxa"/>
                </w:tblCellMar>
              </w:tblPrEx>
              <w:trPr>
                <w:trHeight w:val="443" w:hRule="atLeast"/>
              </w:trPr>
              <w:tc>
                <w:tcPr>
                  <w:tcW w:w="654" w:type="dxa"/>
                  <w:vMerge w:val="continue"/>
                  <w:vAlign w:val="center"/>
                </w:tcPr>
                <w:p>
                  <w:pPr>
                    <w:pStyle w:val="49"/>
                    <w:spacing w:line="240" w:lineRule="auto"/>
                    <w:ind w:firstLine="0" w:firstLineChars="0"/>
                    <w:jc w:val="center"/>
                    <w:rPr>
                      <w:rFonts w:ascii="Times New Roman" w:hAnsi="Times New Roman" w:cs="宋体"/>
                      <w:bCs/>
                      <w:kern w:val="0"/>
                      <w:sz w:val="21"/>
                      <w:szCs w:val="21"/>
                    </w:rPr>
                  </w:pPr>
                </w:p>
              </w:tc>
              <w:tc>
                <w:tcPr>
                  <w:tcW w:w="4820" w:type="dxa"/>
                  <w:vAlign w:val="center"/>
                </w:tcPr>
                <w:p>
                  <w:pPr>
                    <w:pStyle w:val="57"/>
                    <w:rPr>
                      <w:rFonts w:hint="default" w:eastAsia="宋体" w:cs="宋体"/>
                      <w:bCs/>
                      <w:color w:val="auto"/>
                      <w:sz w:val="21"/>
                      <w:szCs w:val="21"/>
                    </w:rPr>
                  </w:pPr>
                  <w:r>
                    <w:rPr>
                      <w:rFonts w:eastAsia="宋体" w:cs="宋体"/>
                      <w:bCs/>
                      <w:color w:val="auto"/>
                      <w:sz w:val="21"/>
                      <w:szCs w:val="21"/>
                    </w:rPr>
                    <w:t>3、其他控制要求</w:t>
                  </w:r>
                </w:p>
                <w:p>
                  <w:pPr>
                    <w:pStyle w:val="57"/>
                    <w:rPr>
                      <w:rFonts w:hint="default" w:eastAsia="宋体" w:cs="宋体"/>
                      <w:bCs/>
                      <w:color w:val="auto"/>
                      <w:sz w:val="21"/>
                      <w:szCs w:val="21"/>
                    </w:rPr>
                  </w:pPr>
                  <w:r>
                    <w:rPr>
                      <w:rFonts w:eastAsia="宋体" w:cs="宋体"/>
                      <w:bCs/>
                      <w:color w:val="auto"/>
                      <w:sz w:val="21"/>
                      <w:szCs w:val="21"/>
                    </w:rPr>
                    <w:t xml:space="preserve">（1）生产工艺和装备 </w:t>
                  </w:r>
                </w:p>
                <w:p>
                  <w:pPr>
                    <w:pStyle w:val="57"/>
                    <w:rPr>
                      <w:rFonts w:hint="default" w:eastAsia="宋体" w:cs="宋体"/>
                      <w:bCs/>
                      <w:color w:val="auto"/>
                      <w:sz w:val="21"/>
                      <w:szCs w:val="21"/>
                    </w:rPr>
                  </w:pPr>
                  <w:r>
                    <w:rPr>
                      <w:rFonts w:eastAsia="宋体" w:cs="宋体"/>
                      <w:bCs/>
                      <w:color w:val="auto"/>
                      <w:sz w:val="21"/>
                      <w:szCs w:val="21"/>
                    </w:rPr>
                    <w:t>不属于《产业结构调整指导目录（2019年版）》淘汰类，不属于省级和市级政府部门明确列入已经限期淘汰类项目。</w:t>
                  </w:r>
                </w:p>
              </w:tc>
              <w:tc>
                <w:tcPr>
                  <w:tcW w:w="2194" w:type="dxa"/>
                  <w:tcBorders>
                    <w:right w:val="single" w:color="auto" w:sz="4" w:space="0"/>
                  </w:tcBorders>
                  <w:vAlign w:val="center"/>
                </w:tcPr>
                <w:p>
                  <w:pPr>
                    <w:pStyle w:val="49"/>
                    <w:spacing w:line="240" w:lineRule="auto"/>
                    <w:ind w:firstLine="0" w:firstLineChars="0"/>
                    <w:jc w:val="center"/>
                    <w:rPr>
                      <w:rFonts w:ascii="Times New Roman" w:hAnsi="Times New Roman" w:cs="宋体"/>
                      <w:bCs/>
                      <w:kern w:val="0"/>
                      <w:sz w:val="21"/>
                      <w:szCs w:val="21"/>
                    </w:rPr>
                  </w:pPr>
                  <w:r>
                    <w:rPr>
                      <w:sz w:val="21"/>
                      <w:szCs w:val="21"/>
                    </w:rPr>
                    <w:t>依据《产业结构调整指导目录（2019年本）》，本项目不属鼓励类、淘汰类和禁止类，属于允许类</w:t>
                  </w:r>
                </w:p>
              </w:tc>
              <w:tc>
                <w:tcPr>
                  <w:tcW w:w="499" w:type="dxa"/>
                  <w:gridSpan w:val="2"/>
                  <w:tcBorders>
                    <w:left w:val="single" w:color="auto" w:sz="4" w:space="0"/>
                  </w:tcBorders>
                  <w:vAlign w:val="center"/>
                </w:tcPr>
                <w:p>
                  <w:pPr>
                    <w:pStyle w:val="49"/>
                    <w:spacing w:line="240" w:lineRule="auto"/>
                    <w:ind w:firstLine="0" w:firstLineChars="0"/>
                    <w:jc w:val="center"/>
                    <w:rPr>
                      <w:rFonts w:ascii="Times New Roman" w:hAnsi="Times New Roman" w:cs="宋体"/>
                      <w:bCs/>
                      <w:kern w:val="0"/>
                      <w:sz w:val="21"/>
                      <w:szCs w:val="21"/>
                    </w:rPr>
                  </w:pPr>
                  <w:r>
                    <w:rPr>
                      <w:rFonts w:hint="eastAsia" w:ascii="Times New Roman" w:hAnsi="Times New Roman" w:cs="宋体"/>
                      <w:bCs/>
                      <w:kern w:val="0"/>
                      <w:sz w:val="21"/>
                      <w:szCs w:val="21"/>
                    </w:rPr>
                    <w:t>相符</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28" w:type="dxa"/>
                  <w:left w:w="28" w:type="dxa"/>
                  <w:bottom w:w="28" w:type="dxa"/>
                  <w:right w:w="28" w:type="dxa"/>
                </w:tblCellMar>
              </w:tblPrEx>
              <w:trPr>
                <w:trHeight w:val="443" w:hRule="atLeast"/>
              </w:trPr>
              <w:tc>
                <w:tcPr>
                  <w:tcW w:w="654" w:type="dxa"/>
                  <w:vMerge w:val="continue"/>
                  <w:vAlign w:val="center"/>
                </w:tcPr>
                <w:p>
                  <w:pPr>
                    <w:pStyle w:val="49"/>
                    <w:spacing w:line="240" w:lineRule="auto"/>
                    <w:ind w:firstLine="0" w:firstLineChars="0"/>
                    <w:jc w:val="center"/>
                    <w:rPr>
                      <w:rFonts w:ascii="Times New Roman" w:hAnsi="Times New Roman" w:cs="宋体"/>
                      <w:bCs/>
                      <w:kern w:val="0"/>
                      <w:sz w:val="21"/>
                      <w:szCs w:val="21"/>
                    </w:rPr>
                  </w:pPr>
                </w:p>
              </w:tc>
              <w:tc>
                <w:tcPr>
                  <w:tcW w:w="4820" w:type="dxa"/>
                  <w:vAlign w:val="center"/>
                </w:tcPr>
                <w:p>
                  <w:pPr>
                    <w:pStyle w:val="57"/>
                    <w:rPr>
                      <w:rFonts w:hint="default" w:eastAsia="宋体" w:cs="宋体"/>
                      <w:bCs/>
                      <w:color w:val="auto"/>
                      <w:sz w:val="21"/>
                      <w:szCs w:val="21"/>
                    </w:rPr>
                  </w:pPr>
                  <w:r>
                    <w:rPr>
                      <w:rFonts w:eastAsia="宋体" w:cs="宋体"/>
                      <w:bCs/>
                      <w:color w:val="auto"/>
                      <w:sz w:val="21"/>
                      <w:szCs w:val="21"/>
                    </w:rPr>
                    <w:t xml:space="preserve">（2）污染治理副产物 </w:t>
                  </w:r>
                </w:p>
                <w:p>
                  <w:pPr>
                    <w:pStyle w:val="57"/>
                    <w:rPr>
                      <w:rFonts w:hint="default" w:eastAsia="宋体" w:cs="宋体"/>
                      <w:bCs/>
                      <w:color w:val="auto"/>
                      <w:sz w:val="21"/>
                      <w:szCs w:val="21"/>
                    </w:rPr>
                  </w:pPr>
                  <w:r>
                    <w:rPr>
                      <w:rFonts w:eastAsia="宋体" w:cs="宋体"/>
                      <w:bCs/>
                      <w:color w:val="auto"/>
                      <w:sz w:val="21"/>
                      <w:szCs w:val="21"/>
                    </w:rPr>
                    <w:t>除尘器应设置密闭灰仓并及时卸灰，除尘灰应通过气力输送、罐车、袋子等封闭方式卸灰，不得直接卸落到地面。除尘灰如果转运应采用气力输送、封闭传送带方式，如果直接外运应采用罐车或袋装后运输，并在装车过程中采取抑尘措施，除尘灰在厂区内应密闭/封闭储存；脱硫石膏和脱硫废渣等固体废物在转运过程中应采取抑尘措施并应封闭储存。</w:t>
                  </w:r>
                </w:p>
              </w:tc>
              <w:tc>
                <w:tcPr>
                  <w:tcW w:w="2194" w:type="dxa"/>
                  <w:tcBorders>
                    <w:right w:val="single" w:color="auto" w:sz="4" w:space="0"/>
                  </w:tcBorders>
                  <w:vAlign w:val="center"/>
                </w:tcPr>
                <w:p>
                  <w:pPr>
                    <w:pStyle w:val="49"/>
                    <w:spacing w:line="240" w:lineRule="auto"/>
                    <w:ind w:firstLine="0" w:firstLineChars="0"/>
                    <w:jc w:val="center"/>
                    <w:rPr>
                      <w:rFonts w:ascii="Times New Roman" w:hAnsi="Times New Roman" w:cs="宋体"/>
                      <w:bCs/>
                      <w:kern w:val="0"/>
                      <w:sz w:val="21"/>
                      <w:szCs w:val="21"/>
                    </w:rPr>
                  </w:pPr>
                  <w:r>
                    <w:rPr>
                      <w:rFonts w:hint="eastAsia" w:cs="宋体"/>
                      <w:bCs/>
                      <w:sz w:val="21"/>
                      <w:szCs w:val="21"/>
                    </w:rPr>
                    <w:t>项目</w:t>
                  </w:r>
                  <w:r>
                    <w:rPr>
                      <w:rFonts w:cs="宋体"/>
                      <w:bCs/>
                      <w:sz w:val="21"/>
                      <w:szCs w:val="21"/>
                    </w:rPr>
                    <w:t>除尘灰应通过气力输送、罐车、袋子等封闭方式卸灰，不得直接卸落到地面。</w:t>
                  </w:r>
                </w:p>
              </w:tc>
              <w:tc>
                <w:tcPr>
                  <w:tcW w:w="499" w:type="dxa"/>
                  <w:gridSpan w:val="2"/>
                  <w:tcBorders>
                    <w:left w:val="single" w:color="auto" w:sz="4" w:space="0"/>
                  </w:tcBorders>
                  <w:vAlign w:val="center"/>
                </w:tcPr>
                <w:p>
                  <w:pPr>
                    <w:pStyle w:val="49"/>
                    <w:spacing w:line="240" w:lineRule="auto"/>
                    <w:ind w:firstLine="0" w:firstLineChars="0"/>
                    <w:jc w:val="center"/>
                    <w:rPr>
                      <w:rFonts w:ascii="Times New Roman" w:hAnsi="Times New Roman" w:cs="宋体"/>
                      <w:bCs/>
                      <w:kern w:val="0"/>
                      <w:sz w:val="21"/>
                      <w:szCs w:val="21"/>
                    </w:rPr>
                  </w:pPr>
                  <w:r>
                    <w:rPr>
                      <w:rFonts w:hint="eastAsia" w:ascii="Times New Roman" w:hAnsi="Times New Roman" w:cs="宋体"/>
                      <w:bCs/>
                      <w:kern w:val="0"/>
                      <w:sz w:val="21"/>
                      <w:szCs w:val="21"/>
                    </w:rPr>
                    <w:t>相符</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28" w:type="dxa"/>
                  <w:left w:w="28" w:type="dxa"/>
                  <w:bottom w:w="28" w:type="dxa"/>
                  <w:right w:w="28" w:type="dxa"/>
                </w:tblCellMar>
              </w:tblPrEx>
              <w:trPr>
                <w:trHeight w:val="443" w:hRule="atLeast"/>
              </w:trPr>
              <w:tc>
                <w:tcPr>
                  <w:tcW w:w="654" w:type="dxa"/>
                  <w:vMerge w:val="continue"/>
                  <w:vAlign w:val="center"/>
                </w:tcPr>
                <w:p>
                  <w:pPr>
                    <w:pStyle w:val="49"/>
                    <w:spacing w:line="240" w:lineRule="auto"/>
                    <w:ind w:firstLine="0" w:firstLineChars="0"/>
                    <w:jc w:val="center"/>
                    <w:rPr>
                      <w:rFonts w:ascii="Times New Roman" w:hAnsi="Times New Roman" w:cs="宋体"/>
                      <w:bCs/>
                      <w:kern w:val="0"/>
                      <w:sz w:val="21"/>
                      <w:szCs w:val="21"/>
                    </w:rPr>
                  </w:pPr>
                </w:p>
              </w:tc>
              <w:tc>
                <w:tcPr>
                  <w:tcW w:w="4820" w:type="dxa"/>
                  <w:vAlign w:val="center"/>
                </w:tcPr>
                <w:p>
                  <w:pPr>
                    <w:pStyle w:val="57"/>
                    <w:rPr>
                      <w:rFonts w:hint="default" w:eastAsia="宋体" w:cs="宋体"/>
                      <w:bCs/>
                      <w:color w:val="auto"/>
                      <w:sz w:val="21"/>
                      <w:szCs w:val="21"/>
                    </w:rPr>
                  </w:pPr>
                  <w:r>
                    <w:rPr>
                      <w:rFonts w:eastAsia="宋体" w:cs="宋体"/>
                      <w:bCs/>
                      <w:color w:val="auto"/>
                      <w:sz w:val="21"/>
                      <w:szCs w:val="21"/>
                    </w:rPr>
                    <w:t xml:space="preserve">（3）用电量/视频监管 </w:t>
                  </w:r>
                </w:p>
                <w:p>
                  <w:pPr>
                    <w:pStyle w:val="57"/>
                    <w:rPr>
                      <w:rFonts w:hint="default" w:eastAsia="宋体" w:cs="宋体"/>
                      <w:bCs/>
                      <w:color w:val="auto"/>
                      <w:spacing w:val="-4"/>
                      <w:sz w:val="21"/>
                      <w:szCs w:val="21"/>
                    </w:rPr>
                  </w:pPr>
                  <w:r>
                    <w:rPr>
                      <w:rFonts w:eastAsia="宋体" w:cs="宋体"/>
                      <w:bCs/>
                      <w:color w:val="auto"/>
                      <w:spacing w:val="-4"/>
                      <w:sz w:val="21"/>
                      <w:szCs w:val="21"/>
                    </w:rPr>
                    <w:t>按照《河南省涉气排污单位污染治理设施用电监管技术指南（试行）》要求安装用电监管设备（有自动在线监控系统的企业除外），用电监管数据直接上传至省、市生态环境部门的污染治理设施用电监管平台服务器；未安装自动在线监控和用电量监管拟申报A、B级企业，应在主要生产设备（投料口、卸料口等位置）安装视频监控设施，相关数据保存三个月以上。</w:t>
                  </w:r>
                </w:p>
              </w:tc>
              <w:tc>
                <w:tcPr>
                  <w:tcW w:w="2194" w:type="dxa"/>
                  <w:tcBorders>
                    <w:right w:val="single" w:color="auto" w:sz="4" w:space="0"/>
                  </w:tcBorders>
                  <w:vAlign w:val="center"/>
                </w:tcPr>
                <w:p>
                  <w:pPr>
                    <w:pStyle w:val="49"/>
                    <w:spacing w:line="240" w:lineRule="auto"/>
                    <w:ind w:firstLine="0" w:firstLineChars="0"/>
                    <w:jc w:val="center"/>
                    <w:rPr>
                      <w:rFonts w:ascii="Times New Roman" w:hAnsi="Times New Roman" w:cs="宋体"/>
                      <w:bCs/>
                      <w:kern w:val="0"/>
                      <w:sz w:val="21"/>
                      <w:szCs w:val="21"/>
                    </w:rPr>
                  </w:pPr>
                  <w:r>
                    <w:rPr>
                      <w:rFonts w:hint="eastAsia" w:ascii="Times New Roman" w:hAnsi="Times New Roman" w:cs="宋体"/>
                      <w:bCs/>
                      <w:kern w:val="0"/>
                      <w:sz w:val="21"/>
                      <w:szCs w:val="21"/>
                    </w:rPr>
                    <w:t>应</w:t>
                  </w:r>
                  <w:r>
                    <w:rPr>
                      <w:rFonts w:ascii="Times New Roman" w:hAnsi="Times New Roman" w:cs="宋体"/>
                      <w:bCs/>
                      <w:kern w:val="0"/>
                      <w:sz w:val="21"/>
                      <w:szCs w:val="21"/>
                    </w:rPr>
                    <w:t>根据河南省要求</w:t>
                  </w:r>
                  <w:r>
                    <w:rPr>
                      <w:rFonts w:hint="eastAsia" w:ascii="Times New Roman" w:hAnsi="Times New Roman" w:cs="宋体"/>
                      <w:bCs/>
                      <w:kern w:val="0"/>
                      <w:sz w:val="21"/>
                      <w:szCs w:val="21"/>
                    </w:rPr>
                    <w:t>设置</w:t>
                  </w:r>
                  <w:r>
                    <w:rPr>
                      <w:rFonts w:ascii="Times New Roman" w:hAnsi="Times New Roman" w:cs="宋体"/>
                      <w:bCs/>
                      <w:kern w:val="0"/>
                      <w:sz w:val="21"/>
                      <w:szCs w:val="21"/>
                    </w:rPr>
                    <w:t>用电</w:t>
                  </w:r>
                  <w:r>
                    <w:rPr>
                      <w:rFonts w:hint="eastAsia" w:ascii="Times New Roman" w:hAnsi="Times New Roman" w:cs="宋体"/>
                      <w:bCs/>
                      <w:kern w:val="0"/>
                      <w:sz w:val="21"/>
                      <w:szCs w:val="21"/>
                    </w:rPr>
                    <w:t>/视频</w:t>
                  </w:r>
                  <w:r>
                    <w:rPr>
                      <w:rFonts w:ascii="Times New Roman" w:hAnsi="Times New Roman" w:cs="宋体"/>
                      <w:bCs/>
                      <w:kern w:val="0"/>
                      <w:sz w:val="21"/>
                      <w:szCs w:val="21"/>
                    </w:rPr>
                    <w:t>监管</w:t>
                  </w:r>
                </w:p>
              </w:tc>
              <w:tc>
                <w:tcPr>
                  <w:tcW w:w="499" w:type="dxa"/>
                  <w:gridSpan w:val="2"/>
                  <w:tcBorders>
                    <w:left w:val="single" w:color="auto" w:sz="4" w:space="0"/>
                  </w:tcBorders>
                  <w:vAlign w:val="center"/>
                </w:tcPr>
                <w:p>
                  <w:pPr>
                    <w:pStyle w:val="49"/>
                    <w:spacing w:line="240" w:lineRule="auto"/>
                    <w:ind w:firstLine="0" w:firstLineChars="0"/>
                    <w:jc w:val="center"/>
                    <w:rPr>
                      <w:rFonts w:ascii="Times New Roman" w:hAnsi="Times New Roman" w:cs="宋体"/>
                      <w:bCs/>
                      <w:kern w:val="0"/>
                      <w:sz w:val="21"/>
                      <w:szCs w:val="21"/>
                    </w:rPr>
                  </w:pPr>
                  <w:r>
                    <w:rPr>
                      <w:rFonts w:hint="eastAsia" w:ascii="Times New Roman" w:hAnsi="Times New Roman" w:cs="宋体"/>
                      <w:bCs/>
                      <w:kern w:val="0"/>
                      <w:sz w:val="21"/>
                      <w:szCs w:val="21"/>
                    </w:rPr>
                    <w:t>相符</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28" w:type="dxa"/>
                  <w:left w:w="28" w:type="dxa"/>
                  <w:bottom w:w="28" w:type="dxa"/>
                  <w:right w:w="28" w:type="dxa"/>
                </w:tblCellMar>
              </w:tblPrEx>
              <w:trPr>
                <w:trHeight w:val="443" w:hRule="atLeast"/>
              </w:trPr>
              <w:tc>
                <w:tcPr>
                  <w:tcW w:w="654" w:type="dxa"/>
                  <w:vMerge w:val="continue"/>
                  <w:vAlign w:val="center"/>
                </w:tcPr>
                <w:p>
                  <w:pPr>
                    <w:pStyle w:val="49"/>
                    <w:spacing w:line="240" w:lineRule="auto"/>
                    <w:ind w:firstLine="0" w:firstLineChars="0"/>
                    <w:jc w:val="center"/>
                    <w:rPr>
                      <w:rFonts w:ascii="Times New Roman" w:hAnsi="Times New Roman" w:cs="宋体"/>
                      <w:bCs/>
                      <w:kern w:val="0"/>
                      <w:sz w:val="21"/>
                      <w:szCs w:val="21"/>
                    </w:rPr>
                  </w:pPr>
                </w:p>
              </w:tc>
              <w:tc>
                <w:tcPr>
                  <w:tcW w:w="4820" w:type="dxa"/>
                  <w:vAlign w:val="center"/>
                </w:tcPr>
                <w:p>
                  <w:pPr>
                    <w:pStyle w:val="57"/>
                    <w:rPr>
                      <w:rFonts w:hint="default" w:eastAsia="宋体" w:cs="宋体"/>
                      <w:bCs/>
                      <w:color w:val="auto"/>
                      <w:sz w:val="21"/>
                      <w:szCs w:val="21"/>
                    </w:rPr>
                  </w:pPr>
                  <w:r>
                    <w:rPr>
                      <w:rFonts w:eastAsia="宋体" w:cs="宋体"/>
                      <w:bCs/>
                      <w:color w:val="auto"/>
                      <w:sz w:val="21"/>
                      <w:szCs w:val="21"/>
                    </w:rPr>
                    <w:t xml:space="preserve">（4）厂容厂貌 </w:t>
                  </w:r>
                </w:p>
                <w:p>
                  <w:pPr>
                    <w:pStyle w:val="57"/>
                    <w:rPr>
                      <w:rFonts w:hint="default" w:eastAsia="宋体" w:cs="宋体"/>
                      <w:bCs/>
                      <w:color w:val="auto"/>
                      <w:sz w:val="21"/>
                      <w:szCs w:val="21"/>
                    </w:rPr>
                  </w:pPr>
                  <w:r>
                    <w:rPr>
                      <w:rFonts w:eastAsia="宋体" w:cs="宋体"/>
                      <w:bCs/>
                      <w:color w:val="auto"/>
                      <w:sz w:val="21"/>
                      <w:szCs w:val="21"/>
                    </w:rPr>
                    <w:t>厂区内道路、原辅材料和燃料堆场等路面应硬化。厂区内道路采取定期清扫、洒水等措施，保持清洁，路面无明显可见积尘。其他未利用地优先绿化，或进行硬化，无成片裸露土地。</w:t>
                  </w:r>
                </w:p>
              </w:tc>
              <w:tc>
                <w:tcPr>
                  <w:tcW w:w="2194" w:type="dxa"/>
                  <w:tcBorders>
                    <w:right w:val="single" w:color="auto" w:sz="4" w:space="0"/>
                  </w:tcBorders>
                  <w:vAlign w:val="center"/>
                </w:tcPr>
                <w:p>
                  <w:pPr>
                    <w:pStyle w:val="49"/>
                    <w:spacing w:line="240" w:lineRule="auto"/>
                    <w:ind w:firstLine="0" w:firstLineChars="0"/>
                    <w:jc w:val="center"/>
                    <w:rPr>
                      <w:rFonts w:ascii="Times New Roman" w:hAnsi="Times New Roman" w:cs="宋体"/>
                      <w:bCs/>
                      <w:kern w:val="0"/>
                      <w:sz w:val="21"/>
                      <w:szCs w:val="21"/>
                    </w:rPr>
                  </w:pPr>
                  <w:r>
                    <w:rPr>
                      <w:rFonts w:hint="eastAsia" w:ascii="Times New Roman" w:hAnsi="Times New Roman" w:cs="宋体"/>
                      <w:bCs/>
                      <w:kern w:val="0"/>
                      <w:sz w:val="21"/>
                      <w:szCs w:val="21"/>
                    </w:rPr>
                    <w:t>厂区闲置裸露空地绿化，道路</w:t>
                  </w:r>
                  <w:r>
                    <w:rPr>
                      <w:rFonts w:ascii="Times New Roman" w:hAnsi="Times New Roman" w:cs="宋体"/>
                      <w:bCs/>
                      <w:kern w:val="0"/>
                      <w:sz w:val="21"/>
                      <w:szCs w:val="21"/>
                    </w:rPr>
                    <w:t>全部硬化，</w:t>
                  </w:r>
                  <w:r>
                    <w:rPr>
                      <w:rFonts w:hint="eastAsia" w:ascii="Times New Roman" w:hAnsi="Times New Roman" w:cs="宋体"/>
                      <w:bCs/>
                      <w:kern w:val="0"/>
                      <w:sz w:val="21"/>
                      <w:szCs w:val="21"/>
                    </w:rPr>
                    <w:t>无裸露空地，</w:t>
                  </w:r>
                  <w:r>
                    <w:rPr>
                      <w:rFonts w:ascii="Times New Roman" w:hAnsi="Times New Roman" w:cs="宋体"/>
                      <w:bCs/>
                      <w:kern w:val="0"/>
                      <w:sz w:val="21"/>
                      <w:szCs w:val="21"/>
                    </w:rPr>
                    <w:t>厂区定时进行洒水降尘。</w:t>
                  </w:r>
                </w:p>
              </w:tc>
              <w:tc>
                <w:tcPr>
                  <w:tcW w:w="499" w:type="dxa"/>
                  <w:gridSpan w:val="2"/>
                  <w:tcBorders>
                    <w:left w:val="single" w:color="auto" w:sz="4" w:space="0"/>
                  </w:tcBorders>
                  <w:vAlign w:val="center"/>
                </w:tcPr>
                <w:p>
                  <w:pPr>
                    <w:pStyle w:val="49"/>
                    <w:spacing w:line="240" w:lineRule="auto"/>
                    <w:ind w:firstLine="0" w:firstLineChars="0"/>
                    <w:jc w:val="center"/>
                    <w:rPr>
                      <w:rFonts w:ascii="Times New Roman" w:hAnsi="Times New Roman" w:cs="宋体"/>
                      <w:bCs/>
                      <w:kern w:val="0"/>
                      <w:sz w:val="21"/>
                      <w:szCs w:val="21"/>
                    </w:rPr>
                  </w:pPr>
                  <w:r>
                    <w:rPr>
                      <w:rFonts w:hint="eastAsia" w:ascii="Times New Roman" w:hAnsi="Times New Roman" w:cs="宋体"/>
                      <w:bCs/>
                      <w:kern w:val="0"/>
                      <w:sz w:val="21"/>
                      <w:szCs w:val="21"/>
                    </w:rPr>
                    <w:t>相符</w:t>
                  </w:r>
                </w:p>
              </w:tc>
            </w:tr>
          </w:tbl>
          <w:p>
            <w:pPr>
              <w:spacing w:line="440" w:lineRule="exact"/>
              <w:ind w:firstLine="241" w:firstLineChars="100"/>
              <w:rPr>
                <w:b/>
                <w:sz w:val="24"/>
              </w:rPr>
            </w:pPr>
            <w:r>
              <w:rPr>
                <w:b/>
                <w:sz w:val="24"/>
              </w:rPr>
              <w:t>6</w:t>
            </w:r>
            <w:r>
              <w:rPr>
                <w:rFonts w:hint="eastAsia"/>
                <w:b/>
                <w:sz w:val="24"/>
              </w:rPr>
              <w:t>、</w:t>
            </w:r>
            <w:r>
              <w:rPr>
                <w:b/>
                <w:sz w:val="24"/>
              </w:rPr>
              <w:t>与饮用水水源保护区的相符性分析</w:t>
            </w:r>
          </w:p>
          <w:p>
            <w:pPr>
              <w:spacing w:line="440" w:lineRule="exact"/>
              <w:ind w:firstLine="241" w:firstLineChars="100"/>
              <w:textAlignment w:val="baseline"/>
              <w:rPr>
                <w:b/>
                <w:sz w:val="24"/>
              </w:rPr>
            </w:pPr>
            <w:r>
              <w:rPr>
                <w:b/>
                <w:sz w:val="24"/>
              </w:rPr>
              <w:t>6.</w:t>
            </w:r>
            <w:r>
              <w:rPr>
                <w:rFonts w:hint="eastAsia"/>
                <w:b/>
                <w:sz w:val="24"/>
              </w:rPr>
              <w:t>1</w:t>
            </w:r>
            <w:r>
              <w:rPr>
                <w:b/>
                <w:sz w:val="24"/>
              </w:rPr>
              <w:t xml:space="preserve"> </w:t>
            </w:r>
            <w:r>
              <w:rPr>
                <w:rFonts w:hint="eastAsia"/>
                <w:b/>
                <w:sz w:val="24"/>
              </w:rPr>
              <w:t>南水北调饮用水源保护区相符性分析</w:t>
            </w:r>
          </w:p>
          <w:p>
            <w:pPr>
              <w:spacing w:line="440" w:lineRule="exact"/>
              <w:ind w:firstLine="482" w:firstLineChars="200"/>
              <w:rPr>
                <w:rFonts w:hAnsi="宋体"/>
                <w:b/>
                <w:sz w:val="24"/>
              </w:rPr>
            </w:pPr>
            <w:r>
              <w:rPr>
                <w:rFonts w:hint="eastAsia" w:hAnsi="宋体"/>
                <w:b/>
                <w:sz w:val="24"/>
              </w:rPr>
              <w:t>（1）保护区划分</w:t>
            </w:r>
          </w:p>
          <w:p>
            <w:pPr>
              <w:spacing w:line="440" w:lineRule="exact"/>
              <w:ind w:firstLine="480" w:firstLineChars="200"/>
              <w:rPr>
                <w:rFonts w:hAnsi="宋体"/>
                <w:sz w:val="24"/>
              </w:rPr>
            </w:pPr>
            <w:r>
              <w:rPr>
                <w:rFonts w:hint="eastAsia" w:hAnsi="宋体"/>
                <w:sz w:val="24"/>
              </w:rPr>
              <w:t>南水北调中线工程河南省境内首起南阳市陶岔渠首，向北纵穿南阳盆地，途径平顶山、许昌等8市29县区，全长731km。</w:t>
            </w:r>
          </w:p>
          <w:p>
            <w:pPr>
              <w:spacing w:line="440" w:lineRule="exact"/>
              <w:ind w:firstLine="480" w:firstLineChars="200"/>
              <w:rPr>
                <w:rFonts w:hAnsi="宋体"/>
                <w:sz w:val="24"/>
              </w:rPr>
            </w:pPr>
            <w:r>
              <w:rPr>
                <w:rFonts w:hint="eastAsia" w:hAnsi="宋体"/>
                <w:sz w:val="24"/>
              </w:rPr>
              <w:t>南水北调中线工程总干渠从南阳方城县进入叶县保安镇，途经叶县、鲁山、宝丰、郏县4县18个乡（镇），于郏县安良镇跨越兰河后进入许昌禹州市，在平顶山境内全长115.53km，其中叶县30.9km，鲁山42.37km，宝丰20.44km，郏县21.82km。穿越大小河流、沟道113条，共设渡槽、涵洞、倒虹、桥梁等建筑物200余处。</w:t>
            </w:r>
          </w:p>
          <w:p>
            <w:pPr>
              <w:spacing w:line="440" w:lineRule="exact"/>
              <w:ind w:firstLine="480" w:firstLineChars="200"/>
              <w:rPr>
                <w:sz w:val="24"/>
              </w:rPr>
            </w:pPr>
            <w:r>
              <w:rPr>
                <w:rFonts w:hint="eastAsia" w:hAnsi="宋体"/>
                <w:sz w:val="24"/>
              </w:rPr>
              <w:t>为切实保障南水北调中线一期工程总干渠（河南段）输水水质安全，河南省制定了</w:t>
            </w:r>
            <w:r>
              <w:rPr>
                <w:sz w:val="24"/>
              </w:rPr>
              <w:t>《南水北调中线一期工程总干渠（河南段）两侧</w:t>
            </w:r>
            <w:r>
              <w:rPr>
                <w:rFonts w:hint="eastAsia"/>
                <w:sz w:val="24"/>
              </w:rPr>
              <w:t>饮用水</w:t>
            </w:r>
            <w:r>
              <w:rPr>
                <w:sz w:val="24"/>
              </w:rPr>
              <w:t>水源保护区</w:t>
            </w:r>
            <w:r>
              <w:rPr>
                <w:rFonts w:hint="eastAsia"/>
                <w:sz w:val="24"/>
              </w:rPr>
              <w:t>划</w:t>
            </w:r>
            <w:r>
              <w:rPr>
                <w:sz w:val="24"/>
              </w:rPr>
              <w:t>》</w:t>
            </w:r>
            <w:r>
              <w:rPr>
                <w:rFonts w:hint="eastAsia"/>
                <w:sz w:val="24"/>
              </w:rPr>
              <w:t>，并于2018年6月正式发布实施。</w:t>
            </w:r>
          </w:p>
          <w:p>
            <w:pPr>
              <w:spacing w:line="440" w:lineRule="exact"/>
              <w:ind w:firstLine="480" w:firstLineChars="200"/>
              <w:rPr>
                <w:sz w:val="24"/>
              </w:rPr>
            </w:pPr>
            <w:r>
              <w:rPr>
                <w:sz w:val="24"/>
              </w:rPr>
              <w:t>根据《南水北调中线一期工程总干渠（河南段）两侧</w:t>
            </w:r>
            <w:r>
              <w:rPr>
                <w:rFonts w:hint="eastAsia"/>
                <w:sz w:val="24"/>
              </w:rPr>
              <w:t>饮用水</w:t>
            </w:r>
            <w:r>
              <w:rPr>
                <w:sz w:val="24"/>
              </w:rPr>
              <w:t>水源保护区</w:t>
            </w:r>
            <w:r>
              <w:rPr>
                <w:rFonts w:hint="eastAsia"/>
                <w:sz w:val="24"/>
              </w:rPr>
              <w:t>划</w:t>
            </w:r>
            <w:r>
              <w:rPr>
                <w:sz w:val="24"/>
              </w:rPr>
              <w:t>》</w:t>
            </w:r>
            <w:r>
              <w:rPr>
                <w:rFonts w:hint="eastAsia"/>
                <w:sz w:val="24"/>
              </w:rPr>
              <w:t>（2018年6月）</w:t>
            </w:r>
            <w:r>
              <w:rPr>
                <w:sz w:val="24"/>
              </w:rPr>
              <w:t>，南水北调</w:t>
            </w:r>
            <w:r>
              <w:rPr>
                <w:rFonts w:hint="eastAsia"/>
                <w:sz w:val="24"/>
              </w:rPr>
              <w:t>中线一期工程在河南境内的工程类型分为建筑物段和总干渠明渠段。</w:t>
            </w:r>
          </w:p>
          <w:p>
            <w:pPr>
              <w:spacing w:line="440" w:lineRule="exact"/>
              <w:ind w:firstLine="480" w:firstLineChars="200"/>
              <w:rPr>
                <w:sz w:val="24"/>
              </w:rPr>
            </w:pPr>
            <w:r>
              <w:rPr>
                <w:sz w:val="24"/>
              </w:rPr>
              <w:fldChar w:fldCharType="begin"/>
            </w:r>
            <w:r>
              <w:rPr>
                <w:sz w:val="24"/>
              </w:rPr>
              <w:instrText xml:space="preserve"> </w:instrText>
            </w:r>
            <w:r>
              <w:rPr>
                <w:rFonts w:hint="eastAsia"/>
                <w:sz w:val="24"/>
              </w:rPr>
              <w:instrText xml:space="preserve">= 1 \* GB3</w:instrText>
            </w:r>
            <w:r>
              <w:rPr>
                <w:sz w:val="24"/>
              </w:rPr>
              <w:instrText xml:space="preserve"> </w:instrText>
            </w:r>
            <w:r>
              <w:rPr>
                <w:sz w:val="24"/>
              </w:rPr>
              <w:fldChar w:fldCharType="separate"/>
            </w:r>
            <w:r>
              <w:rPr>
                <w:rFonts w:hint="eastAsia"/>
                <w:sz w:val="24"/>
              </w:rPr>
              <w:t>①</w:t>
            </w:r>
            <w:r>
              <w:rPr>
                <w:sz w:val="24"/>
              </w:rPr>
              <w:fldChar w:fldCharType="end"/>
            </w:r>
            <w:r>
              <w:rPr>
                <w:rFonts w:hint="eastAsia"/>
                <w:sz w:val="24"/>
              </w:rPr>
              <w:t>建筑物段（渡槽、倒虹吸、暗涵、隧洞）</w:t>
            </w:r>
          </w:p>
          <w:p>
            <w:pPr>
              <w:spacing w:line="440" w:lineRule="exact"/>
              <w:ind w:firstLine="480" w:firstLineChars="200"/>
              <w:rPr>
                <w:sz w:val="24"/>
              </w:rPr>
            </w:pPr>
            <w:r>
              <w:rPr>
                <w:rFonts w:hint="eastAsia"/>
                <w:sz w:val="24"/>
              </w:rPr>
              <w:t>一级保护区范围自总干渠管理范围边线（防护栏网）外延50米，不设二级保护区。</w:t>
            </w:r>
          </w:p>
          <w:p>
            <w:pPr>
              <w:spacing w:line="440" w:lineRule="exact"/>
              <w:ind w:firstLine="480" w:firstLineChars="200"/>
              <w:rPr>
                <w:sz w:val="24"/>
              </w:rPr>
            </w:pPr>
            <w:r>
              <w:rPr>
                <w:sz w:val="24"/>
              </w:rPr>
              <w:fldChar w:fldCharType="begin"/>
            </w:r>
            <w:r>
              <w:rPr>
                <w:sz w:val="24"/>
              </w:rPr>
              <w:instrText xml:space="preserve"> </w:instrText>
            </w:r>
            <w:r>
              <w:rPr>
                <w:rFonts w:hint="eastAsia"/>
                <w:sz w:val="24"/>
              </w:rPr>
              <w:instrText xml:space="preserve">= 2 \* GB3</w:instrText>
            </w:r>
            <w:r>
              <w:rPr>
                <w:sz w:val="24"/>
              </w:rPr>
              <w:instrText xml:space="preserve"> </w:instrText>
            </w:r>
            <w:r>
              <w:rPr>
                <w:sz w:val="24"/>
              </w:rPr>
              <w:fldChar w:fldCharType="separate"/>
            </w:r>
            <w:r>
              <w:rPr>
                <w:rFonts w:hint="eastAsia"/>
                <w:sz w:val="24"/>
              </w:rPr>
              <w:t>②</w:t>
            </w:r>
            <w:r>
              <w:rPr>
                <w:sz w:val="24"/>
              </w:rPr>
              <w:fldChar w:fldCharType="end"/>
            </w:r>
            <w:r>
              <w:rPr>
                <w:rFonts w:hint="eastAsia"/>
                <w:sz w:val="24"/>
              </w:rPr>
              <w:t>总干渠明渠段</w:t>
            </w:r>
          </w:p>
          <w:p>
            <w:pPr>
              <w:spacing w:line="440" w:lineRule="exact"/>
              <w:ind w:firstLine="480" w:firstLineChars="200"/>
              <w:rPr>
                <w:sz w:val="24"/>
              </w:rPr>
            </w:pPr>
            <w:r>
              <w:rPr>
                <w:rFonts w:hint="eastAsia"/>
                <w:sz w:val="24"/>
              </w:rPr>
              <w:t>根据地下水水位与总干渠渠底高程的关系，分为以下几种类型：</w:t>
            </w:r>
          </w:p>
          <w:p>
            <w:pPr>
              <w:spacing w:line="440" w:lineRule="exact"/>
              <w:ind w:firstLine="480" w:firstLineChars="200"/>
              <w:rPr>
                <w:sz w:val="24"/>
              </w:rPr>
            </w:pPr>
            <w:r>
              <w:rPr>
                <w:rFonts w:hint="eastAsia"/>
                <w:sz w:val="24"/>
              </w:rPr>
              <w:t xml:space="preserve">i) </w:t>
            </w:r>
            <w:r>
              <w:rPr>
                <w:sz w:val="24"/>
              </w:rPr>
              <w:t>地下水</w:t>
            </w:r>
            <w:r>
              <w:rPr>
                <w:rFonts w:hint="eastAsia"/>
                <w:sz w:val="24"/>
              </w:rPr>
              <w:t>水</w:t>
            </w:r>
            <w:r>
              <w:rPr>
                <w:sz w:val="24"/>
              </w:rPr>
              <w:t>位低于</w:t>
            </w:r>
            <w:r>
              <w:rPr>
                <w:rFonts w:hint="eastAsia"/>
                <w:sz w:val="24"/>
              </w:rPr>
              <w:t>总干渠</w:t>
            </w:r>
            <w:r>
              <w:rPr>
                <w:sz w:val="24"/>
              </w:rPr>
              <w:t>渠底</w:t>
            </w:r>
            <w:r>
              <w:rPr>
                <w:rFonts w:hint="eastAsia"/>
                <w:sz w:val="24"/>
              </w:rPr>
              <w:t>的渠段</w:t>
            </w:r>
          </w:p>
          <w:p>
            <w:pPr>
              <w:spacing w:line="440" w:lineRule="exact"/>
              <w:ind w:firstLine="480" w:firstLineChars="200"/>
              <w:rPr>
                <w:sz w:val="24"/>
              </w:rPr>
            </w:pPr>
            <w:r>
              <w:rPr>
                <w:sz w:val="24"/>
              </w:rPr>
              <w:t>一级保护区范围自渠道管理范围边线（防护栏网）外延50米，二级保护区范围自一级保护区边线外延</w:t>
            </w:r>
            <w:r>
              <w:rPr>
                <w:rFonts w:hint="eastAsia"/>
                <w:sz w:val="24"/>
              </w:rPr>
              <w:t>150</w:t>
            </w:r>
            <w:r>
              <w:rPr>
                <w:sz w:val="24"/>
              </w:rPr>
              <w:t>米。</w:t>
            </w:r>
          </w:p>
          <w:p>
            <w:pPr>
              <w:spacing w:line="440" w:lineRule="exact"/>
              <w:ind w:firstLine="480" w:firstLineChars="200"/>
              <w:rPr>
                <w:sz w:val="24"/>
              </w:rPr>
            </w:pPr>
            <w:r>
              <w:rPr>
                <w:rFonts w:hint="eastAsia"/>
                <w:sz w:val="24"/>
              </w:rPr>
              <w:t xml:space="preserve">ii) </w:t>
            </w:r>
            <w:r>
              <w:rPr>
                <w:sz w:val="24"/>
              </w:rPr>
              <w:t>地下水位高于</w:t>
            </w:r>
            <w:r>
              <w:rPr>
                <w:rFonts w:hint="eastAsia"/>
                <w:sz w:val="24"/>
              </w:rPr>
              <w:t>总干渠</w:t>
            </w:r>
            <w:r>
              <w:rPr>
                <w:sz w:val="24"/>
              </w:rPr>
              <w:t>渠底</w:t>
            </w:r>
            <w:r>
              <w:rPr>
                <w:rFonts w:hint="eastAsia"/>
                <w:sz w:val="24"/>
              </w:rPr>
              <w:t>的渠段</w:t>
            </w:r>
          </w:p>
          <w:p>
            <w:pPr>
              <w:spacing w:line="440" w:lineRule="exact"/>
              <w:ind w:firstLine="480" w:firstLineChars="200"/>
              <w:rPr>
                <w:sz w:val="24"/>
              </w:rPr>
            </w:pPr>
            <w:r>
              <w:rPr>
                <w:rFonts w:hint="eastAsia"/>
                <w:sz w:val="24"/>
              </w:rPr>
              <w:t>A、微~弱透水性地层</w:t>
            </w:r>
          </w:p>
          <w:p>
            <w:pPr>
              <w:spacing w:line="440" w:lineRule="exact"/>
              <w:ind w:firstLine="480" w:firstLineChars="200"/>
              <w:rPr>
                <w:sz w:val="24"/>
              </w:rPr>
            </w:pPr>
            <w:r>
              <w:rPr>
                <w:sz w:val="24"/>
              </w:rPr>
              <w:t>一级保护区范围自</w:t>
            </w:r>
            <w:r>
              <w:rPr>
                <w:rFonts w:hint="eastAsia"/>
                <w:sz w:val="24"/>
              </w:rPr>
              <w:t>总干</w:t>
            </w:r>
            <w:r>
              <w:rPr>
                <w:sz w:val="24"/>
              </w:rPr>
              <w:t>渠管理范围边线（防护栏网）外延</w:t>
            </w:r>
            <w:r>
              <w:rPr>
                <w:rFonts w:hint="eastAsia"/>
                <w:sz w:val="24"/>
              </w:rPr>
              <w:t>5</w:t>
            </w:r>
            <w:r>
              <w:rPr>
                <w:sz w:val="24"/>
              </w:rPr>
              <w:t>0米；</w:t>
            </w:r>
          </w:p>
          <w:p>
            <w:pPr>
              <w:spacing w:line="440" w:lineRule="exact"/>
              <w:ind w:firstLine="480" w:firstLineChars="200"/>
              <w:rPr>
                <w:sz w:val="24"/>
              </w:rPr>
            </w:pPr>
            <w:r>
              <w:rPr>
                <w:sz w:val="24"/>
              </w:rPr>
              <w:t>二级保护区范围自</w:t>
            </w:r>
            <w:r>
              <w:rPr>
                <w:rFonts w:hint="eastAsia"/>
                <w:sz w:val="24"/>
              </w:rPr>
              <w:t>一级保护区边线</w:t>
            </w:r>
            <w:r>
              <w:rPr>
                <w:sz w:val="24"/>
              </w:rPr>
              <w:t>外延</w:t>
            </w:r>
            <w:r>
              <w:rPr>
                <w:rFonts w:hint="eastAsia"/>
                <w:sz w:val="24"/>
              </w:rPr>
              <w:t>5</w:t>
            </w:r>
            <w:r>
              <w:rPr>
                <w:sz w:val="24"/>
              </w:rPr>
              <w:t>00米。</w:t>
            </w:r>
          </w:p>
          <w:p>
            <w:pPr>
              <w:spacing w:line="440" w:lineRule="exact"/>
              <w:ind w:firstLine="480" w:firstLineChars="200"/>
              <w:rPr>
                <w:sz w:val="24"/>
              </w:rPr>
            </w:pPr>
            <w:r>
              <w:rPr>
                <w:rFonts w:hint="eastAsia"/>
                <w:sz w:val="24"/>
              </w:rPr>
              <w:t>B、弱~中等透水性地层</w:t>
            </w:r>
          </w:p>
          <w:p>
            <w:pPr>
              <w:spacing w:line="440" w:lineRule="exact"/>
              <w:ind w:firstLine="480" w:firstLineChars="200"/>
              <w:rPr>
                <w:sz w:val="24"/>
              </w:rPr>
            </w:pPr>
            <w:r>
              <w:rPr>
                <w:sz w:val="24"/>
              </w:rPr>
              <w:t>一级保护区范围自</w:t>
            </w:r>
            <w:r>
              <w:rPr>
                <w:rFonts w:hint="eastAsia"/>
                <w:sz w:val="24"/>
              </w:rPr>
              <w:t>总干</w:t>
            </w:r>
            <w:r>
              <w:rPr>
                <w:sz w:val="24"/>
              </w:rPr>
              <w:t>渠管理范围边线（防护栏网）外延</w:t>
            </w:r>
            <w:r>
              <w:rPr>
                <w:rFonts w:hint="eastAsia"/>
                <w:sz w:val="24"/>
              </w:rPr>
              <w:t>10</w:t>
            </w:r>
            <w:r>
              <w:rPr>
                <w:sz w:val="24"/>
              </w:rPr>
              <w:t>0米；</w:t>
            </w:r>
          </w:p>
          <w:p>
            <w:pPr>
              <w:spacing w:line="440" w:lineRule="exact"/>
              <w:ind w:firstLine="480" w:firstLineChars="200"/>
              <w:rPr>
                <w:sz w:val="24"/>
              </w:rPr>
            </w:pPr>
            <w:r>
              <w:rPr>
                <w:sz w:val="24"/>
              </w:rPr>
              <w:t>二级保护区范围自</w:t>
            </w:r>
            <w:r>
              <w:rPr>
                <w:rFonts w:hint="eastAsia"/>
                <w:sz w:val="24"/>
              </w:rPr>
              <w:t>一级保护区边线</w:t>
            </w:r>
            <w:r>
              <w:rPr>
                <w:sz w:val="24"/>
              </w:rPr>
              <w:t>外延</w:t>
            </w:r>
            <w:r>
              <w:rPr>
                <w:rFonts w:hint="eastAsia"/>
                <w:sz w:val="24"/>
              </w:rPr>
              <w:t>10</w:t>
            </w:r>
            <w:r>
              <w:rPr>
                <w:sz w:val="24"/>
              </w:rPr>
              <w:t>00米。</w:t>
            </w:r>
          </w:p>
          <w:p>
            <w:pPr>
              <w:spacing w:line="440" w:lineRule="exact"/>
              <w:ind w:firstLine="480" w:firstLineChars="200"/>
              <w:rPr>
                <w:sz w:val="24"/>
              </w:rPr>
            </w:pPr>
            <w:r>
              <w:rPr>
                <w:rFonts w:hint="eastAsia"/>
                <w:sz w:val="24"/>
              </w:rPr>
              <w:t>C、强透水性地层</w:t>
            </w:r>
          </w:p>
          <w:p>
            <w:pPr>
              <w:spacing w:line="440" w:lineRule="exact"/>
              <w:ind w:firstLine="480" w:firstLineChars="200"/>
              <w:rPr>
                <w:sz w:val="24"/>
              </w:rPr>
            </w:pPr>
            <w:r>
              <w:rPr>
                <w:sz w:val="24"/>
              </w:rPr>
              <w:t>一级保护区范围自</w:t>
            </w:r>
            <w:r>
              <w:rPr>
                <w:rFonts w:hint="eastAsia"/>
                <w:sz w:val="24"/>
              </w:rPr>
              <w:t>总干</w:t>
            </w:r>
            <w:r>
              <w:rPr>
                <w:sz w:val="24"/>
              </w:rPr>
              <w:t>渠管理范围边线（防护栏网）外延</w:t>
            </w:r>
            <w:r>
              <w:rPr>
                <w:rFonts w:hint="eastAsia"/>
                <w:sz w:val="24"/>
              </w:rPr>
              <w:t>20</w:t>
            </w:r>
            <w:r>
              <w:rPr>
                <w:sz w:val="24"/>
              </w:rPr>
              <w:t>0米；</w:t>
            </w:r>
          </w:p>
          <w:p>
            <w:pPr>
              <w:spacing w:line="440" w:lineRule="exact"/>
              <w:ind w:firstLine="480" w:firstLineChars="200"/>
              <w:rPr>
                <w:sz w:val="24"/>
              </w:rPr>
            </w:pPr>
            <w:r>
              <w:rPr>
                <w:sz w:val="24"/>
              </w:rPr>
              <w:t>二级保护区范围自</w:t>
            </w:r>
            <w:r>
              <w:rPr>
                <w:rFonts w:hint="eastAsia"/>
                <w:sz w:val="24"/>
              </w:rPr>
              <w:t>一级保护区边线</w:t>
            </w:r>
            <w:r>
              <w:rPr>
                <w:sz w:val="24"/>
              </w:rPr>
              <w:t>外延</w:t>
            </w:r>
            <w:r>
              <w:rPr>
                <w:rFonts w:hint="eastAsia"/>
                <w:sz w:val="24"/>
              </w:rPr>
              <w:t>20</w:t>
            </w:r>
            <w:r>
              <w:rPr>
                <w:sz w:val="24"/>
              </w:rPr>
              <w:t>00米</w:t>
            </w:r>
            <w:r>
              <w:rPr>
                <w:rFonts w:hint="eastAsia"/>
                <w:sz w:val="24"/>
              </w:rPr>
              <w:t>、1500米。</w:t>
            </w:r>
          </w:p>
          <w:p>
            <w:pPr>
              <w:spacing w:line="440" w:lineRule="exact"/>
              <w:ind w:firstLine="482" w:firstLineChars="200"/>
              <w:rPr>
                <w:rFonts w:hAnsi="宋体"/>
                <w:b/>
                <w:sz w:val="24"/>
              </w:rPr>
            </w:pPr>
            <w:r>
              <w:rPr>
                <w:rFonts w:hint="eastAsia" w:hAnsi="宋体"/>
                <w:b/>
                <w:sz w:val="24"/>
              </w:rPr>
              <w:t>（2）保护区监督与管理规定</w:t>
            </w:r>
          </w:p>
          <w:p>
            <w:pPr>
              <w:spacing w:line="440" w:lineRule="exact"/>
              <w:ind w:firstLine="480" w:firstLineChars="200"/>
              <w:rPr>
                <w:rFonts w:hAnsi="宋体"/>
                <w:sz w:val="24"/>
              </w:rPr>
            </w:pPr>
            <w:r>
              <w:rPr>
                <w:rFonts w:hint="eastAsia" w:hAnsi="宋体"/>
                <w:sz w:val="24"/>
              </w:rPr>
              <w:t>①在饮用水水源保护区内，禁止设置排污口；禁止使用剧毒和高残留农药，不得滥用化肥；禁止利用渗坑、渗井、裂隙等排放污水和其他有害废弃物；禁止利用储水层孔隙、裂隙及废弃矿坑储存石油、放射性物质、有毒化学品、农药等。</w:t>
            </w:r>
          </w:p>
          <w:p>
            <w:pPr>
              <w:spacing w:line="440" w:lineRule="exact"/>
              <w:ind w:firstLine="480" w:firstLineChars="200"/>
              <w:rPr>
                <w:rFonts w:hAnsi="宋体"/>
                <w:sz w:val="24"/>
              </w:rPr>
            </w:pPr>
            <w:r>
              <w:rPr>
                <w:rFonts w:hint="eastAsia" w:hAnsi="宋体"/>
                <w:sz w:val="24"/>
              </w:rPr>
              <w:t>②在一级保护区内，禁止新建、改建、扩建与供水设施和保护水源无关的建设项目。</w:t>
            </w:r>
          </w:p>
          <w:p>
            <w:pPr>
              <w:spacing w:line="440" w:lineRule="exact"/>
              <w:ind w:firstLine="480" w:firstLineChars="200"/>
              <w:rPr>
                <w:rFonts w:hAnsi="宋体"/>
                <w:sz w:val="24"/>
              </w:rPr>
            </w:pPr>
            <w:r>
              <w:rPr>
                <w:rFonts w:hint="eastAsia" w:hAnsi="宋体"/>
                <w:sz w:val="24"/>
              </w:rPr>
              <w:t>③在二级保护区内，禁止新建、改建、扩建排放污染物的建设项目。</w:t>
            </w:r>
          </w:p>
          <w:p>
            <w:pPr>
              <w:spacing w:line="440" w:lineRule="exact"/>
              <w:ind w:firstLine="482" w:firstLineChars="200"/>
              <w:rPr>
                <w:rFonts w:hAnsi="宋体"/>
                <w:b/>
                <w:sz w:val="24"/>
              </w:rPr>
            </w:pPr>
            <w:r>
              <w:rPr>
                <w:rFonts w:hint="eastAsia" w:hAnsi="宋体"/>
                <w:b/>
                <w:sz w:val="24"/>
              </w:rPr>
              <w:t>（3）本项目与南水北调中线工程的位置关系</w:t>
            </w:r>
          </w:p>
          <w:p>
            <w:pPr>
              <w:spacing w:line="440" w:lineRule="exact"/>
              <w:ind w:firstLine="480" w:firstLineChars="200"/>
              <w:rPr>
                <w:rFonts w:hAnsi="宋体"/>
                <w:sz w:val="24"/>
              </w:rPr>
            </w:pPr>
            <w:r>
              <w:rPr>
                <w:rFonts w:hAnsi="宋体"/>
                <w:sz w:val="24"/>
              </w:rPr>
              <w:t>南水北调中线工程河南</w:t>
            </w:r>
            <w:r>
              <w:rPr>
                <w:rFonts w:hint="eastAsia" w:hAnsi="宋体"/>
                <w:sz w:val="24"/>
              </w:rPr>
              <w:t>鲁山县</w:t>
            </w:r>
            <w:r>
              <w:rPr>
                <w:rFonts w:hAnsi="宋体"/>
                <w:sz w:val="24"/>
              </w:rPr>
              <w:t>段</w:t>
            </w:r>
            <w:r>
              <w:rPr>
                <w:rFonts w:hint="eastAsia" w:hAnsi="宋体"/>
                <w:sz w:val="24"/>
              </w:rPr>
              <w:t>桩号范围</w:t>
            </w:r>
            <w:r>
              <w:rPr>
                <w:rFonts w:hAnsi="宋体"/>
                <w:sz w:val="24"/>
              </w:rPr>
              <w:t>为SH002+818.1～SH017+200.0，</w:t>
            </w:r>
            <w:r>
              <w:rPr>
                <w:rFonts w:hint="eastAsia" w:hAnsi="宋体"/>
                <w:sz w:val="24"/>
              </w:rPr>
              <w:t>本</w:t>
            </w:r>
            <w:r>
              <w:rPr>
                <w:rFonts w:hAnsi="宋体"/>
                <w:sz w:val="24"/>
              </w:rPr>
              <w:t>项目</w:t>
            </w:r>
            <w:r>
              <w:rPr>
                <w:rFonts w:hint="eastAsia" w:hAnsi="宋体"/>
                <w:sz w:val="24"/>
              </w:rPr>
              <w:t>距离</w:t>
            </w:r>
            <w:r>
              <w:rPr>
                <w:rFonts w:hAnsi="宋体"/>
                <w:sz w:val="24"/>
              </w:rPr>
              <w:t>最近的</w:t>
            </w:r>
            <w:r>
              <w:rPr>
                <w:rFonts w:hint="eastAsia" w:hAnsi="宋体"/>
                <w:sz w:val="24"/>
              </w:rPr>
              <w:t>分段</w:t>
            </w:r>
            <w:r>
              <w:rPr>
                <w:rFonts w:hAnsi="宋体"/>
                <w:sz w:val="24"/>
              </w:rPr>
              <w:t>桩号为SH012+328.4</w:t>
            </w:r>
            <w:r>
              <w:rPr>
                <w:rFonts w:hint="eastAsia" w:hAnsi="宋体"/>
                <w:sz w:val="24"/>
              </w:rPr>
              <w:t>，</w:t>
            </w:r>
            <w:r>
              <w:rPr>
                <w:rFonts w:hAnsi="宋体"/>
                <w:sz w:val="24"/>
              </w:rPr>
              <w:t>该段水源一级水源保护区范围</w:t>
            </w:r>
            <w:r>
              <w:rPr>
                <w:rFonts w:hint="eastAsia" w:hAnsi="宋体"/>
                <w:sz w:val="24"/>
              </w:rPr>
              <w:t>自</w:t>
            </w:r>
            <w:r>
              <w:rPr>
                <w:rFonts w:hint="eastAsia"/>
                <w:sz w:val="24"/>
              </w:rPr>
              <w:t>总干渠管理范围边线（防护栏网）外延</w:t>
            </w:r>
            <w:r>
              <w:rPr>
                <w:sz w:val="24"/>
              </w:rPr>
              <w:t>50</w:t>
            </w:r>
            <w:r>
              <w:rPr>
                <w:rFonts w:hint="eastAsia"/>
                <w:sz w:val="24"/>
              </w:rPr>
              <w:t>m，</w:t>
            </w:r>
            <w:r>
              <w:rPr>
                <w:sz w:val="24"/>
              </w:rPr>
              <w:t>二级保护区范围自</w:t>
            </w:r>
            <w:r>
              <w:rPr>
                <w:rFonts w:hint="eastAsia"/>
                <w:sz w:val="24"/>
              </w:rPr>
              <w:t>一级保护区边线</w:t>
            </w:r>
            <w:r>
              <w:rPr>
                <w:sz w:val="24"/>
              </w:rPr>
              <w:t>外延150</w:t>
            </w:r>
            <w:r>
              <w:rPr>
                <w:rFonts w:hint="eastAsia"/>
                <w:sz w:val="24"/>
              </w:rPr>
              <w:t>m，</w:t>
            </w:r>
            <w:r>
              <w:rPr>
                <w:rFonts w:hint="eastAsia" w:hAnsi="宋体"/>
                <w:sz w:val="24"/>
              </w:rPr>
              <w:t>本项目距离</w:t>
            </w:r>
            <w:r>
              <w:rPr>
                <w:rFonts w:hAnsi="宋体"/>
                <w:sz w:val="24"/>
              </w:rPr>
              <w:t>南水北调</w:t>
            </w:r>
            <w:r>
              <w:rPr>
                <w:rFonts w:hint="eastAsia" w:hAnsi="宋体"/>
                <w:sz w:val="24"/>
              </w:rPr>
              <w:t>中线</w:t>
            </w:r>
            <w:r>
              <w:rPr>
                <w:rFonts w:hAnsi="宋体"/>
                <w:sz w:val="24"/>
              </w:rPr>
              <w:t>工程二级保护区约</w:t>
            </w:r>
            <w:r>
              <w:rPr>
                <w:rFonts w:hint="eastAsia" w:hAnsi="宋体"/>
                <w:sz w:val="24"/>
              </w:rPr>
              <w:t>1.</w:t>
            </w:r>
            <w:r>
              <w:rPr>
                <w:rFonts w:hAnsi="宋体"/>
                <w:sz w:val="24"/>
              </w:rPr>
              <w:t>5km</w:t>
            </w:r>
            <w:r>
              <w:rPr>
                <w:rFonts w:hint="eastAsia" w:hAnsi="宋体"/>
                <w:sz w:val="24"/>
              </w:rPr>
              <w:t>，</w:t>
            </w:r>
            <w:r>
              <w:rPr>
                <w:rFonts w:hAnsi="宋体"/>
                <w:sz w:val="24"/>
              </w:rPr>
              <w:t>不在南水</w:t>
            </w:r>
            <w:r>
              <w:rPr>
                <w:rFonts w:hint="eastAsia" w:hAnsi="宋体"/>
                <w:sz w:val="24"/>
              </w:rPr>
              <w:t>北调中线</w:t>
            </w:r>
            <w:r>
              <w:rPr>
                <w:rFonts w:hAnsi="宋体"/>
                <w:sz w:val="24"/>
              </w:rPr>
              <w:t>工程保护范围内</w:t>
            </w:r>
            <w:r>
              <w:rPr>
                <w:rFonts w:hint="eastAsia" w:hAnsi="宋体"/>
                <w:sz w:val="24"/>
              </w:rPr>
              <w:t>，详</w:t>
            </w:r>
            <w:r>
              <w:rPr>
                <w:rFonts w:hAnsi="宋体"/>
                <w:sz w:val="24"/>
              </w:rPr>
              <w:t>见附图</w:t>
            </w:r>
            <w:r>
              <w:rPr>
                <w:rFonts w:hint="eastAsia" w:hAnsi="宋体"/>
                <w:sz w:val="24"/>
              </w:rPr>
              <w:t>四。</w:t>
            </w:r>
          </w:p>
          <w:p>
            <w:pPr>
              <w:spacing w:line="440" w:lineRule="exact"/>
              <w:ind w:firstLine="482" w:firstLineChars="200"/>
              <w:textAlignment w:val="baseline"/>
              <w:rPr>
                <w:b/>
                <w:sz w:val="24"/>
              </w:rPr>
            </w:pPr>
            <w:r>
              <w:rPr>
                <w:b/>
                <w:sz w:val="24"/>
              </w:rPr>
              <w:t>6</w:t>
            </w:r>
            <w:r>
              <w:rPr>
                <w:rFonts w:hint="eastAsia"/>
                <w:b/>
                <w:sz w:val="24"/>
              </w:rPr>
              <w:t>.</w:t>
            </w:r>
            <w:r>
              <w:rPr>
                <w:b/>
                <w:sz w:val="24"/>
              </w:rPr>
              <w:t>2</w:t>
            </w:r>
            <w:r>
              <w:rPr>
                <w:rFonts w:hint="eastAsia"/>
                <w:b/>
                <w:sz w:val="24"/>
              </w:rPr>
              <w:t>平顶山市饮用水源保护区</w:t>
            </w:r>
          </w:p>
          <w:p>
            <w:pPr>
              <w:tabs>
                <w:tab w:val="left" w:pos="8160"/>
              </w:tabs>
              <w:spacing w:line="440" w:lineRule="exact"/>
              <w:ind w:firstLine="482" w:firstLineChars="200"/>
              <w:textAlignment w:val="baseline"/>
              <w:rPr>
                <w:b/>
                <w:kern w:val="0"/>
                <w:sz w:val="24"/>
                <w:u w:val="single"/>
              </w:rPr>
            </w:pPr>
            <w:r>
              <w:rPr>
                <w:rFonts w:hint="eastAsia"/>
                <w:b/>
                <w:sz w:val="24"/>
                <w:u w:val="single"/>
              </w:rPr>
              <w:t>根据《河南省人民政府关于调整</w:t>
            </w:r>
            <w:r>
              <w:rPr>
                <w:b/>
                <w:sz w:val="24"/>
                <w:u w:val="single"/>
              </w:rPr>
              <w:t>取消部分集中式饮用水</w:t>
            </w:r>
            <w:r>
              <w:rPr>
                <w:rFonts w:hint="eastAsia"/>
                <w:b/>
                <w:sz w:val="24"/>
                <w:u w:val="single"/>
              </w:rPr>
              <w:t>水</w:t>
            </w:r>
            <w:r>
              <w:rPr>
                <w:b/>
                <w:sz w:val="24"/>
                <w:u w:val="single"/>
              </w:rPr>
              <w:t>源保护区的通知</w:t>
            </w:r>
            <w:r>
              <w:rPr>
                <w:rFonts w:hint="eastAsia"/>
                <w:b/>
                <w:sz w:val="24"/>
                <w:u w:val="single"/>
              </w:rPr>
              <w:t>》（豫政文[20</w:t>
            </w:r>
            <w:r>
              <w:rPr>
                <w:b/>
                <w:sz w:val="24"/>
                <w:u w:val="single"/>
              </w:rPr>
              <w:t>21</w:t>
            </w:r>
            <w:r>
              <w:rPr>
                <w:rFonts w:hint="eastAsia"/>
                <w:b/>
                <w:sz w:val="24"/>
                <w:u w:val="single"/>
              </w:rPr>
              <w:t>]</w:t>
            </w:r>
            <w:r>
              <w:rPr>
                <w:b/>
                <w:sz w:val="24"/>
                <w:u w:val="single"/>
              </w:rPr>
              <w:t>72</w:t>
            </w:r>
            <w:r>
              <w:rPr>
                <w:rFonts w:hint="eastAsia"/>
                <w:b/>
                <w:sz w:val="24"/>
                <w:u w:val="single"/>
              </w:rPr>
              <w:t>号），</w:t>
            </w:r>
            <w:r>
              <w:rPr>
                <w:rFonts w:hint="eastAsia"/>
                <w:b/>
                <w:kern w:val="0"/>
                <w:sz w:val="24"/>
                <w:u w:val="single"/>
              </w:rPr>
              <w:t>平顶山市白龟山</w:t>
            </w:r>
            <w:r>
              <w:rPr>
                <w:b/>
                <w:kern w:val="0"/>
                <w:sz w:val="24"/>
                <w:u w:val="single"/>
              </w:rPr>
              <w:t>水库</w:t>
            </w:r>
            <w:r>
              <w:rPr>
                <w:rFonts w:hint="eastAsia"/>
                <w:b/>
                <w:kern w:val="0"/>
                <w:sz w:val="24"/>
                <w:u w:val="single"/>
              </w:rPr>
              <w:t>与</w:t>
            </w:r>
            <w:r>
              <w:rPr>
                <w:b/>
                <w:kern w:val="0"/>
                <w:sz w:val="24"/>
                <w:u w:val="single"/>
              </w:rPr>
              <w:t>昭平台水库饮用水源保护区范围如下：</w:t>
            </w:r>
          </w:p>
          <w:p>
            <w:pPr>
              <w:spacing w:line="440" w:lineRule="exact"/>
              <w:ind w:firstLine="482" w:firstLineChars="200"/>
              <w:rPr>
                <w:b/>
                <w:sz w:val="24"/>
                <w:u w:val="single"/>
              </w:rPr>
            </w:pPr>
            <w:r>
              <w:rPr>
                <w:rFonts w:hint="eastAsia"/>
                <w:b/>
                <w:sz w:val="24"/>
                <w:u w:val="single"/>
              </w:rPr>
              <w:t>（一）调整平顶山市</w:t>
            </w:r>
            <w:r>
              <w:rPr>
                <w:b/>
                <w:sz w:val="24"/>
                <w:u w:val="single"/>
              </w:rPr>
              <w:t>白龟山水库饮用水水源</w:t>
            </w:r>
            <w:r>
              <w:rPr>
                <w:rFonts w:hint="eastAsia"/>
                <w:b/>
                <w:sz w:val="24"/>
                <w:u w:val="single"/>
              </w:rPr>
              <w:t>保护区</w:t>
            </w:r>
          </w:p>
          <w:p>
            <w:pPr>
              <w:spacing w:line="440" w:lineRule="exact"/>
              <w:ind w:firstLine="482" w:firstLineChars="200"/>
              <w:rPr>
                <w:b/>
                <w:sz w:val="24"/>
                <w:u w:val="single"/>
              </w:rPr>
            </w:pPr>
            <w:r>
              <w:rPr>
                <w:rFonts w:hint="eastAsia"/>
                <w:b/>
                <w:sz w:val="24"/>
                <w:u w:val="single"/>
              </w:rPr>
              <w:t>一级</w:t>
            </w:r>
            <w:r>
              <w:rPr>
                <w:b/>
                <w:sz w:val="24"/>
                <w:u w:val="single"/>
              </w:rPr>
              <w:t>保护区：水库大坝上游，水库高程</w:t>
            </w:r>
            <w:r>
              <w:rPr>
                <w:rFonts w:hint="eastAsia"/>
                <w:b/>
                <w:sz w:val="24"/>
                <w:u w:val="single"/>
              </w:rPr>
              <w:t>103</w:t>
            </w:r>
            <w:r>
              <w:rPr>
                <w:b/>
                <w:sz w:val="24"/>
                <w:u w:val="single"/>
              </w:rPr>
              <w:t>m以内的区域</w:t>
            </w:r>
            <w:r>
              <w:rPr>
                <w:rFonts w:hint="eastAsia"/>
                <w:b/>
                <w:sz w:val="24"/>
                <w:u w:val="single"/>
              </w:rPr>
              <w:t>及</w:t>
            </w:r>
            <w:r>
              <w:rPr>
                <w:b/>
                <w:sz w:val="24"/>
                <w:u w:val="single"/>
              </w:rPr>
              <w:t>平顶山学院取水口外围</w:t>
            </w:r>
            <w:r>
              <w:rPr>
                <w:rFonts w:hint="eastAsia"/>
                <w:b/>
                <w:sz w:val="24"/>
                <w:u w:val="single"/>
              </w:rPr>
              <w:t>500米</w:t>
            </w:r>
            <w:r>
              <w:rPr>
                <w:b/>
                <w:sz w:val="24"/>
                <w:u w:val="single"/>
              </w:rPr>
              <w:t>至湖滨路、平顶山市自来水有限公司取水口外围</w:t>
            </w:r>
            <w:r>
              <w:rPr>
                <w:rFonts w:hint="eastAsia"/>
                <w:b/>
                <w:sz w:val="24"/>
                <w:u w:val="single"/>
              </w:rPr>
              <w:t>500米</w:t>
            </w:r>
            <w:r>
              <w:rPr>
                <w:b/>
                <w:sz w:val="24"/>
                <w:u w:val="single"/>
              </w:rPr>
              <w:t>至平湖路以内的区域</w:t>
            </w:r>
            <w:r>
              <w:rPr>
                <w:rFonts w:hint="eastAsia"/>
                <w:b/>
                <w:sz w:val="24"/>
                <w:u w:val="single"/>
              </w:rPr>
              <w:t>；沙河</w:t>
            </w:r>
            <w:r>
              <w:rPr>
                <w:b/>
                <w:sz w:val="24"/>
                <w:u w:val="single"/>
              </w:rPr>
              <w:t>、应河、</w:t>
            </w:r>
            <w:r>
              <w:rPr>
                <w:rFonts w:hint="eastAsia"/>
                <w:b/>
                <w:sz w:val="24"/>
                <w:u w:val="single"/>
              </w:rPr>
              <w:t>澎</w:t>
            </w:r>
            <w:r>
              <w:rPr>
                <w:b/>
                <w:sz w:val="24"/>
                <w:u w:val="single"/>
              </w:rPr>
              <w:t>河、冷水河入库</w:t>
            </w:r>
            <w:r>
              <w:rPr>
                <w:rFonts w:hint="eastAsia"/>
                <w:b/>
                <w:sz w:val="24"/>
                <w:u w:val="single"/>
              </w:rPr>
              <w:t>口</w:t>
            </w:r>
            <w:r>
              <w:rPr>
                <w:b/>
                <w:sz w:val="24"/>
                <w:u w:val="single"/>
              </w:rPr>
              <w:t>至上游</w:t>
            </w:r>
            <w:r>
              <w:rPr>
                <w:rFonts w:hint="eastAsia"/>
                <w:b/>
                <w:sz w:val="24"/>
                <w:u w:val="single"/>
              </w:rPr>
              <w:t>2000米</w:t>
            </w:r>
            <w:r>
              <w:rPr>
                <w:b/>
                <w:sz w:val="24"/>
                <w:u w:val="single"/>
              </w:rPr>
              <w:t>的河道管理范围区域。</w:t>
            </w:r>
          </w:p>
          <w:p>
            <w:pPr>
              <w:spacing w:line="440" w:lineRule="exact"/>
              <w:ind w:firstLine="482" w:firstLineChars="200"/>
              <w:rPr>
                <w:b/>
                <w:sz w:val="24"/>
                <w:u w:val="single"/>
              </w:rPr>
            </w:pPr>
            <w:r>
              <w:rPr>
                <w:rFonts w:hint="eastAsia"/>
                <w:b/>
                <w:sz w:val="24"/>
                <w:u w:val="single"/>
              </w:rPr>
              <w:t>二级</w:t>
            </w:r>
            <w:r>
              <w:rPr>
                <w:b/>
                <w:sz w:val="24"/>
                <w:u w:val="single"/>
              </w:rPr>
              <w:t>保护区：</w:t>
            </w:r>
            <w:r>
              <w:rPr>
                <w:rFonts w:hint="eastAsia"/>
                <w:b/>
                <w:sz w:val="24"/>
                <w:u w:val="single"/>
              </w:rPr>
              <w:t>一级</w:t>
            </w:r>
            <w:r>
              <w:rPr>
                <w:b/>
                <w:sz w:val="24"/>
                <w:u w:val="single"/>
              </w:rPr>
              <w:t>保护区外，水库高程</w:t>
            </w:r>
            <w:r>
              <w:rPr>
                <w:rFonts w:hint="eastAsia"/>
                <w:b/>
                <w:sz w:val="24"/>
                <w:u w:val="single"/>
              </w:rPr>
              <w:t>103米</w:t>
            </w:r>
            <w:r>
              <w:rPr>
                <w:b/>
                <w:sz w:val="24"/>
                <w:u w:val="single"/>
              </w:rPr>
              <w:t>至水库高程</w:t>
            </w:r>
            <w:r>
              <w:rPr>
                <w:rFonts w:hint="eastAsia"/>
                <w:b/>
                <w:sz w:val="24"/>
                <w:u w:val="single"/>
              </w:rPr>
              <w:t>104米</w:t>
            </w:r>
            <w:r>
              <w:rPr>
                <w:b/>
                <w:sz w:val="24"/>
                <w:u w:val="single"/>
              </w:rPr>
              <w:t>—</w:t>
            </w:r>
            <w:r>
              <w:rPr>
                <w:rFonts w:hint="eastAsia"/>
                <w:b/>
                <w:sz w:val="24"/>
                <w:u w:val="single"/>
              </w:rPr>
              <w:t>湖滨路</w:t>
            </w:r>
            <w:r>
              <w:rPr>
                <w:b/>
                <w:sz w:val="24"/>
                <w:u w:val="single"/>
              </w:rPr>
              <w:t>以内的区域；沙河入库口至上游</w:t>
            </w:r>
            <w:r>
              <w:rPr>
                <w:rFonts w:hint="eastAsia"/>
                <w:b/>
                <w:sz w:val="24"/>
                <w:u w:val="single"/>
              </w:rPr>
              <w:t>昭平台</w:t>
            </w:r>
            <w:r>
              <w:rPr>
                <w:b/>
                <w:sz w:val="24"/>
                <w:u w:val="single"/>
              </w:rPr>
              <w:t>水库坝下的河道管理范围区域</w:t>
            </w:r>
            <w:r>
              <w:rPr>
                <w:rFonts w:hint="eastAsia"/>
                <w:b/>
                <w:sz w:val="24"/>
                <w:u w:val="single"/>
              </w:rPr>
              <w:t>；</w:t>
            </w:r>
            <w:r>
              <w:rPr>
                <w:b/>
                <w:sz w:val="24"/>
                <w:u w:val="single"/>
              </w:rPr>
              <w:t>澎河入库口至上游</w:t>
            </w:r>
            <w:r>
              <w:rPr>
                <w:rFonts w:hint="eastAsia"/>
                <w:b/>
                <w:sz w:val="24"/>
                <w:u w:val="single"/>
              </w:rPr>
              <w:t>14000米</w:t>
            </w:r>
            <w:r>
              <w:rPr>
                <w:b/>
                <w:sz w:val="24"/>
                <w:u w:val="single"/>
              </w:rPr>
              <w:t>（</w:t>
            </w:r>
            <w:r>
              <w:rPr>
                <w:rFonts w:hint="eastAsia"/>
                <w:b/>
                <w:sz w:val="24"/>
                <w:u w:val="single"/>
              </w:rPr>
              <w:t>南水北调</w:t>
            </w:r>
            <w:r>
              <w:rPr>
                <w:b/>
                <w:sz w:val="24"/>
                <w:u w:val="single"/>
              </w:rPr>
              <w:t>中线工程澎河退水</w:t>
            </w:r>
            <w:r>
              <w:rPr>
                <w:rFonts w:hint="eastAsia"/>
                <w:b/>
                <w:sz w:val="24"/>
                <w:u w:val="single"/>
              </w:rPr>
              <w:t>闸</w:t>
            </w:r>
            <w:r>
              <w:rPr>
                <w:b/>
                <w:sz w:val="24"/>
                <w:u w:val="single"/>
              </w:rPr>
              <w:t>）</w:t>
            </w:r>
            <w:r>
              <w:rPr>
                <w:rFonts w:hint="eastAsia"/>
                <w:b/>
                <w:sz w:val="24"/>
                <w:u w:val="single"/>
              </w:rPr>
              <w:t>的</w:t>
            </w:r>
            <w:r>
              <w:rPr>
                <w:b/>
                <w:sz w:val="24"/>
                <w:u w:val="single"/>
              </w:rPr>
              <w:t>河道管理范围区域</w:t>
            </w:r>
            <w:r>
              <w:rPr>
                <w:rFonts w:hint="eastAsia"/>
                <w:b/>
                <w:sz w:val="24"/>
                <w:u w:val="single"/>
              </w:rPr>
              <w:t>；</w:t>
            </w:r>
            <w:r>
              <w:rPr>
                <w:b/>
                <w:sz w:val="24"/>
                <w:u w:val="single"/>
              </w:rPr>
              <w:t>大浪河、将相</w:t>
            </w:r>
            <w:r>
              <w:rPr>
                <w:rFonts w:hint="eastAsia"/>
                <w:b/>
                <w:sz w:val="24"/>
                <w:u w:val="single"/>
              </w:rPr>
              <w:t>河</w:t>
            </w:r>
            <w:r>
              <w:rPr>
                <w:b/>
                <w:sz w:val="24"/>
                <w:u w:val="single"/>
              </w:rPr>
              <w:t>、七里河、</w:t>
            </w:r>
            <w:r>
              <w:rPr>
                <w:rFonts w:hint="eastAsia"/>
                <w:b/>
                <w:sz w:val="24"/>
                <w:u w:val="single"/>
              </w:rPr>
              <w:t>瀼</w:t>
            </w:r>
            <w:r>
              <w:rPr>
                <w:b/>
                <w:sz w:val="24"/>
                <w:u w:val="single"/>
              </w:rPr>
              <w:t>河、</w:t>
            </w:r>
            <w:r>
              <w:rPr>
                <w:rFonts w:hint="eastAsia"/>
                <w:b/>
                <w:sz w:val="24"/>
                <w:u w:val="single"/>
              </w:rPr>
              <w:t>肥</w:t>
            </w:r>
            <w:r>
              <w:rPr>
                <w:b/>
                <w:sz w:val="24"/>
                <w:u w:val="single"/>
              </w:rPr>
              <w:t>河入沙河口至上游</w:t>
            </w:r>
            <w:r>
              <w:rPr>
                <w:rFonts w:hint="eastAsia"/>
                <w:b/>
                <w:sz w:val="24"/>
                <w:u w:val="single"/>
              </w:rPr>
              <w:t>1000米</w:t>
            </w:r>
            <w:r>
              <w:rPr>
                <w:b/>
                <w:sz w:val="24"/>
                <w:u w:val="single"/>
              </w:rPr>
              <w:t>的河道管理范围区域。</w:t>
            </w:r>
          </w:p>
          <w:p>
            <w:pPr>
              <w:spacing w:line="440" w:lineRule="exact"/>
              <w:ind w:firstLine="482" w:firstLineChars="200"/>
              <w:rPr>
                <w:b/>
                <w:sz w:val="24"/>
                <w:u w:val="single"/>
              </w:rPr>
            </w:pPr>
            <w:r>
              <w:rPr>
                <w:rFonts w:hint="eastAsia"/>
                <w:b/>
                <w:sz w:val="24"/>
                <w:u w:val="single"/>
              </w:rPr>
              <w:t>准</w:t>
            </w:r>
            <w:r>
              <w:rPr>
                <w:b/>
                <w:sz w:val="24"/>
                <w:u w:val="single"/>
              </w:rPr>
              <w:t>保护区：一、二级保护区外，应</w:t>
            </w:r>
            <w:r>
              <w:rPr>
                <w:rFonts w:hint="eastAsia"/>
                <w:b/>
                <w:sz w:val="24"/>
                <w:u w:val="single"/>
              </w:rPr>
              <w:t>河</w:t>
            </w:r>
            <w:r>
              <w:rPr>
                <w:b/>
                <w:sz w:val="24"/>
                <w:u w:val="single"/>
              </w:rPr>
              <w:t>、澎河、</w:t>
            </w:r>
            <w:r>
              <w:rPr>
                <w:rFonts w:hint="eastAsia"/>
                <w:b/>
                <w:sz w:val="24"/>
                <w:u w:val="single"/>
              </w:rPr>
              <w:t>冷水河</w:t>
            </w:r>
            <w:r>
              <w:rPr>
                <w:b/>
                <w:sz w:val="24"/>
                <w:u w:val="single"/>
              </w:rPr>
              <w:t>河道管理范围外</w:t>
            </w:r>
            <w:r>
              <w:rPr>
                <w:rFonts w:hint="eastAsia"/>
                <w:b/>
                <w:sz w:val="24"/>
                <w:u w:val="single"/>
              </w:rPr>
              <w:t>500米</w:t>
            </w:r>
            <w:r>
              <w:rPr>
                <w:b/>
                <w:sz w:val="24"/>
                <w:u w:val="single"/>
              </w:rPr>
              <w:t>以内的区域。</w:t>
            </w:r>
          </w:p>
          <w:p>
            <w:pPr>
              <w:spacing w:line="440" w:lineRule="exact"/>
              <w:ind w:firstLine="482" w:firstLineChars="200"/>
              <w:rPr>
                <w:b/>
                <w:sz w:val="24"/>
                <w:u w:val="single"/>
              </w:rPr>
            </w:pPr>
            <w:r>
              <w:rPr>
                <w:rFonts w:hint="eastAsia"/>
                <w:b/>
                <w:sz w:val="24"/>
                <w:u w:val="single"/>
              </w:rPr>
              <w:t>（二）调整</w:t>
            </w:r>
            <w:r>
              <w:rPr>
                <w:b/>
                <w:sz w:val="24"/>
                <w:u w:val="single"/>
              </w:rPr>
              <w:t>鲁山县昭平台水库饮用水水源保护区。</w:t>
            </w:r>
            <w:r>
              <w:rPr>
                <w:rFonts w:hint="eastAsia"/>
                <w:b/>
                <w:sz w:val="24"/>
                <w:u w:val="single"/>
              </w:rPr>
              <w:t>具体</w:t>
            </w:r>
            <w:r>
              <w:rPr>
                <w:b/>
                <w:sz w:val="24"/>
                <w:u w:val="single"/>
              </w:rPr>
              <w:t>范围如下：</w:t>
            </w:r>
          </w:p>
          <w:p>
            <w:pPr>
              <w:spacing w:line="440" w:lineRule="exact"/>
              <w:ind w:firstLine="482" w:firstLineChars="200"/>
              <w:rPr>
                <w:b/>
                <w:sz w:val="24"/>
                <w:u w:val="single"/>
              </w:rPr>
            </w:pPr>
            <w:r>
              <w:rPr>
                <w:rFonts w:hint="eastAsia"/>
                <w:b/>
                <w:sz w:val="24"/>
                <w:u w:val="single"/>
              </w:rPr>
              <w:t>一级</w:t>
            </w:r>
            <w:r>
              <w:rPr>
                <w:b/>
                <w:sz w:val="24"/>
                <w:u w:val="single"/>
              </w:rPr>
              <w:t>保护区：水库大坝</w:t>
            </w:r>
            <w:r>
              <w:rPr>
                <w:rFonts w:hint="eastAsia"/>
                <w:b/>
                <w:sz w:val="24"/>
                <w:u w:val="single"/>
              </w:rPr>
              <w:t>至</w:t>
            </w:r>
            <w:r>
              <w:rPr>
                <w:b/>
                <w:sz w:val="24"/>
                <w:u w:val="single"/>
              </w:rPr>
              <w:t>上游</w:t>
            </w:r>
            <w:r>
              <w:rPr>
                <w:rFonts w:hint="eastAsia"/>
                <w:b/>
                <w:sz w:val="24"/>
                <w:u w:val="single"/>
              </w:rPr>
              <w:t>3800米</w:t>
            </w:r>
            <w:r>
              <w:rPr>
                <w:b/>
                <w:sz w:val="24"/>
                <w:u w:val="single"/>
              </w:rPr>
              <w:t>，水库高程</w:t>
            </w:r>
            <w:r>
              <w:rPr>
                <w:rFonts w:hint="eastAsia"/>
                <w:b/>
                <w:sz w:val="24"/>
                <w:u w:val="single"/>
              </w:rPr>
              <w:t>169米以内</w:t>
            </w:r>
            <w:r>
              <w:rPr>
                <w:b/>
                <w:sz w:val="24"/>
                <w:u w:val="single"/>
              </w:rPr>
              <w:t>的区域</w:t>
            </w:r>
            <w:r>
              <w:rPr>
                <w:rFonts w:hint="eastAsia"/>
                <w:b/>
                <w:sz w:val="24"/>
                <w:u w:val="single"/>
              </w:rPr>
              <w:t>及</w:t>
            </w:r>
            <w:r>
              <w:rPr>
                <w:b/>
                <w:sz w:val="24"/>
                <w:u w:val="single"/>
              </w:rPr>
              <w:t>以外</w:t>
            </w:r>
            <w:r>
              <w:rPr>
                <w:rFonts w:hint="eastAsia"/>
                <w:b/>
                <w:sz w:val="24"/>
                <w:u w:val="single"/>
              </w:rPr>
              <w:t>200米</w:t>
            </w:r>
            <w:r>
              <w:rPr>
                <w:b/>
                <w:sz w:val="24"/>
                <w:u w:val="single"/>
              </w:rPr>
              <w:t>不超过</w:t>
            </w:r>
            <w:r>
              <w:rPr>
                <w:rFonts w:hint="eastAsia"/>
                <w:b/>
                <w:sz w:val="24"/>
                <w:u w:val="single"/>
              </w:rPr>
              <w:t>环库</w:t>
            </w:r>
            <w:r>
              <w:rPr>
                <w:b/>
                <w:sz w:val="24"/>
                <w:u w:val="single"/>
              </w:rPr>
              <w:t>路的区域。</w:t>
            </w:r>
          </w:p>
          <w:p>
            <w:pPr>
              <w:spacing w:line="440" w:lineRule="exact"/>
              <w:ind w:firstLine="482" w:firstLineChars="200"/>
              <w:rPr>
                <w:b/>
                <w:sz w:val="24"/>
                <w:u w:val="single"/>
              </w:rPr>
            </w:pPr>
            <w:r>
              <w:rPr>
                <w:rFonts w:hint="eastAsia"/>
                <w:b/>
                <w:sz w:val="24"/>
                <w:u w:val="single"/>
              </w:rPr>
              <w:t>二级</w:t>
            </w:r>
            <w:r>
              <w:rPr>
                <w:b/>
                <w:sz w:val="24"/>
                <w:u w:val="single"/>
              </w:rPr>
              <w:t>保护区：</w:t>
            </w:r>
            <w:r>
              <w:rPr>
                <w:rFonts w:hint="eastAsia"/>
                <w:b/>
                <w:sz w:val="24"/>
                <w:u w:val="single"/>
              </w:rPr>
              <w:t>一级</w:t>
            </w:r>
            <w:r>
              <w:rPr>
                <w:b/>
                <w:sz w:val="24"/>
                <w:u w:val="single"/>
              </w:rPr>
              <w:t>保护区外，水库大坝上游</w:t>
            </w:r>
            <w:r>
              <w:rPr>
                <w:rFonts w:hint="eastAsia"/>
                <w:b/>
                <w:sz w:val="24"/>
                <w:u w:val="single"/>
              </w:rPr>
              <w:t>3800米</w:t>
            </w:r>
            <w:r>
              <w:rPr>
                <w:b/>
                <w:sz w:val="24"/>
                <w:u w:val="single"/>
              </w:rPr>
              <w:t>至</w:t>
            </w:r>
            <w:r>
              <w:rPr>
                <w:rFonts w:hint="eastAsia"/>
                <w:b/>
                <w:sz w:val="24"/>
                <w:u w:val="single"/>
              </w:rPr>
              <w:t>5800米</w:t>
            </w:r>
            <w:r>
              <w:rPr>
                <w:b/>
                <w:sz w:val="24"/>
                <w:u w:val="single"/>
              </w:rPr>
              <w:t>，水库高程</w:t>
            </w:r>
            <w:r>
              <w:rPr>
                <w:rFonts w:hint="eastAsia"/>
                <w:b/>
                <w:sz w:val="24"/>
                <w:u w:val="single"/>
              </w:rPr>
              <w:t>169米</w:t>
            </w:r>
            <w:r>
              <w:rPr>
                <w:b/>
                <w:sz w:val="24"/>
                <w:u w:val="single"/>
              </w:rPr>
              <w:t>以内的区域及以外至环库路的区域。</w:t>
            </w:r>
          </w:p>
          <w:p>
            <w:pPr>
              <w:spacing w:line="440" w:lineRule="exact"/>
              <w:ind w:firstLine="482" w:firstLineChars="200"/>
              <w:rPr>
                <w:b/>
                <w:sz w:val="24"/>
                <w:u w:val="single"/>
              </w:rPr>
            </w:pPr>
            <w:r>
              <w:rPr>
                <w:rFonts w:hint="eastAsia"/>
                <w:b/>
                <w:sz w:val="24"/>
                <w:u w:val="single"/>
              </w:rPr>
              <w:t>准保护区</w:t>
            </w:r>
            <w:r>
              <w:rPr>
                <w:b/>
                <w:sz w:val="24"/>
                <w:u w:val="single"/>
              </w:rPr>
              <w:t>：二级保护区外，水库高程</w:t>
            </w:r>
            <w:r>
              <w:rPr>
                <w:rFonts w:hint="eastAsia"/>
                <w:b/>
                <w:sz w:val="24"/>
                <w:u w:val="single"/>
              </w:rPr>
              <w:t>169米</w:t>
            </w:r>
            <w:r>
              <w:rPr>
                <w:b/>
                <w:sz w:val="24"/>
                <w:u w:val="single"/>
              </w:rPr>
              <w:t>以内的区域及以外至环库路的区域；沙河、</w:t>
            </w:r>
            <w:r>
              <w:rPr>
                <w:rFonts w:hint="eastAsia"/>
                <w:b/>
                <w:sz w:val="24"/>
                <w:u w:val="single"/>
              </w:rPr>
              <w:t>荡</w:t>
            </w:r>
            <w:r>
              <w:rPr>
                <w:b/>
                <w:sz w:val="24"/>
                <w:u w:val="single"/>
              </w:rPr>
              <w:t>泽</w:t>
            </w:r>
            <w:r>
              <w:rPr>
                <w:rFonts w:hint="eastAsia"/>
                <w:b/>
                <w:sz w:val="24"/>
                <w:u w:val="single"/>
              </w:rPr>
              <w:t>河、柳林</w:t>
            </w:r>
            <w:r>
              <w:rPr>
                <w:b/>
                <w:sz w:val="24"/>
                <w:u w:val="single"/>
              </w:rPr>
              <w:t>河</w:t>
            </w:r>
            <w:r>
              <w:rPr>
                <w:rFonts w:hint="eastAsia"/>
                <w:b/>
                <w:sz w:val="24"/>
                <w:u w:val="single"/>
              </w:rPr>
              <w:t>、</w:t>
            </w:r>
            <w:r>
              <w:rPr>
                <w:b/>
                <w:sz w:val="24"/>
                <w:u w:val="single"/>
              </w:rPr>
              <w:t>团城河</w:t>
            </w:r>
            <w:r>
              <w:rPr>
                <w:rFonts w:hint="eastAsia"/>
                <w:b/>
                <w:sz w:val="24"/>
                <w:u w:val="single"/>
              </w:rPr>
              <w:t>、</w:t>
            </w:r>
            <w:r>
              <w:rPr>
                <w:b/>
                <w:sz w:val="24"/>
                <w:u w:val="single"/>
              </w:rPr>
              <w:t>清水河河</w:t>
            </w:r>
            <w:r>
              <w:rPr>
                <w:rFonts w:hint="eastAsia"/>
                <w:b/>
                <w:sz w:val="24"/>
                <w:u w:val="single"/>
              </w:rPr>
              <w:t>道</w:t>
            </w:r>
            <w:r>
              <w:rPr>
                <w:b/>
                <w:sz w:val="24"/>
                <w:u w:val="single"/>
              </w:rPr>
              <w:t>管理范围外</w:t>
            </w:r>
            <w:r>
              <w:rPr>
                <w:rFonts w:hint="eastAsia"/>
                <w:b/>
                <w:sz w:val="24"/>
                <w:u w:val="single"/>
              </w:rPr>
              <w:t>500米</w:t>
            </w:r>
            <w:r>
              <w:rPr>
                <w:b/>
                <w:sz w:val="24"/>
                <w:u w:val="single"/>
              </w:rPr>
              <w:t>以内的区域。</w:t>
            </w:r>
          </w:p>
          <w:p>
            <w:pPr>
              <w:spacing w:line="40" w:lineRule="exact"/>
              <w:ind w:firstLine="482" w:firstLineChars="200"/>
              <w:rPr>
                <w:b/>
                <w:sz w:val="24"/>
                <w:u w:val="single"/>
              </w:rPr>
            </w:pPr>
          </w:p>
          <w:p>
            <w:pPr>
              <w:spacing w:line="440" w:lineRule="exact"/>
              <w:ind w:firstLine="482" w:firstLineChars="200"/>
              <w:rPr>
                <w:b/>
                <w:sz w:val="24"/>
                <w:u w:val="single"/>
              </w:rPr>
            </w:pPr>
            <w:r>
              <w:rPr>
                <w:rFonts w:hint="eastAsia"/>
                <w:b/>
                <w:sz w:val="24"/>
                <w:u w:val="single"/>
              </w:rPr>
              <w:t>根据《中华人民共和国水污染防治法》，在饮用水水源保护区内，禁止设置排污口。饮用水源地一级保护区内：禁止新建、扩建与供水设施和保护水源无关的建设项目；已建成的与供水设施和保护水源无关的建设项目，由县级以上人民政府责令拆除或者关闭；禁止在饮用水水源一级保护区内从事网箱养殖、旅游、游泳、垂钓或者其他可能污染饮用水水体的活动。饮用水源地二级保护区内：禁止新建、改建、扩建排放污染物的建设项目；在饮用水水源二级保护区内从事网箱养殖、旅游等活动的，应当按照规定采取措施，防止污染饮用水水体。</w:t>
            </w:r>
          </w:p>
          <w:p>
            <w:pPr>
              <w:spacing w:line="440" w:lineRule="exact"/>
              <w:ind w:firstLine="482" w:firstLineChars="200"/>
              <w:textAlignment w:val="baseline"/>
              <w:rPr>
                <w:b/>
                <w:sz w:val="24"/>
                <w:u w:val="single"/>
              </w:rPr>
            </w:pPr>
            <w:r>
              <w:rPr>
                <w:rFonts w:hint="eastAsia"/>
                <w:b/>
                <w:sz w:val="24"/>
                <w:u w:val="single"/>
              </w:rPr>
              <w:t>本项目位于鲁山县</w:t>
            </w:r>
            <w:r>
              <w:rPr>
                <w:b/>
                <w:sz w:val="24"/>
                <w:u w:val="single"/>
              </w:rPr>
              <w:t>辛集</w:t>
            </w:r>
            <w:r>
              <w:rPr>
                <w:rFonts w:hint="eastAsia"/>
                <w:b/>
                <w:sz w:val="24"/>
                <w:u w:val="single"/>
              </w:rPr>
              <w:t>乡曲店村</w:t>
            </w:r>
            <w:r>
              <w:rPr>
                <w:b/>
                <w:sz w:val="24"/>
                <w:u w:val="single"/>
              </w:rPr>
              <w:t>，</w:t>
            </w:r>
            <w:r>
              <w:rPr>
                <w:rFonts w:hint="eastAsia"/>
                <w:b/>
                <w:sz w:val="24"/>
                <w:u w:val="single"/>
              </w:rPr>
              <w:t>距离最近</w:t>
            </w:r>
            <w:r>
              <w:rPr>
                <w:b/>
                <w:sz w:val="24"/>
                <w:u w:val="single"/>
              </w:rPr>
              <w:t>的白龟山水库饮用水水源</w:t>
            </w:r>
            <w:r>
              <w:rPr>
                <w:rFonts w:hint="eastAsia"/>
                <w:b/>
                <w:sz w:val="24"/>
                <w:u w:val="single"/>
              </w:rPr>
              <w:t>保护区沙河约4.5</w:t>
            </w:r>
            <w:r>
              <w:rPr>
                <w:b/>
                <w:sz w:val="24"/>
                <w:u w:val="single"/>
              </w:rPr>
              <w:t>km，</w:t>
            </w:r>
            <w:r>
              <w:rPr>
                <w:rFonts w:hint="eastAsia"/>
                <w:b/>
                <w:sz w:val="24"/>
                <w:u w:val="single"/>
              </w:rPr>
              <w:t>不在饮用水源</w:t>
            </w:r>
            <w:r>
              <w:rPr>
                <w:b/>
                <w:sz w:val="24"/>
                <w:u w:val="single"/>
              </w:rPr>
              <w:t>保护区范围内</w:t>
            </w:r>
            <w:r>
              <w:rPr>
                <w:rFonts w:hint="eastAsia"/>
                <w:b/>
                <w:sz w:val="24"/>
                <w:u w:val="single"/>
              </w:rPr>
              <w:t>，相关位置关系见附图五。</w:t>
            </w:r>
          </w:p>
          <w:p>
            <w:pPr>
              <w:spacing w:line="440" w:lineRule="exact"/>
              <w:ind w:firstLine="361" w:firstLineChars="150"/>
              <w:textAlignment w:val="baseline"/>
              <w:rPr>
                <w:b/>
                <w:bCs/>
                <w:sz w:val="24"/>
              </w:rPr>
            </w:pPr>
            <w:r>
              <w:rPr>
                <w:b/>
                <w:bCs/>
                <w:sz w:val="24"/>
              </w:rPr>
              <w:t>6</w:t>
            </w:r>
            <w:r>
              <w:rPr>
                <w:rFonts w:hint="eastAsia"/>
                <w:b/>
                <w:bCs/>
                <w:sz w:val="24"/>
              </w:rPr>
              <w:t xml:space="preserve">.3 </w:t>
            </w:r>
            <w:r>
              <w:rPr>
                <w:b/>
                <w:bCs/>
                <w:sz w:val="24"/>
              </w:rPr>
              <w:t>与鲁山县集中式饮用水水源保护区的相符性分析</w:t>
            </w:r>
          </w:p>
          <w:p>
            <w:pPr>
              <w:tabs>
                <w:tab w:val="left" w:pos="8160"/>
              </w:tabs>
              <w:spacing w:line="440" w:lineRule="exact"/>
              <w:ind w:firstLine="480" w:firstLineChars="200"/>
              <w:textAlignment w:val="baseline"/>
              <w:rPr>
                <w:kern w:val="0"/>
                <w:sz w:val="24"/>
              </w:rPr>
            </w:pPr>
            <w:r>
              <w:rPr>
                <w:kern w:val="0"/>
                <w:sz w:val="24"/>
              </w:rPr>
              <w:t>根据《河南省人民政府办公厅关于印发河南省县级集中式饮用水水源保护区划的通知》（豫政办[2016</w:t>
            </w:r>
            <w:r>
              <w:rPr>
                <w:rFonts w:hint="eastAsia"/>
                <w:kern w:val="0"/>
                <w:sz w:val="24"/>
              </w:rPr>
              <w:t>]</w:t>
            </w:r>
            <w:r>
              <w:rPr>
                <w:kern w:val="0"/>
                <w:sz w:val="24"/>
              </w:rPr>
              <w:t>23 号）文件，鲁山县集中式饮用水源保护区范围如下：</w:t>
            </w:r>
          </w:p>
          <w:p>
            <w:pPr>
              <w:tabs>
                <w:tab w:val="left" w:pos="8160"/>
              </w:tabs>
              <w:spacing w:line="440" w:lineRule="exact"/>
              <w:ind w:firstLine="480" w:firstLineChars="200"/>
              <w:textAlignment w:val="baseline"/>
              <w:rPr>
                <w:kern w:val="0"/>
                <w:sz w:val="24"/>
              </w:rPr>
            </w:pPr>
            <w:r>
              <w:rPr>
                <w:kern w:val="0"/>
                <w:sz w:val="24"/>
              </w:rPr>
              <w:t>① 鲁山县四棵树乡清水河前庄</w:t>
            </w:r>
          </w:p>
          <w:p>
            <w:pPr>
              <w:tabs>
                <w:tab w:val="left" w:pos="8160"/>
              </w:tabs>
              <w:spacing w:line="440" w:lineRule="exact"/>
              <w:ind w:firstLine="480" w:firstLineChars="200"/>
              <w:textAlignment w:val="baseline"/>
              <w:rPr>
                <w:kern w:val="0"/>
                <w:sz w:val="24"/>
              </w:rPr>
            </w:pPr>
            <w:r>
              <w:rPr>
                <w:kern w:val="0"/>
                <w:sz w:val="24"/>
              </w:rPr>
              <w:t>一级保护区范围：清水河取水口上游1000米及下游100米河道内及两侧50米的区域。</w:t>
            </w:r>
          </w:p>
          <w:p>
            <w:pPr>
              <w:tabs>
                <w:tab w:val="left" w:pos="8160"/>
              </w:tabs>
              <w:spacing w:line="440" w:lineRule="exact"/>
              <w:ind w:firstLine="480" w:firstLineChars="200"/>
              <w:textAlignment w:val="baseline"/>
              <w:rPr>
                <w:kern w:val="0"/>
                <w:sz w:val="24"/>
              </w:rPr>
            </w:pPr>
            <w:r>
              <w:rPr>
                <w:kern w:val="0"/>
                <w:sz w:val="24"/>
              </w:rPr>
              <w:t>二级保护区范围：一级保护区外，清水河上游2000米及下游200米河道内及两侧1000米的区域。</w:t>
            </w:r>
          </w:p>
          <w:p>
            <w:pPr>
              <w:tabs>
                <w:tab w:val="left" w:pos="8160"/>
              </w:tabs>
              <w:spacing w:line="440" w:lineRule="exact"/>
              <w:ind w:firstLine="480" w:firstLineChars="200"/>
              <w:textAlignment w:val="baseline"/>
              <w:rPr>
                <w:kern w:val="0"/>
                <w:sz w:val="24"/>
              </w:rPr>
            </w:pPr>
            <w:r>
              <w:rPr>
                <w:kern w:val="0"/>
                <w:sz w:val="24"/>
              </w:rPr>
              <w:t>准保护区范围：二级保护区外，清水河上游至鲁山县界河道内及两侧50米的区域。</w:t>
            </w:r>
          </w:p>
          <w:p>
            <w:pPr>
              <w:tabs>
                <w:tab w:val="left" w:pos="8160"/>
              </w:tabs>
              <w:spacing w:line="440" w:lineRule="exact"/>
              <w:ind w:firstLine="480" w:firstLineChars="200"/>
              <w:textAlignment w:val="baseline"/>
              <w:rPr>
                <w:kern w:val="0"/>
                <w:sz w:val="24"/>
              </w:rPr>
            </w:pPr>
            <w:r>
              <w:rPr>
                <w:rFonts w:ascii="宋体" w:hAnsi="宋体"/>
                <w:kern w:val="0"/>
                <w:sz w:val="24"/>
              </w:rPr>
              <w:t>②</w:t>
            </w:r>
            <w:r>
              <w:rPr>
                <w:kern w:val="0"/>
                <w:sz w:val="24"/>
              </w:rPr>
              <w:t xml:space="preserve"> 鲁山县尧山镇玉皇庙河西竹园</w:t>
            </w:r>
          </w:p>
          <w:p>
            <w:pPr>
              <w:autoSpaceDE w:val="0"/>
              <w:autoSpaceDN w:val="0"/>
              <w:adjustRightInd w:val="0"/>
              <w:snapToGrid w:val="0"/>
              <w:spacing w:line="440" w:lineRule="exact"/>
              <w:ind w:firstLine="480" w:firstLineChars="200"/>
              <w:rPr>
                <w:kern w:val="0"/>
                <w:sz w:val="24"/>
              </w:rPr>
            </w:pPr>
            <w:r>
              <w:rPr>
                <w:kern w:val="0"/>
                <w:sz w:val="24"/>
              </w:rPr>
              <w:t>一级保护区范围：玉皇庙河尧山第一漂上站水坝至上游1000米河道内及两侧50米的区域。</w:t>
            </w:r>
          </w:p>
          <w:p>
            <w:pPr>
              <w:tabs>
                <w:tab w:val="left" w:pos="8160"/>
              </w:tabs>
              <w:spacing w:line="440" w:lineRule="exact"/>
              <w:ind w:firstLine="480" w:firstLineChars="200"/>
              <w:textAlignment w:val="baseline"/>
              <w:rPr>
                <w:kern w:val="0"/>
                <w:sz w:val="24"/>
              </w:rPr>
            </w:pPr>
            <w:r>
              <w:rPr>
                <w:kern w:val="0"/>
                <w:sz w:val="24"/>
              </w:rPr>
              <w:t>二级保护区范围：一级保护区外，玉皇庙河上游2000米河道内及两侧 1000米的区域。</w:t>
            </w:r>
          </w:p>
          <w:p>
            <w:pPr>
              <w:tabs>
                <w:tab w:val="left" w:pos="8160"/>
              </w:tabs>
              <w:spacing w:line="440" w:lineRule="exact"/>
              <w:ind w:firstLine="480" w:firstLineChars="200"/>
              <w:textAlignment w:val="baseline"/>
              <w:rPr>
                <w:kern w:val="0"/>
                <w:sz w:val="24"/>
              </w:rPr>
            </w:pPr>
            <w:r>
              <w:rPr>
                <w:kern w:val="0"/>
                <w:sz w:val="24"/>
              </w:rPr>
              <w:t>准保护区范围：二级保护区外，玉皇庙河上游2000米河道内及两侧50 米的区域，北沟河上游2000米河道内及两侧50米的区域。</w:t>
            </w:r>
          </w:p>
          <w:p>
            <w:pPr>
              <w:tabs>
                <w:tab w:val="left" w:pos="8160"/>
              </w:tabs>
              <w:spacing w:line="440" w:lineRule="exact"/>
              <w:ind w:firstLine="480" w:firstLineChars="200"/>
              <w:textAlignment w:val="baseline"/>
              <w:rPr>
                <w:kern w:val="0"/>
                <w:sz w:val="24"/>
              </w:rPr>
            </w:pPr>
            <w:r>
              <w:rPr>
                <w:rFonts w:ascii="宋体" w:hAnsi="宋体"/>
                <w:kern w:val="0"/>
                <w:sz w:val="24"/>
              </w:rPr>
              <w:t xml:space="preserve">③ </w:t>
            </w:r>
            <w:r>
              <w:rPr>
                <w:kern w:val="0"/>
                <w:sz w:val="24"/>
              </w:rPr>
              <w:t>鲁山县土门办事处土门河侯家庄</w:t>
            </w:r>
          </w:p>
          <w:p>
            <w:pPr>
              <w:tabs>
                <w:tab w:val="left" w:pos="8160"/>
              </w:tabs>
              <w:spacing w:line="440" w:lineRule="exact"/>
              <w:ind w:firstLine="480" w:firstLineChars="200"/>
              <w:textAlignment w:val="baseline"/>
              <w:rPr>
                <w:kern w:val="0"/>
                <w:sz w:val="24"/>
              </w:rPr>
            </w:pPr>
            <w:r>
              <w:rPr>
                <w:kern w:val="0"/>
                <w:sz w:val="24"/>
              </w:rPr>
              <w:t>一级保护区范围：土门河取水口上游1000 米至下游100米河道内及两侧50米的区域。</w:t>
            </w:r>
          </w:p>
          <w:p>
            <w:pPr>
              <w:tabs>
                <w:tab w:val="left" w:pos="8160"/>
              </w:tabs>
              <w:spacing w:line="440" w:lineRule="exact"/>
              <w:ind w:firstLine="480" w:firstLineChars="200"/>
              <w:textAlignment w:val="baseline"/>
              <w:rPr>
                <w:kern w:val="0"/>
                <w:sz w:val="24"/>
              </w:rPr>
            </w:pPr>
            <w:r>
              <w:rPr>
                <w:kern w:val="0"/>
                <w:sz w:val="24"/>
              </w:rPr>
              <w:t>二级保护区范围：一级保护区外，土门河上游2000米至下游200米河道内及两侧1000 米的区域。</w:t>
            </w:r>
          </w:p>
          <w:p>
            <w:pPr>
              <w:tabs>
                <w:tab w:val="left" w:pos="8160"/>
              </w:tabs>
              <w:spacing w:line="440" w:lineRule="exact"/>
              <w:ind w:firstLine="480" w:firstLineChars="200"/>
              <w:textAlignment w:val="baseline"/>
              <w:rPr>
                <w:kern w:val="0"/>
                <w:sz w:val="24"/>
              </w:rPr>
            </w:pPr>
            <w:r>
              <w:rPr>
                <w:kern w:val="0"/>
                <w:sz w:val="24"/>
              </w:rPr>
              <w:t>准保护区范围：二级保护区外，土门河上游2000米河道内及两侧50米的区域</w:t>
            </w:r>
            <w:r>
              <w:rPr>
                <w:rFonts w:hint="eastAsia"/>
                <w:kern w:val="0"/>
                <w:sz w:val="24"/>
              </w:rPr>
              <w:t>，</w:t>
            </w:r>
            <w:r>
              <w:rPr>
                <w:kern w:val="0"/>
                <w:sz w:val="24"/>
              </w:rPr>
              <w:t>西沟河上游2000米河道内及两侧50米的区域。</w:t>
            </w:r>
          </w:p>
          <w:p>
            <w:pPr>
              <w:tabs>
                <w:tab w:val="left" w:pos="8160"/>
              </w:tabs>
              <w:spacing w:line="440" w:lineRule="exact"/>
              <w:ind w:firstLine="480" w:firstLineChars="200"/>
              <w:textAlignment w:val="baseline"/>
              <w:rPr>
                <w:kern w:val="0"/>
                <w:sz w:val="24"/>
              </w:rPr>
            </w:pPr>
            <w:r>
              <w:rPr>
                <w:rFonts w:ascii="宋体" w:hAnsi="宋体"/>
                <w:kern w:val="0"/>
                <w:sz w:val="24"/>
              </w:rPr>
              <w:t>④</w:t>
            </w:r>
            <w:r>
              <w:rPr>
                <w:kern w:val="0"/>
                <w:sz w:val="24"/>
              </w:rPr>
              <w:t xml:space="preserve"> 鲁山县下汤镇沙河地下水井（共1眼井）</w:t>
            </w:r>
          </w:p>
          <w:p>
            <w:pPr>
              <w:tabs>
                <w:tab w:val="left" w:pos="8160"/>
              </w:tabs>
              <w:spacing w:line="440" w:lineRule="exact"/>
              <w:ind w:firstLine="480" w:firstLineChars="200"/>
              <w:textAlignment w:val="baseline"/>
              <w:rPr>
                <w:kern w:val="0"/>
                <w:sz w:val="24"/>
              </w:rPr>
            </w:pPr>
            <w:r>
              <w:rPr>
                <w:kern w:val="0"/>
                <w:sz w:val="24"/>
              </w:rPr>
              <w:t>一级保护区范围：沙河取水井上游二广高速桥（770米）至下游100米河道内及两侧50米的区域。</w:t>
            </w:r>
          </w:p>
          <w:p>
            <w:pPr>
              <w:tabs>
                <w:tab w:val="left" w:pos="8160"/>
              </w:tabs>
              <w:spacing w:line="440" w:lineRule="exact"/>
              <w:ind w:firstLine="480" w:firstLineChars="200"/>
              <w:textAlignment w:val="baseline"/>
              <w:rPr>
                <w:kern w:val="0"/>
                <w:sz w:val="24"/>
              </w:rPr>
            </w:pPr>
            <w:r>
              <w:rPr>
                <w:kern w:val="0"/>
                <w:sz w:val="24"/>
              </w:rPr>
              <w:t>二级保护区范围：一级保护区外，沙河上游2000米至下游200米河道内及左岸1000米、右岸至分水岭的区域。</w:t>
            </w:r>
          </w:p>
          <w:p>
            <w:pPr>
              <w:tabs>
                <w:tab w:val="left" w:pos="8160"/>
              </w:tabs>
              <w:spacing w:line="440" w:lineRule="exact"/>
              <w:ind w:firstLine="480" w:firstLineChars="200"/>
              <w:textAlignment w:val="baseline"/>
              <w:rPr>
                <w:kern w:val="0"/>
                <w:sz w:val="24"/>
              </w:rPr>
            </w:pPr>
            <w:r>
              <w:rPr>
                <w:rFonts w:ascii="宋体" w:hAnsi="宋体"/>
                <w:kern w:val="0"/>
                <w:sz w:val="24"/>
              </w:rPr>
              <w:t>⑤</w:t>
            </w:r>
            <w:r>
              <w:rPr>
                <w:kern w:val="0"/>
                <w:sz w:val="24"/>
              </w:rPr>
              <w:t xml:space="preserve"> 鲁山县张官营镇地下水井群（共2眼井）</w:t>
            </w:r>
          </w:p>
          <w:p>
            <w:pPr>
              <w:tabs>
                <w:tab w:val="left" w:pos="8160"/>
              </w:tabs>
              <w:spacing w:line="440" w:lineRule="exact"/>
              <w:ind w:firstLine="480" w:firstLineChars="200"/>
              <w:textAlignment w:val="baseline"/>
              <w:rPr>
                <w:kern w:val="0"/>
                <w:sz w:val="24"/>
              </w:rPr>
            </w:pPr>
            <w:r>
              <w:rPr>
                <w:kern w:val="0"/>
                <w:sz w:val="24"/>
              </w:rPr>
              <w:t>一级保护区范围：水厂厂区及外围47米的区域。</w:t>
            </w:r>
          </w:p>
          <w:p>
            <w:pPr>
              <w:tabs>
                <w:tab w:val="left" w:pos="8160"/>
              </w:tabs>
              <w:spacing w:line="440" w:lineRule="exact"/>
              <w:ind w:firstLine="480" w:firstLineChars="200"/>
              <w:textAlignment w:val="baseline"/>
              <w:rPr>
                <w:kern w:val="0"/>
                <w:sz w:val="24"/>
              </w:rPr>
            </w:pPr>
            <w:r>
              <w:rPr>
                <w:rFonts w:ascii="宋体" w:hAnsi="宋体"/>
                <w:kern w:val="0"/>
                <w:sz w:val="24"/>
              </w:rPr>
              <w:t>⑥</w:t>
            </w:r>
            <w:r>
              <w:rPr>
                <w:kern w:val="0"/>
                <w:sz w:val="24"/>
              </w:rPr>
              <w:t xml:space="preserve"> 鲁山县张良镇地下水井群（共2眼井）</w:t>
            </w:r>
          </w:p>
          <w:p>
            <w:pPr>
              <w:tabs>
                <w:tab w:val="left" w:pos="8160"/>
              </w:tabs>
              <w:spacing w:line="440" w:lineRule="exact"/>
              <w:ind w:firstLine="480" w:firstLineChars="200"/>
              <w:textAlignment w:val="baseline"/>
              <w:rPr>
                <w:kern w:val="0"/>
                <w:sz w:val="24"/>
              </w:rPr>
            </w:pPr>
            <w:r>
              <w:rPr>
                <w:kern w:val="0"/>
                <w:sz w:val="24"/>
              </w:rPr>
              <w:t>一级保护区范围：水厂厂区及外围47米的区域。</w:t>
            </w:r>
          </w:p>
          <w:p>
            <w:pPr>
              <w:tabs>
                <w:tab w:val="left" w:pos="8160"/>
              </w:tabs>
              <w:spacing w:line="440" w:lineRule="exact"/>
              <w:ind w:firstLine="480" w:firstLineChars="200"/>
              <w:textAlignment w:val="baseline"/>
              <w:rPr>
                <w:kern w:val="0"/>
                <w:sz w:val="24"/>
              </w:rPr>
            </w:pPr>
            <w:r>
              <w:rPr>
                <w:rFonts w:ascii="宋体" w:hAnsi="宋体"/>
                <w:kern w:val="0"/>
                <w:sz w:val="24"/>
              </w:rPr>
              <w:t>⑦</w:t>
            </w:r>
            <w:r>
              <w:rPr>
                <w:kern w:val="0"/>
                <w:sz w:val="24"/>
              </w:rPr>
              <w:t xml:space="preserve"> 鲁山县马楼乡地下水井群（共2眼井）</w:t>
            </w:r>
          </w:p>
          <w:p>
            <w:pPr>
              <w:tabs>
                <w:tab w:val="left" w:pos="8160"/>
              </w:tabs>
              <w:spacing w:line="440" w:lineRule="exact"/>
              <w:ind w:firstLine="480" w:firstLineChars="200"/>
              <w:textAlignment w:val="baseline"/>
              <w:rPr>
                <w:kern w:val="0"/>
                <w:sz w:val="24"/>
              </w:rPr>
            </w:pPr>
            <w:r>
              <w:rPr>
                <w:kern w:val="0"/>
                <w:sz w:val="24"/>
              </w:rPr>
              <w:t>一级保护区范围：水厂厂区及外围34米的区域。</w:t>
            </w:r>
          </w:p>
          <w:p>
            <w:pPr>
              <w:tabs>
                <w:tab w:val="left" w:pos="8160"/>
              </w:tabs>
              <w:spacing w:line="440" w:lineRule="exact"/>
              <w:ind w:firstLine="480" w:firstLineChars="200"/>
              <w:textAlignment w:val="baseline"/>
              <w:rPr>
                <w:kern w:val="0"/>
                <w:sz w:val="24"/>
              </w:rPr>
            </w:pPr>
            <w:r>
              <w:rPr>
                <w:kern w:val="0"/>
                <w:sz w:val="24"/>
              </w:rPr>
              <w:t>⑧ 鲁山县磙子营乡地下水井群（共2眼井）</w:t>
            </w:r>
          </w:p>
          <w:p>
            <w:pPr>
              <w:tabs>
                <w:tab w:val="left" w:pos="8160"/>
              </w:tabs>
              <w:spacing w:line="440" w:lineRule="exact"/>
              <w:ind w:firstLine="480" w:firstLineChars="200"/>
              <w:textAlignment w:val="baseline"/>
              <w:rPr>
                <w:kern w:val="0"/>
                <w:sz w:val="24"/>
              </w:rPr>
            </w:pPr>
            <w:r>
              <w:rPr>
                <w:kern w:val="0"/>
                <w:sz w:val="24"/>
              </w:rPr>
              <w:t>一级保护区范围：水厂厂区及外围47米的区域（1号取水井），2号取水井外围47米的区域。</w:t>
            </w:r>
          </w:p>
          <w:p>
            <w:pPr>
              <w:tabs>
                <w:tab w:val="left" w:pos="8160"/>
              </w:tabs>
              <w:spacing w:line="440" w:lineRule="exact"/>
              <w:ind w:firstLine="480" w:firstLineChars="200"/>
              <w:textAlignment w:val="baseline"/>
              <w:rPr>
                <w:kern w:val="0"/>
                <w:sz w:val="24"/>
              </w:rPr>
            </w:pPr>
            <w:r>
              <w:rPr>
                <w:kern w:val="0"/>
                <w:sz w:val="24"/>
              </w:rPr>
              <w:t>⑨ 鲁山县让河乡地下水井群（共2眼井）</w:t>
            </w:r>
          </w:p>
          <w:p>
            <w:pPr>
              <w:tabs>
                <w:tab w:val="left" w:pos="8160"/>
              </w:tabs>
              <w:spacing w:line="440" w:lineRule="exact"/>
              <w:ind w:firstLine="480" w:firstLineChars="200"/>
              <w:textAlignment w:val="baseline"/>
              <w:rPr>
                <w:kern w:val="0"/>
                <w:sz w:val="24"/>
              </w:rPr>
            </w:pPr>
            <w:r>
              <w:rPr>
                <w:kern w:val="0"/>
                <w:sz w:val="24"/>
              </w:rPr>
              <w:t>一级保护区范围：水厂厂区及外围30米的区域（1 号取水井），2 号取水井外围30米的区域。</w:t>
            </w:r>
          </w:p>
          <w:p>
            <w:pPr>
              <w:tabs>
                <w:tab w:val="left" w:pos="8160"/>
              </w:tabs>
              <w:spacing w:line="440" w:lineRule="exact"/>
              <w:ind w:firstLine="480" w:firstLineChars="200"/>
              <w:textAlignment w:val="baseline"/>
              <w:rPr>
                <w:sz w:val="24"/>
              </w:rPr>
            </w:pPr>
            <w:r>
              <w:rPr>
                <w:sz w:val="24"/>
              </w:rPr>
              <w:t>本项目位于</w:t>
            </w:r>
            <w:r>
              <w:rPr>
                <w:bCs/>
                <w:sz w:val="24"/>
              </w:rPr>
              <w:t>鲁山县</w:t>
            </w:r>
            <w:r>
              <w:rPr>
                <w:rFonts w:hint="eastAsia"/>
                <w:sz w:val="24"/>
              </w:rPr>
              <w:t>辛集乡</w:t>
            </w:r>
            <w:r>
              <w:rPr>
                <w:sz w:val="24"/>
              </w:rPr>
              <w:t>曲店村，</w:t>
            </w:r>
            <w:r>
              <w:rPr>
                <w:rFonts w:hint="eastAsia"/>
                <w:sz w:val="24"/>
              </w:rPr>
              <w:t>距离上述鲁山县乡镇饮用</w:t>
            </w:r>
            <w:r>
              <w:rPr>
                <w:sz w:val="24"/>
              </w:rPr>
              <w:t>水源地相对较远，不在鲁山县乡镇集中式饮用水水源划定的一级、二级和准保护区范围内。</w:t>
            </w:r>
          </w:p>
          <w:p>
            <w:pPr>
              <w:autoSpaceDE w:val="0"/>
              <w:autoSpaceDN w:val="0"/>
              <w:adjustRightInd w:val="0"/>
              <w:snapToGrid w:val="0"/>
              <w:spacing w:line="440" w:lineRule="exact"/>
              <w:ind w:firstLine="241" w:firstLineChars="100"/>
              <w:jc w:val="left"/>
              <w:rPr>
                <w:rFonts w:cs="宋体"/>
                <w:b/>
                <w:bCs/>
                <w:kern w:val="0"/>
                <w:sz w:val="24"/>
              </w:rPr>
            </w:pPr>
            <w:r>
              <w:rPr>
                <w:rFonts w:cs="宋体"/>
                <w:b/>
                <w:bCs/>
                <w:kern w:val="0"/>
                <w:sz w:val="24"/>
              </w:rPr>
              <w:t>7、</w:t>
            </w:r>
            <w:r>
              <w:rPr>
                <w:rFonts w:hint="eastAsia" w:cs="宋体"/>
                <w:b/>
                <w:bCs/>
                <w:kern w:val="0"/>
                <w:sz w:val="24"/>
              </w:rPr>
              <w:t>与产业政策与</w:t>
            </w:r>
            <w:r>
              <w:rPr>
                <w:rFonts w:cs="宋体"/>
                <w:b/>
                <w:bCs/>
                <w:kern w:val="0"/>
                <w:sz w:val="24"/>
              </w:rPr>
              <w:t>备案内容</w:t>
            </w:r>
            <w:r>
              <w:rPr>
                <w:rFonts w:hint="eastAsia" w:cs="宋体"/>
                <w:b/>
                <w:bCs/>
                <w:kern w:val="0"/>
                <w:sz w:val="24"/>
              </w:rPr>
              <w:t>相符性分析</w:t>
            </w:r>
          </w:p>
          <w:p>
            <w:pPr>
              <w:autoSpaceDE w:val="0"/>
              <w:autoSpaceDN w:val="0"/>
              <w:adjustRightInd w:val="0"/>
              <w:snapToGrid w:val="0"/>
              <w:spacing w:line="440" w:lineRule="exact"/>
              <w:jc w:val="left"/>
              <w:rPr>
                <w:rFonts w:cs="宋体"/>
                <w:b/>
                <w:bCs/>
                <w:kern w:val="0"/>
                <w:sz w:val="24"/>
              </w:rPr>
            </w:pPr>
            <w:r>
              <w:rPr>
                <w:rFonts w:hint="eastAsia" w:cs="宋体"/>
                <w:b/>
                <w:bCs/>
                <w:kern w:val="0"/>
                <w:sz w:val="24"/>
              </w:rPr>
              <w:t xml:space="preserve">  </w:t>
            </w:r>
            <w:r>
              <w:rPr>
                <w:rFonts w:cs="宋体"/>
                <w:b/>
                <w:bCs/>
                <w:kern w:val="0"/>
                <w:sz w:val="24"/>
              </w:rPr>
              <w:t xml:space="preserve">7.1 </w:t>
            </w:r>
            <w:r>
              <w:rPr>
                <w:rFonts w:hint="eastAsia" w:cs="宋体"/>
                <w:b/>
                <w:bCs/>
                <w:kern w:val="0"/>
                <w:sz w:val="24"/>
              </w:rPr>
              <w:t>与</w:t>
            </w:r>
            <w:r>
              <w:rPr>
                <w:rFonts w:cs="宋体"/>
                <w:b/>
                <w:bCs/>
                <w:kern w:val="0"/>
                <w:sz w:val="24"/>
              </w:rPr>
              <w:t>产业政策相符性分析</w:t>
            </w:r>
          </w:p>
          <w:p>
            <w:pPr>
              <w:autoSpaceDE w:val="0"/>
              <w:autoSpaceDN w:val="0"/>
              <w:adjustRightInd w:val="0"/>
              <w:snapToGrid w:val="0"/>
              <w:spacing w:line="440" w:lineRule="exact"/>
              <w:jc w:val="left"/>
              <w:rPr>
                <w:sz w:val="24"/>
              </w:rPr>
            </w:pPr>
            <w:r>
              <w:rPr>
                <w:rFonts w:hint="eastAsia" w:ascii="宋体" w:hAnsi="宋体" w:cs="宋体"/>
                <w:kern w:val="0"/>
                <w:sz w:val="24"/>
              </w:rPr>
              <w:t xml:space="preserve"> </w:t>
            </w:r>
            <w:r>
              <w:rPr>
                <w:rFonts w:ascii="宋体" w:hAnsi="宋体" w:cs="宋体"/>
                <w:kern w:val="0"/>
                <w:sz w:val="24"/>
              </w:rPr>
              <w:t xml:space="preserve">  </w:t>
            </w:r>
            <w:r>
              <w:rPr>
                <w:sz w:val="24"/>
              </w:rPr>
              <w:t>本项目属于</w:t>
            </w:r>
            <w:r>
              <w:rPr>
                <w:rFonts w:cs="宋体"/>
                <w:sz w:val="24"/>
              </w:rPr>
              <w:t>废弃资源综合利用业</w:t>
            </w:r>
            <w:r>
              <w:rPr>
                <w:rFonts w:hint="eastAsia"/>
                <w:sz w:val="24"/>
              </w:rPr>
              <w:t>，</w:t>
            </w:r>
            <w:r>
              <w:rPr>
                <w:sz w:val="24"/>
              </w:rPr>
              <w:t>依据《产业结构调整指导目录（2019年本）》，本项目属</w:t>
            </w:r>
            <w:r>
              <w:rPr>
                <w:rFonts w:hint="eastAsia"/>
                <w:sz w:val="24"/>
              </w:rPr>
              <w:t>于</w:t>
            </w:r>
            <w:r>
              <w:rPr>
                <w:sz w:val="24"/>
              </w:rPr>
              <w:t>鼓励类，项目建设符合产业政策。本项目生产过程中所用的原料、设备、工艺无国家淘汰、限制类。同时，本项目已在鲁山县发展和改革委员会备案，项目代码为2112-410423-04-05-391147</w:t>
            </w:r>
            <w:r>
              <w:rPr>
                <w:rFonts w:hint="eastAsia"/>
                <w:sz w:val="24"/>
              </w:rPr>
              <w:t>，</w:t>
            </w:r>
            <w:r>
              <w:rPr>
                <w:sz w:val="24"/>
              </w:rPr>
              <w:t>备案见附件二。</w:t>
            </w:r>
          </w:p>
          <w:p>
            <w:pPr>
              <w:autoSpaceDE w:val="0"/>
              <w:autoSpaceDN w:val="0"/>
              <w:adjustRightInd w:val="0"/>
              <w:snapToGrid w:val="0"/>
              <w:spacing w:line="480" w:lineRule="exact"/>
              <w:ind w:firstLine="360" w:firstLineChars="150"/>
              <w:jc w:val="left"/>
              <w:rPr>
                <w:sz w:val="24"/>
              </w:rPr>
            </w:pPr>
            <w:r>
              <w:rPr>
                <w:sz w:val="24"/>
              </w:rPr>
              <w:t>因此</w:t>
            </w:r>
            <w:r>
              <w:rPr>
                <w:rFonts w:hint="eastAsia"/>
                <w:sz w:val="24"/>
              </w:rPr>
              <w:t>，</w:t>
            </w:r>
            <w:r>
              <w:rPr>
                <w:sz w:val="24"/>
              </w:rPr>
              <w:t>项目建设符合产业政策要求。</w:t>
            </w:r>
          </w:p>
          <w:p>
            <w:pPr>
              <w:autoSpaceDE w:val="0"/>
              <w:autoSpaceDN w:val="0"/>
              <w:adjustRightInd w:val="0"/>
              <w:snapToGrid w:val="0"/>
              <w:spacing w:line="440" w:lineRule="exact"/>
              <w:ind w:firstLine="241" w:firstLineChars="100"/>
              <w:jc w:val="left"/>
              <w:rPr>
                <w:rFonts w:cs="宋体"/>
                <w:b/>
                <w:bCs/>
                <w:kern w:val="0"/>
                <w:sz w:val="24"/>
              </w:rPr>
            </w:pPr>
            <w:r>
              <w:rPr>
                <w:rFonts w:cs="宋体"/>
                <w:b/>
                <w:bCs/>
                <w:kern w:val="0"/>
                <w:sz w:val="24"/>
              </w:rPr>
              <w:t>7</w:t>
            </w:r>
            <w:r>
              <w:rPr>
                <w:rFonts w:hint="eastAsia" w:cs="宋体"/>
                <w:b/>
                <w:bCs/>
                <w:kern w:val="0"/>
                <w:sz w:val="24"/>
              </w:rPr>
              <w:t>.2 与</w:t>
            </w:r>
            <w:r>
              <w:rPr>
                <w:rFonts w:cs="宋体"/>
                <w:b/>
                <w:bCs/>
                <w:kern w:val="0"/>
                <w:sz w:val="24"/>
              </w:rPr>
              <w:t>备案内容相符性分析</w:t>
            </w:r>
          </w:p>
          <w:p>
            <w:pPr>
              <w:autoSpaceDE w:val="0"/>
              <w:autoSpaceDN w:val="0"/>
              <w:adjustRightInd w:val="0"/>
              <w:snapToGrid w:val="0"/>
              <w:spacing w:line="480" w:lineRule="exact"/>
              <w:ind w:firstLine="480" w:firstLineChars="200"/>
              <w:jc w:val="left"/>
              <w:rPr>
                <w:sz w:val="24"/>
              </w:rPr>
            </w:pPr>
            <w:r>
              <w:rPr>
                <w:sz w:val="24"/>
              </w:rPr>
              <w:t>项目拟建内容与备案相符性分析一览表</w:t>
            </w:r>
            <w:r>
              <w:rPr>
                <w:rFonts w:hint="eastAsia"/>
                <w:sz w:val="24"/>
              </w:rPr>
              <w:t>见</w:t>
            </w:r>
            <w:r>
              <w:rPr>
                <w:sz w:val="24"/>
              </w:rPr>
              <w:t>表7。</w:t>
            </w:r>
          </w:p>
          <w:p>
            <w:pPr>
              <w:autoSpaceDE w:val="0"/>
              <w:autoSpaceDN w:val="0"/>
              <w:adjustRightInd w:val="0"/>
              <w:snapToGrid w:val="0"/>
              <w:spacing w:line="480" w:lineRule="exact"/>
              <w:ind w:firstLine="720" w:firstLineChars="300"/>
              <w:rPr>
                <w:rFonts w:eastAsia="黑体"/>
                <w:sz w:val="24"/>
                <w:szCs w:val="22"/>
              </w:rPr>
            </w:pPr>
            <w:r>
              <w:rPr>
                <w:rFonts w:hint="eastAsia" w:eastAsia="黑体"/>
                <w:sz w:val="24"/>
                <w:szCs w:val="22"/>
              </w:rPr>
              <w:t>表</w:t>
            </w:r>
            <w:r>
              <w:rPr>
                <w:rFonts w:eastAsia="黑体"/>
                <w:sz w:val="24"/>
                <w:szCs w:val="22"/>
              </w:rPr>
              <w:t>7</w:t>
            </w:r>
            <w:r>
              <w:rPr>
                <w:rFonts w:hint="eastAsia" w:eastAsia="黑体"/>
                <w:sz w:val="24"/>
                <w:szCs w:val="22"/>
              </w:rPr>
              <w:t xml:space="preserve">       项目建设</w:t>
            </w:r>
            <w:r>
              <w:rPr>
                <w:rFonts w:eastAsia="黑体"/>
                <w:sz w:val="24"/>
                <w:szCs w:val="22"/>
              </w:rPr>
              <w:t>与备案证明相符性分析一览表</w:t>
            </w:r>
          </w:p>
          <w:tbl>
            <w:tblPr>
              <w:tblStyle w:val="22"/>
              <w:tblW w:w="7957" w:type="dxa"/>
              <w:tblInd w:w="0"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28" w:type="dxa"/>
                <w:left w:w="108" w:type="dxa"/>
                <w:bottom w:w="28" w:type="dxa"/>
                <w:right w:w="108" w:type="dxa"/>
              </w:tblCellMar>
            </w:tblPr>
            <w:tblGrid>
              <w:gridCol w:w="1458"/>
              <w:gridCol w:w="2524"/>
              <w:gridCol w:w="2918"/>
              <w:gridCol w:w="1057"/>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28" w:type="dxa"/>
                  <w:left w:w="108" w:type="dxa"/>
                  <w:bottom w:w="28" w:type="dxa"/>
                  <w:right w:w="108" w:type="dxa"/>
                </w:tblCellMar>
              </w:tblPrEx>
              <w:trPr>
                <w:trHeight w:val="483" w:hRule="atLeast"/>
              </w:trPr>
              <w:tc>
                <w:tcPr>
                  <w:tcW w:w="1458" w:type="dxa"/>
                  <w:vAlign w:val="center"/>
                </w:tcPr>
                <w:p>
                  <w:pPr>
                    <w:adjustRightInd w:val="0"/>
                    <w:snapToGrid w:val="0"/>
                    <w:spacing w:line="240" w:lineRule="exact"/>
                    <w:jc w:val="center"/>
                    <w:rPr>
                      <w:szCs w:val="21"/>
                    </w:rPr>
                  </w:pPr>
                  <w:r>
                    <w:rPr>
                      <w:rFonts w:hint="eastAsia"/>
                      <w:szCs w:val="21"/>
                    </w:rPr>
                    <w:t>名称</w:t>
                  </w:r>
                </w:p>
              </w:tc>
              <w:tc>
                <w:tcPr>
                  <w:tcW w:w="2524" w:type="dxa"/>
                  <w:vAlign w:val="center"/>
                </w:tcPr>
                <w:p>
                  <w:pPr>
                    <w:adjustRightInd w:val="0"/>
                    <w:snapToGrid w:val="0"/>
                    <w:spacing w:line="240" w:lineRule="exact"/>
                    <w:jc w:val="center"/>
                    <w:rPr>
                      <w:szCs w:val="21"/>
                    </w:rPr>
                  </w:pPr>
                  <w:r>
                    <w:rPr>
                      <w:rFonts w:hint="eastAsia"/>
                      <w:szCs w:val="21"/>
                    </w:rPr>
                    <w:t>备案</w:t>
                  </w:r>
                  <w:r>
                    <w:rPr>
                      <w:szCs w:val="21"/>
                    </w:rPr>
                    <w:t>内容</w:t>
                  </w:r>
                </w:p>
              </w:tc>
              <w:tc>
                <w:tcPr>
                  <w:tcW w:w="2918" w:type="dxa"/>
                  <w:vAlign w:val="center"/>
                </w:tcPr>
                <w:p>
                  <w:pPr>
                    <w:adjustRightInd w:val="0"/>
                    <w:snapToGrid w:val="0"/>
                    <w:spacing w:line="240" w:lineRule="exact"/>
                    <w:jc w:val="center"/>
                    <w:rPr>
                      <w:szCs w:val="21"/>
                    </w:rPr>
                  </w:pPr>
                  <w:r>
                    <w:rPr>
                      <w:rFonts w:hint="eastAsia"/>
                      <w:szCs w:val="21"/>
                    </w:rPr>
                    <w:t>项目实际</w:t>
                  </w:r>
                  <w:r>
                    <w:rPr>
                      <w:szCs w:val="21"/>
                    </w:rPr>
                    <w:t>建设内容</w:t>
                  </w:r>
                </w:p>
              </w:tc>
              <w:tc>
                <w:tcPr>
                  <w:tcW w:w="1057" w:type="dxa"/>
                  <w:vAlign w:val="center"/>
                </w:tcPr>
                <w:p>
                  <w:pPr>
                    <w:adjustRightInd w:val="0"/>
                    <w:snapToGrid w:val="0"/>
                    <w:spacing w:line="240" w:lineRule="exact"/>
                    <w:jc w:val="center"/>
                    <w:rPr>
                      <w:szCs w:val="21"/>
                    </w:rPr>
                  </w:pPr>
                  <w:r>
                    <w:rPr>
                      <w:rFonts w:hint="eastAsia"/>
                      <w:szCs w:val="21"/>
                    </w:rPr>
                    <w:t>相符性</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28" w:type="dxa"/>
                  <w:left w:w="108" w:type="dxa"/>
                  <w:bottom w:w="28" w:type="dxa"/>
                  <w:right w:w="108" w:type="dxa"/>
                </w:tblCellMar>
              </w:tblPrEx>
              <w:trPr>
                <w:trHeight w:val="483" w:hRule="atLeast"/>
              </w:trPr>
              <w:tc>
                <w:tcPr>
                  <w:tcW w:w="1458" w:type="dxa"/>
                  <w:vAlign w:val="center"/>
                </w:tcPr>
                <w:p>
                  <w:pPr>
                    <w:widowControl/>
                    <w:spacing w:line="260" w:lineRule="exact"/>
                    <w:jc w:val="center"/>
                    <w:rPr>
                      <w:szCs w:val="21"/>
                    </w:rPr>
                  </w:pPr>
                  <w:r>
                    <w:rPr>
                      <w:szCs w:val="21"/>
                    </w:rPr>
                    <w:t>项目名称</w:t>
                  </w:r>
                </w:p>
              </w:tc>
              <w:tc>
                <w:tcPr>
                  <w:tcW w:w="2524" w:type="dxa"/>
                  <w:vAlign w:val="center"/>
                </w:tcPr>
                <w:p>
                  <w:pPr>
                    <w:adjustRightInd w:val="0"/>
                    <w:snapToGrid w:val="0"/>
                    <w:spacing w:line="240" w:lineRule="exact"/>
                    <w:jc w:val="center"/>
                    <w:rPr>
                      <w:szCs w:val="21"/>
                    </w:rPr>
                  </w:pPr>
                  <w:r>
                    <w:rPr>
                      <w:rFonts w:hint="eastAsia"/>
                      <w:szCs w:val="21"/>
                    </w:rPr>
                    <w:t>年产3万吨固废粉末罐装储存项目</w:t>
                  </w:r>
                </w:p>
              </w:tc>
              <w:tc>
                <w:tcPr>
                  <w:tcW w:w="2918" w:type="dxa"/>
                  <w:vAlign w:val="center"/>
                </w:tcPr>
                <w:p>
                  <w:pPr>
                    <w:adjustRightInd w:val="0"/>
                    <w:snapToGrid w:val="0"/>
                    <w:spacing w:line="240" w:lineRule="exact"/>
                    <w:jc w:val="center"/>
                    <w:rPr>
                      <w:szCs w:val="21"/>
                    </w:rPr>
                  </w:pPr>
                  <w:r>
                    <w:rPr>
                      <w:rFonts w:hint="eastAsia"/>
                      <w:szCs w:val="21"/>
                    </w:rPr>
                    <w:t>年产3万吨固废粉末罐装储存项目</w:t>
                  </w:r>
                </w:p>
              </w:tc>
              <w:tc>
                <w:tcPr>
                  <w:tcW w:w="1057" w:type="dxa"/>
                  <w:vAlign w:val="center"/>
                </w:tcPr>
                <w:p>
                  <w:pPr>
                    <w:adjustRightInd w:val="0"/>
                    <w:snapToGrid w:val="0"/>
                    <w:spacing w:line="240" w:lineRule="exact"/>
                    <w:jc w:val="center"/>
                    <w:rPr>
                      <w:szCs w:val="21"/>
                    </w:rPr>
                  </w:pPr>
                  <w:r>
                    <w:rPr>
                      <w:rFonts w:hint="eastAsia"/>
                      <w:szCs w:val="21"/>
                    </w:rPr>
                    <w:t>相符</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28" w:type="dxa"/>
                  <w:left w:w="108" w:type="dxa"/>
                  <w:bottom w:w="28" w:type="dxa"/>
                  <w:right w:w="108" w:type="dxa"/>
                </w:tblCellMar>
              </w:tblPrEx>
              <w:trPr>
                <w:trHeight w:val="483" w:hRule="atLeast"/>
              </w:trPr>
              <w:tc>
                <w:tcPr>
                  <w:tcW w:w="1458" w:type="dxa"/>
                  <w:vAlign w:val="center"/>
                </w:tcPr>
                <w:p>
                  <w:pPr>
                    <w:widowControl/>
                    <w:spacing w:line="260" w:lineRule="exact"/>
                    <w:jc w:val="center"/>
                    <w:rPr>
                      <w:szCs w:val="21"/>
                    </w:rPr>
                  </w:pPr>
                  <w:r>
                    <w:rPr>
                      <w:szCs w:val="21"/>
                    </w:rPr>
                    <w:t>建设单位</w:t>
                  </w:r>
                </w:p>
              </w:tc>
              <w:tc>
                <w:tcPr>
                  <w:tcW w:w="2524" w:type="dxa"/>
                  <w:vAlign w:val="center"/>
                </w:tcPr>
                <w:p>
                  <w:pPr>
                    <w:adjustRightInd w:val="0"/>
                    <w:snapToGrid w:val="0"/>
                    <w:spacing w:line="240" w:lineRule="exact"/>
                    <w:jc w:val="center"/>
                    <w:rPr>
                      <w:szCs w:val="21"/>
                    </w:rPr>
                  </w:pPr>
                  <w:r>
                    <w:rPr>
                      <w:rFonts w:hint="eastAsia"/>
                      <w:szCs w:val="21"/>
                    </w:rPr>
                    <w:t>鲁山县</w:t>
                  </w:r>
                  <w:r>
                    <w:rPr>
                      <w:szCs w:val="21"/>
                    </w:rPr>
                    <w:t>恒兴工贸有限公司</w:t>
                  </w:r>
                </w:p>
              </w:tc>
              <w:tc>
                <w:tcPr>
                  <w:tcW w:w="2918" w:type="dxa"/>
                  <w:vAlign w:val="center"/>
                </w:tcPr>
                <w:p>
                  <w:pPr>
                    <w:adjustRightInd w:val="0"/>
                    <w:snapToGrid w:val="0"/>
                    <w:spacing w:line="240" w:lineRule="exact"/>
                    <w:jc w:val="center"/>
                    <w:rPr>
                      <w:szCs w:val="21"/>
                    </w:rPr>
                  </w:pPr>
                  <w:r>
                    <w:rPr>
                      <w:rFonts w:hint="eastAsia"/>
                      <w:szCs w:val="21"/>
                    </w:rPr>
                    <w:t>鲁山县</w:t>
                  </w:r>
                  <w:r>
                    <w:rPr>
                      <w:szCs w:val="21"/>
                    </w:rPr>
                    <w:t>恒兴工贸有限公司</w:t>
                  </w:r>
                </w:p>
              </w:tc>
              <w:tc>
                <w:tcPr>
                  <w:tcW w:w="1057" w:type="dxa"/>
                  <w:vAlign w:val="center"/>
                </w:tcPr>
                <w:p>
                  <w:pPr>
                    <w:adjustRightInd w:val="0"/>
                    <w:snapToGrid w:val="0"/>
                    <w:spacing w:line="240" w:lineRule="exact"/>
                    <w:jc w:val="center"/>
                    <w:rPr>
                      <w:szCs w:val="21"/>
                    </w:rPr>
                  </w:pPr>
                  <w:r>
                    <w:rPr>
                      <w:rFonts w:hint="eastAsia"/>
                      <w:szCs w:val="21"/>
                    </w:rPr>
                    <w:t>相符</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28" w:type="dxa"/>
                  <w:left w:w="108" w:type="dxa"/>
                  <w:bottom w:w="28" w:type="dxa"/>
                  <w:right w:w="108" w:type="dxa"/>
                </w:tblCellMar>
              </w:tblPrEx>
              <w:trPr>
                <w:trHeight w:val="483" w:hRule="atLeast"/>
              </w:trPr>
              <w:tc>
                <w:tcPr>
                  <w:tcW w:w="1458" w:type="dxa"/>
                  <w:vAlign w:val="center"/>
                </w:tcPr>
                <w:p>
                  <w:pPr>
                    <w:widowControl/>
                    <w:spacing w:line="260" w:lineRule="exact"/>
                    <w:jc w:val="center"/>
                    <w:rPr>
                      <w:szCs w:val="21"/>
                    </w:rPr>
                  </w:pPr>
                  <w:r>
                    <w:rPr>
                      <w:szCs w:val="21"/>
                    </w:rPr>
                    <w:t>建设地点</w:t>
                  </w:r>
                </w:p>
              </w:tc>
              <w:tc>
                <w:tcPr>
                  <w:tcW w:w="2524" w:type="dxa"/>
                  <w:vAlign w:val="center"/>
                </w:tcPr>
                <w:p>
                  <w:pPr>
                    <w:adjustRightInd w:val="0"/>
                    <w:snapToGrid w:val="0"/>
                    <w:spacing w:line="240" w:lineRule="exact"/>
                    <w:jc w:val="center"/>
                    <w:rPr>
                      <w:szCs w:val="21"/>
                    </w:rPr>
                  </w:pPr>
                  <w:r>
                    <w:rPr>
                      <w:rFonts w:hint="eastAsia"/>
                      <w:szCs w:val="21"/>
                    </w:rPr>
                    <w:t>河南省平顶山市鲁山县辛集乡曲店村三组</w:t>
                  </w:r>
                </w:p>
              </w:tc>
              <w:tc>
                <w:tcPr>
                  <w:tcW w:w="2918" w:type="dxa"/>
                  <w:vAlign w:val="center"/>
                </w:tcPr>
                <w:p>
                  <w:pPr>
                    <w:adjustRightInd w:val="0"/>
                    <w:snapToGrid w:val="0"/>
                    <w:spacing w:line="240" w:lineRule="exact"/>
                    <w:jc w:val="center"/>
                    <w:rPr>
                      <w:szCs w:val="21"/>
                    </w:rPr>
                  </w:pPr>
                  <w:r>
                    <w:rPr>
                      <w:rFonts w:hint="eastAsia"/>
                      <w:szCs w:val="21"/>
                    </w:rPr>
                    <w:t>河南省平顶山市鲁山县辛集乡曲店村三组</w:t>
                  </w:r>
                </w:p>
              </w:tc>
              <w:tc>
                <w:tcPr>
                  <w:tcW w:w="1057" w:type="dxa"/>
                  <w:vAlign w:val="center"/>
                </w:tcPr>
                <w:p>
                  <w:pPr>
                    <w:adjustRightInd w:val="0"/>
                    <w:snapToGrid w:val="0"/>
                    <w:spacing w:line="240" w:lineRule="exact"/>
                    <w:jc w:val="center"/>
                    <w:rPr>
                      <w:szCs w:val="21"/>
                    </w:rPr>
                  </w:pPr>
                  <w:r>
                    <w:rPr>
                      <w:rFonts w:hint="eastAsia"/>
                      <w:szCs w:val="21"/>
                    </w:rPr>
                    <w:t>相符</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28" w:type="dxa"/>
                  <w:left w:w="108" w:type="dxa"/>
                  <w:bottom w:w="28" w:type="dxa"/>
                  <w:right w:w="108" w:type="dxa"/>
                </w:tblCellMar>
              </w:tblPrEx>
              <w:trPr>
                <w:trHeight w:val="483" w:hRule="atLeast"/>
              </w:trPr>
              <w:tc>
                <w:tcPr>
                  <w:tcW w:w="1458" w:type="dxa"/>
                  <w:vAlign w:val="center"/>
                </w:tcPr>
                <w:p>
                  <w:pPr>
                    <w:widowControl/>
                    <w:spacing w:line="260" w:lineRule="exact"/>
                    <w:jc w:val="center"/>
                    <w:rPr>
                      <w:szCs w:val="21"/>
                    </w:rPr>
                  </w:pPr>
                  <w:r>
                    <w:rPr>
                      <w:szCs w:val="21"/>
                    </w:rPr>
                    <w:t>主要建设内容</w:t>
                  </w:r>
                </w:p>
              </w:tc>
              <w:tc>
                <w:tcPr>
                  <w:tcW w:w="2524" w:type="dxa"/>
                  <w:vAlign w:val="center"/>
                </w:tcPr>
                <w:p>
                  <w:pPr>
                    <w:adjustRightInd w:val="0"/>
                    <w:snapToGrid w:val="0"/>
                    <w:spacing w:line="240" w:lineRule="exact"/>
                    <w:jc w:val="center"/>
                    <w:rPr>
                      <w:szCs w:val="21"/>
                    </w:rPr>
                  </w:pPr>
                  <w:r>
                    <w:rPr>
                      <w:rFonts w:hint="eastAsia"/>
                      <w:szCs w:val="21"/>
                    </w:rPr>
                    <w:t>占地</w:t>
                  </w:r>
                  <w:r>
                    <w:rPr>
                      <w:szCs w:val="21"/>
                    </w:rPr>
                    <w:t>面积</w:t>
                  </w:r>
                  <w:r>
                    <w:rPr>
                      <w:rFonts w:hint="eastAsia"/>
                      <w:szCs w:val="21"/>
                    </w:rPr>
                    <w:t>3000平方米</w:t>
                  </w:r>
                  <w:r>
                    <w:rPr>
                      <w:szCs w:val="21"/>
                    </w:rPr>
                    <w:t>，车间用房面积</w:t>
                  </w:r>
                  <w:r>
                    <w:rPr>
                      <w:rFonts w:hint="eastAsia"/>
                      <w:szCs w:val="21"/>
                    </w:rPr>
                    <w:t>400平方米</w:t>
                  </w:r>
                </w:p>
              </w:tc>
              <w:tc>
                <w:tcPr>
                  <w:tcW w:w="2918" w:type="dxa"/>
                  <w:vAlign w:val="center"/>
                </w:tcPr>
                <w:p>
                  <w:pPr>
                    <w:adjustRightInd w:val="0"/>
                    <w:snapToGrid w:val="0"/>
                    <w:spacing w:line="240" w:lineRule="exact"/>
                    <w:jc w:val="center"/>
                    <w:rPr>
                      <w:szCs w:val="21"/>
                    </w:rPr>
                  </w:pPr>
                  <w:r>
                    <w:rPr>
                      <w:rFonts w:hint="eastAsia"/>
                      <w:szCs w:val="21"/>
                    </w:rPr>
                    <w:t>占地</w:t>
                  </w:r>
                  <w:r>
                    <w:rPr>
                      <w:szCs w:val="21"/>
                    </w:rPr>
                    <w:t>面积</w:t>
                  </w:r>
                  <w:r>
                    <w:rPr>
                      <w:rFonts w:hint="eastAsia"/>
                      <w:szCs w:val="21"/>
                    </w:rPr>
                    <w:t>3000平方米</w:t>
                  </w:r>
                  <w:r>
                    <w:rPr>
                      <w:szCs w:val="21"/>
                    </w:rPr>
                    <w:t>，车间用房面积220</w:t>
                  </w:r>
                  <w:r>
                    <w:rPr>
                      <w:rFonts w:hint="eastAsia"/>
                      <w:szCs w:val="21"/>
                    </w:rPr>
                    <w:t>平方米</w:t>
                  </w:r>
                </w:p>
              </w:tc>
              <w:tc>
                <w:tcPr>
                  <w:tcW w:w="1057" w:type="dxa"/>
                  <w:vAlign w:val="center"/>
                </w:tcPr>
                <w:p>
                  <w:pPr>
                    <w:adjustRightInd w:val="0"/>
                    <w:snapToGrid w:val="0"/>
                    <w:spacing w:line="240" w:lineRule="exact"/>
                    <w:jc w:val="center"/>
                    <w:rPr>
                      <w:szCs w:val="21"/>
                    </w:rPr>
                  </w:pPr>
                  <w:r>
                    <w:rPr>
                      <w:rFonts w:hint="eastAsia"/>
                      <w:szCs w:val="21"/>
                    </w:rPr>
                    <w:t>基本相符</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28" w:type="dxa"/>
                  <w:left w:w="108" w:type="dxa"/>
                  <w:bottom w:w="28" w:type="dxa"/>
                  <w:right w:w="108" w:type="dxa"/>
                </w:tblCellMar>
              </w:tblPrEx>
              <w:trPr>
                <w:trHeight w:val="591" w:hRule="atLeast"/>
              </w:trPr>
              <w:tc>
                <w:tcPr>
                  <w:tcW w:w="1458" w:type="dxa"/>
                  <w:vAlign w:val="center"/>
                </w:tcPr>
                <w:p>
                  <w:pPr>
                    <w:widowControl/>
                    <w:spacing w:line="260" w:lineRule="exact"/>
                    <w:jc w:val="center"/>
                    <w:rPr>
                      <w:szCs w:val="21"/>
                    </w:rPr>
                  </w:pPr>
                  <w:r>
                    <w:rPr>
                      <w:szCs w:val="21"/>
                    </w:rPr>
                    <w:t>主要</w:t>
                  </w:r>
                </w:p>
                <w:p>
                  <w:pPr>
                    <w:widowControl/>
                    <w:spacing w:line="260" w:lineRule="exact"/>
                    <w:jc w:val="center"/>
                    <w:rPr>
                      <w:szCs w:val="21"/>
                    </w:rPr>
                  </w:pPr>
                  <w:r>
                    <w:rPr>
                      <w:szCs w:val="21"/>
                    </w:rPr>
                    <w:t>生产工艺</w:t>
                  </w:r>
                </w:p>
              </w:tc>
              <w:tc>
                <w:tcPr>
                  <w:tcW w:w="2524" w:type="dxa"/>
                  <w:vAlign w:val="center"/>
                </w:tcPr>
                <w:p>
                  <w:pPr>
                    <w:adjustRightInd w:val="0"/>
                    <w:snapToGrid w:val="0"/>
                    <w:spacing w:line="240" w:lineRule="exact"/>
                    <w:jc w:val="center"/>
                    <w:rPr>
                      <w:szCs w:val="21"/>
                    </w:rPr>
                  </w:pPr>
                  <w:r>
                    <w:rPr>
                      <w:rFonts w:hint="eastAsia"/>
                      <w:szCs w:val="21"/>
                    </w:rPr>
                    <w:t>固废</w:t>
                  </w:r>
                  <w:r>
                    <w:rPr>
                      <w:szCs w:val="21"/>
                    </w:rPr>
                    <w:t>粉末</w:t>
                  </w:r>
                  <w:r>
                    <w:rPr>
                      <w:rFonts w:hint="eastAsia"/>
                      <w:szCs w:val="21"/>
                    </w:rPr>
                    <w:t>-分选-研磨-储罐</w:t>
                  </w:r>
                </w:p>
              </w:tc>
              <w:tc>
                <w:tcPr>
                  <w:tcW w:w="2918" w:type="dxa"/>
                  <w:vAlign w:val="center"/>
                </w:tcPr>
                <w:p>
                  <w:pPr>
                    <w:adjustRightInd w:val="0"/>
                    <w:snapToGrid w:val="0"/>
                    <w:spacing w:line="240" w:lineRule="exact"/>
                    <w:jc w:val="center"/>
                    <w:rPr>
                      <w:szCs w:val="21"/>
                    </w:rPr>
                  </w:pPr>
                  <w:r>
                    <w:rPr>
                      <w:rFonts w:hint="eastAsia"/>
                      <w:szCs w:val="21"/>
                    </w:rPr>
                    <w:t>粉煤灰固废</w:t>
                  </w:r>
                  <w:r>
                    <w:rPr>
                      <w:szCs w:val="21"/>
                    </w:rPr>
                    <w:t>粉末</w:t>
                  </w:r>
                  <w:r>
                    <w:rPr>
                      <w:rFonts w:hint="eastAsia"/>
                      <w:szCs w:val="21"/>
                    </w:rPr>
                    <w:t>-分选-研磨-储罐</w:t>
                  </w:r>
                </w:p>
              </w:tc>
              <w:tc>
                <w:tcPr>
                  <w:tcW w:w="1057" w:type="dxa"/>
                  <w:vAlign w:val="center"/>
                </w:tcPr>
                <w:p>
                  <w:pPr>
                    <w:adjustRightInd w:val="0"/>
                    <w:snapToGrid w:val="0"/>
                    <w:spacing w:line="240" w:lineRule="exact"/>
                    <w:jc w:val="center"/>
                    <w:rPr>
                      <w:szCs w:val="21"/>
                    </w:rPr>
                  </w:pPr>
                  <w:r>
                    <w:rPr>
                      <w:rFonts w:hint="eastAsia"/>
                      <w:szCs w:val="21"/>
                    </w:rPr>
                    <w:t>相符</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28" w:type="dxa"/>
                  <w:left w:w="108" w:type="dxa"/>
                  <w:bottom w:w="28" w:type="dxa"/>
                  <w:right w:w="108" w:type="dxa"/>
                </w:tblCellMar>
              </w:tblPrEx>
              <w:trPr>
                <w:trHeight w:val="483" w:hRule="atLeast"/>
              </w:trPr>
              <w:tc>
                <w:tcPr>
                  <w:tcW w:w="1458" w:type="dxa"/>
                  <w:vAlign w:val="center"/>
                </w:tcPr>
                <w:p>
                  <w:pPr>
                    <w:widowControl/>
                    <w:spacing w:line="260" w:lineRule="exact"/>
                    <w:jc w:val="center"/>
                    <w:rPr>
                      <w:szCs w:val="21"/>
                    </w:rPr>
                  </w:pPr>
                  <w:r>
                    <w:rPr>
                      <w:rFonts w:hint="eastAsia"/>
                      <w:szCs w:val="21"/>
                    </w:rPr>
                    <w:t>主要设备</w:t>
                  </w:r>
                </w:p>
              </w:tc>
              <w:tc>
                <w:tcPr>
                  <w:tcW w:w="2524" w:type="dxa"/>
                  <w:vAlign w:val="center"/>
                </w:tcPr>
                <w:p>
                  <w:pPr>
                    <w:adjustRightInd w:val="0"/>
                    <w:snapToGrid w:val="0"/>
                    <w:spacing w:line="240" w:lineRule="exact"/>
                    <w:jc w:val="center"/>
                    <w:rPr>
                      <w:szCs w:val="21"/>
                    </w:rPr>
                  </w:pPr>
                  <w:r>
                    <w:rPr>
                      <w:rFonts w:hint="eastAsia"/>
                      <w:szCs w:val="21"/>
                    </w:rPr>
                    <w:t>固废</w:t>
                  </w:r>
                  <w:r>
                    <w:rPr>
                      <w:szCs w:val="21"/>
                    </w:rPr>
                    <w:t>粉末</w:t>
                  </w:r>
                  <w:r>
                    <w:rPr>
                      <w:rFonts w:hint="eastAsia"/>
                      <w:szCs w:val="21"/>
                    </w:rPr>
                    <w:t>储存罐2个</w:t>
                  </w:r>
                  <w:r>
                    <w:rPr>
                      <w:szCs w:val="21"/>
                    </w:rPr>
                    <w:t>，风选机</w:t>
                  </w:r>
                  <w:r>
                    <w:rPr>
                      <w:rFonts w:hint="eastAsia"/>
                      <w:szCs w:val="21"/>
                    </w:rPr>
                    <w:t>1台</w:t>
                  </w:r>
                  <w:r>
                    <w:rPr>
                      <w:szCs w:val="21"/>
                    </w:rPr>
                    <w:t>，运输车辆</w:t>
                  </w:r>
                  <w:r>
                    <w:rPr>
                      <w:rFonts w:hint="eastAsia"/>
                      <w:szCs w:val="21"/>
                    </w:rPr>
                    <w:t>2台</w:t>
                  </w:r>
                </w:p>
              </w:tc>
              <w:tc>
                <w:tcPr>
                  <w:tcW w:w="2918" w:type="dxa"/>
                  <w:vAlign w:val="center"/>
                </w:tcPr>
                <w:p>
                  <w:pPr>
                    <w:adjustRightInd w:val="0"/>
                    <w:snapToGrid w:val="0"/>
                    <w:spacing w:line="240" w:lineRule="exact"/>
                    <w:jc w:val="left"/>
                    <w:rPr>
                      <w:szCs w:val="21"/>
                    </w:rPr>
                  </w:pPr>
                  <w:r>
                    <w:rPr>
                      <w:rFonts w:hint="eastAsia"/>
                      <w:szCs w:val="21"/>
                    </w:rPr>
                    <w:t>固废</w:t>
                  </w:r>
                  <w:r>
                    <w:rPr>
                      <w:szCs w:val="21"/>
                    </w:rPr>
                    <w:t>粉末</w:t>
                  </w:r>
                  <w:r>
                    <w:rPr>
                      <w:rFonts w:hint="eastAsia"/>
                      <w:szCs w:val="21"/>
                    </w:rPr>
                    <w:t>储存罐2个</w:t>
                  </w:r>
                  <w:r>
                    <w:rPr>
                      <w:szCs w:val="21"/>
                    </w:rPr>
                    <w:t>，</w:t>
                  </w:r>
                  <w:r>
                    <w:rPr>
                      <w:rFonts w:hint="eastAsia"/>
                      <w:szCs w:val="21"/>
                    </w:rPr>
                    <w:t>高细管磨机1台</w:t>
                  </w:r>
                  <w:r>
                    <w:rPr>
                      <w:szCs w:val="21"/>
                    </w:rPr>
                    <w:t>，</w:t>
                  </w:r>
                  <w:r>
                    <w:rPr>
                      <w:rFonts w:hint="eastAsia"/>
                      <w:szCs w:val="21"/>
                    </w:rPr>
                    <w:t>分</w:t>
                  </w:r>
                  <w:r>
                    <w:rPr>
                      <w:szCs w:val="21"/>
                    </w:rPr>
                    <w:t>选机</w:t>
                  </w:r>
                  <w:r>
                    <w:rPr>
                      <w:rFonts w:hint="eastAsia"/>
                      <w:szCs w:val="21"/>
                    </w:rPr>
                    <w:t>1台</w:t>
                  </w:r>
                  <w:r>
                    <w:rPr>
                      <w:szCs w:val="21"/>
                    </w:rPr>
                    <w:t>，运输车辆</w:t>
                  </w:r>
                  <w:r>
                    <w:rPr>
                      <w:rFonts w:hint="eastAsia"/>
                      <w:szCs w:val="21"/>
                    </w:rPr>
                    <w:t>2台</w:t>
                  </w:r>
                </w:p>
              </w:tc>
              <w:tc>
                <w:tcPr>
                  <w:tcW w:w="1057" w:type="dxa"/>
                  <w:vAlign w:val="center"/>
                </w:tcPr>
                <w:p>
                  <w:pPr>
                    <w:adjustRightInd w:val="0"/>
                    <w:snapToGrid w:val="0"/>
                    <w:spacing w:line="240" w:lineRule="exact"/>
                    <w:jc w:val="center"/>
                    <w:rPr>
                      <w:szCs w:val="21"/>
                    </w:rPr>
                  </w:pPr>
                  <w:r>
                    <w:rPr>
                      <w:rFonts w:hint="eastAsia"/>
                      <w:szCs w:val="21"/>
                    </w:rPr>
                    <w:t>基本</w:t>
                  </w:r>
                  <w:r>
                    <w:rPr>
                      <w:szCs w:val="21"/>
                    </w:rPr>
                    <w:t>相符</w:t>
                  </w:r>
                </w:p>
              </w:tc>
            </w:tr>
          </w:tbl>
          <w:p>
            <w:pPr>
              <w:spacing w:line="480" w:lineRule="exact"/>
              <w:ind w:firstLine="480" w:firstLineChars="200"/>
              <w:rPr>
                <w:sz w:val="24"/>
              </w:rPr>
            </w:pPr>
            <w:r>
              <w:rPr>
                <w:rFonts w:hint="eastAsia"/>
                <w:sz w:val="24"/>
              </w:rPr>
              <w:t>由</w:t>
            </w:r>
            <w:r>
              <w:rPr>
                <w:sz w:val="24"/>
              </w:rPr>
              <w:t>表6</w:t>
            </w:r>
            <w:r>
              <w:rPr>
                <w:rFonts w:hint="eastAsia"/>
                <w:sz w:val="24"/>
              </w:rPr>
              <w:t>可知</w:t>
            </w:r>
            <w:r>
              <w:rPr>
                <w:sz w:val="24"/>
              </w:rPr>
              <w:t>，本</w:t>
            </w:r>
            <w:r>
              <w:rPr>
                <w:rFonts w:hint="eastAsia"/>
                <w:sz w:val="24"/>
              </w:rPr>
              <w:t>次实际</w:t>
            </w:r>
            <w:r>
              <w:rPr>
                <w:sz w:val="24"/>
              </w:rPr>
              <w:t>建设内容中项目名称、建设单位、建设</w:t>
            </w:r>
            <w:r>
              <w:rPr>
                <w:rFonts w:hint="eastAsia"/>
                <w:sz w:val="24"/>
              </w:rPr>
              <w:t>地点</w:t>
            </w:r>
            <w:r>
              <w:rPr>
                <w:sz w:val="24"/>
              </w:rPr>
              <w:t>、主要建设内容、主要生产工艺</w:t>
            </w:r>
            <w:r>
              <w:rPr>
                <w:rFonts w:hint="eastAsia"/>
                <w:sz w:val="24"/>
              </w:rPr>
              <w:t>均和</w:t>
            </w:r>
            <w:r>
              <w:rPr>
                <w:sz w:val="24"/>
              </w:rPr>
              <w:t>备案内容相符</w:t>
            </w:r>
            <w:r>
              <w:rPr>
                <w:rFonts w:hint="eastAsia"/>
                <w:sz w:val="24"/>
              </w:rPr>
              <w:t>。在备案中车间</w:t>
            </w:r>
            <w:r>
              <w:rPr>
                <w:sz w:val="24"/>
              </w:rPr>
              <w:t>厂房占地面积</w:t>
            </w:r>
            <w:r>
              <w:rPr>
                <w:rFonts w:hint="eastAsia"/>
                <w:sz w:val="24"/>
              </w:rPr>
              <w:t>400</w:t>
            </w:r>
            <w:r>
              <w:rPr>
                <w:sz w:val="24"/>
              </w:rPr>
              <w:t>m</w:t>
            </w:r>
            <w:r>
              <w:rPr>
                <w:sz w:val="24"/>
                <w:vertAlign w:val="superscript"/>
              </w:rPr>
              <w:t>2</w:t>
            </w:r>
            <w:r>
              <w:rPr>
                <w:rFonts w:hint="eastAsia"/>
                <w:sz w:val="24"/>
              </w:rPr>
              <w:t>，本次项目</w:t>
            </w:r>
            <w:r>
              <w:rPr>
                <w:sz w:val="24"/>
              </w:rPr>
              <w:t>实际建设面积</w:t>
            </w:r>
            <w:r>
              <w:rPr>
                <w:rFonts w:hint="eastAsia"/>
                <w:sz w:val="24"/>
              </w:rPr>
              <w:t>为2</w:t>
            </w:r>
            <w:r>
              <w:rPr>
                <w:sz w:val="24"/>
              </w:rPr>
              <w:t>2</w:t>
            </w:r>
            <w:r>
              <w:rPr>
                <w:rFonts w:hint="eastAsia"/>
                <w:sz w:val="24"/>
              </w:rPr>
              <w:t>0</w:t>
            </w:r>
            <w:r>
              <w:rPr>
                <w:sz w:val="24"/>
              </w:rPr>
              <w:t>m</w:t>
            </w:r>
            <w:r>
              <w:rPr>
                <w:sz w:val="24"/>
                <w:vertAlign w:val="superscript"/>
              </w:rPr>
              <w:t>2</w:t>
            </w:r>
            <w:r>
              <w:rPr>
                <w:rFonts w:hint="eastAsia"/>
                <w:sz w:val="24"/>
              </w:rPr>
              <w:t>，</w:t>
            </w:r>
            <w:r>
              <w:rPr>
                <w:sz w:val="24"/>
              </w:rPr>
              <w:t>同时</w:t>
            </w:r>
            <w:r>
              <w:rPr>
                <w:rFonts w:hint="eastAsia"/>
                <w:sz w:val="24"/>
              </w:rPr>
              <w:t>备案工艺</w:t>
            </w:r>
            <w:r>
              <w:rPr>
                <w:sz w:val="24"/>
              </w:rPr>
              <w:t>流程中研磨工序，但</w:t>
            </w:r>
            <w:r>
              <w:rPr>
                <w:rFonts w:hint="eastAsia"/>
                <w:sz w:val="24"/>
              </w:rPr>
              <w:t>在备案设备</w:t>
            </w:r>
            <w:r>
              <w:rPr>
                <w:sz w:val="24"/>
              </w:rPr>
              <w:t>中未</w:t>
            </w:r>
            <w:r>
              <w:rPr>
                <w:rFonts w:hint="eastAsia"/>
                <w:sz w:val="24"/>
              </w:rPr>
              <w:t>列出</w:t>
            </w:r>
            <w:r>
              <w:rPr>
                <w:sz w:val="24"/>
              </w:rPr>
              <w:t>，</w:t>
            </w:r>
            <w:r>
              <w:rPr>
                <w:rFonts w:hint="eastAsia"/>
                <w:sz w:val="24"/>
              </w:rPr>
              <w:t>根据企业</w:t>
            </w:r>
            <w:r>
              <w:rPr>
                <w:sz w:val="24"/>
              </w:rPr>
              <w:t>提供资料需建设一台</w:t>
            </w:r>
            <w:r>
              <w:rPr>
                <w:rFonts w:hint="eastAsia"/>
                <w:sz w:val="24"/>
              </w:rPr>
              <w:t>高</w:t>
            </w:r>
            <w:r>
              <w:rPr>
                <w:sz w:val="24"/>
              </w:rPr>
              <w:t>细管磨机，为研磨工序使用。</w:t>
            </w:r>
          </w:p>
          <w:p>
            <w:pPr>
              <w:autoSpaceDE w:val="0"/>
              <w:autoSpaceDN w:val="0"/>
              <w:adjustRightInd w:val="0"/>
              <w:snapToGrid w:val="0"/>
              <w:spacing w:line="480" w:lineRule="exact"/>
              <w:jc w:val="left"/>
              <w:rPr>
                <w:b/>
                <w:sz w:val="24"/>
              </w:rPr>
            </w:pPr>
            <w:r>
              <w:rPr>
                <w:kern w:val="0"/>
                <w:sz w:val="24"/>
              </w:rPr>
              <w:t xml:space="preserve">  </w:t>
            </w:r>
            <w:r>
              <w:rPr>
                <w:rFonts w:cs="宋体"/>
                <w:b/>
                <w:bCs/>
                <w:kern w:val="0"/>
                <w:sz w:val="24"/>
              </w:rPr>
              <w:t xml:space="preserve"> 8、编制类别</w:t>
            </w:r>
          </w:p>
          <w:p>
            <w:pPr>
              <w:autoSpaceDE w:val="0"/>
              <w:autoSpaceDN w:val="0"/>
              <w:adjustRightInd w:val="0"/>
              <w:snapToGrid w:val="0"/>
              <w:spacing w:line="480" w:lineRule="exact"/>
              <w:ind w:firstLine="480" w:firstLineChars="200"/>
              <w:rPr>
                <w:rFonts w:ascii="宋体" w:hAnsi="宋体" w:cs="宋体"/>
                <w:kern w:val="0"/>
              </w:rPr>
            </w:pPr>
            <w:r>
              <w:rPr>
                <w:rFonts w:hint="eastAsia" w:cs="宋体"/>
                <w:bCs/>
                <w:kern w:val="0"/>
                <w:sz w:val="24"/>
              </w:rPr>
              <w:t>根据国家和河南省有关环保法规及建设项目管理的规定和要求，本项目应进行环境影响评价。查阅《国民经济行业分类》（GB/T4754-2017），本项目为</w:t>
            </w:r>
            <w:r>
              <w:rPr>
                <w:rFonts w:hint="eastAsia" w:cs="宋体"/>
                <w:sz w:val="24"/>
              </w:rPr>
              <w:t>C30</w:t>
            </w:r>
            <w:r>
              <w:rPr>
                <w:rFonts w:cs="宋体"/>
                <w:sz w:val="24"/>
              </w:rPr>
              <w:t>422</w:t>
            </w:r>
            <w:r>
              <w:rPr>
                <w:rFonts w:hint="eastAsia" w:cs="宋体"/>
                <w:sz w:val="24"/>
              </w:rPr>
              <w:t>非</w:t>
            </w:r>
            <w:r>
              <w:rPr>
                <w:rFonts w:cs="宋体"/>
                <w:sz w:val="24"/>
              </w:rPr>
              <w:t>金属废料和碎屑加工处理</w:t>
            </w:r>
            <w:r>
              <w:rPr>
                <w:rFonts w:hint="eastAsia" w:cs="宋体"/>
                <w:bCs/>
                <w:kern w:val="0"/>
                <w:sz w:val="24"/>
              </w:rPr>
              <w:t>，依据《建设项目环境影响评价分类管理名录》（2021年版），项目属于</w:t>
            </w:r>
            <w:r>
              <w:rPr>
                <w:sz w:val="24"/>
              </w:rPr>
              <w:t>三十九、废</w:t>
            </w:r>
            <w:r>
              <w:rPr>
                <w:rFonts w:ascii="宋体" w:hAnsi="宋体" w:cs="宋体"/>
                <w:sz w:val="24"/>
              </w:rPr>
              <w:t>弃资源综合利用业85-</w:t>
            </w:r>
            <w:r>
              <w:rPr>
                <w:rFonts w:hint="eastAsia" w:ascii="宋体" w:hAnsi="宋体" w:cs="宋体"/>
                <w:sz w:val="24"/>
              </w:rPr>
              <w:t>非金属</w:t>
            </w:r>
            <w:r>
              <w:rPr>
                <w:rFonts w:ascii="宋体" w:hAnsi="宋体" w:cs="宋体"/>
                <w:sz w:val="24"/>
              </w:rPr>
              <w:t>废料和碎屑加工处理</w:t>
            </w:r>
            <w:r>
              <w:rPr>
                <w:rFonts w:hint="eastAsia" w:ascii="宋体" w:hAnsi="宋体" w:cs="宋体"/>
                <w:sz w:val="24"/>
              </w:rPr>
              <w:t>422</w:t>
            </w:r>
            <w:r>
              <w:rPr>
                <w:rFonts w:hint="eastAsia" w:cs="宋体"/>
                <w:bCs/>
                <w:kern w:val="0"/>
                <w:sz w:val="24"/>
              </w:rPr>
              <w:t>，属报告表编制范畴，应编制环境影响评价报告表。</w:t>
            </w:r>
          </w:p>
        </w:tc>
      </w:tr>
    </w:tbl>
    <w:p>
      <w:pPr>
        <w:autoSpaceDE w:val="0"/>
        <w:autoSpaceDN w:val="0"/>
        <w:adjustRightInd w:val="0"/>
        <w:snapToGrid w:val="0"/>
      </w:pPr>
    </w:p>
    <w:p>
      <w:pPr>
        <w:autoSpaceDE w:val="0"/>
        <w:autoSpaceDN w:val="0"/>
        <w:adjustRightInd w:val="0"/>
        <w:snapToGrid w:val="0"/>
        <w:sectPr>
          <w:pgSz w:w="11906" w:h="16838"/>
          <w:pgMar w:top="1701" w:right="1531" w:bottom="1701" w:left="1531" w:header="851" w:footer="1077" w:gutter="0"/>
          <w:cols w:space="720" w:num="1"/>
          <w:docGrid w:linePitch="312" w:charSpace="0"/>
        </w:sectPr>
      </w:pPr>
    </w:p>
    <w:tbl>
      <w:tblPr>
        <w:tblStyle w:val="22"/>
        <w:tblW w:w="898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79"/>
        <w:gridCol w:w="820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42" w:hRule="atLeast"/>
          <w:jc w:val="center"/>
        </w:trPr>
        <w:tc>
          <w:tcPr>
            <w:tcW w:w="779" w:type="dxa"/>
            <w:vAlign w:val="center"/>
          </w:tcPr>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r>
              <w:rPr>
                <w:rFonts w:hint="eastAsia" w:ascii="Times New Roman" w:hAnsi="Times New Roman" w:cs="宋体"/>
                <w:szCs w:val="24"/>
              </w:rPr>
              <w:t>建设内容</w:t>
            </w: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r>
              <w:rPr>
                <w:rFonts w:hint="eastAsia" w:ascii="Times New Roman" w:hAnsi="Times New Roman" w:cs="宋体"/>
                <w:szCs w:val="24"/>
              </w:rPr>
              <w:t>建设内容</w:t>
            </w: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r>
              <w:rPr>
                <w:rFonts w:hint="eastAsia" w:ascii="Times New Roman" w:hAnsi="Times New Roman" w:cs="宋体"/>
                <w:szCs w:val="24"/>
              </w:rPr>
              <w:t>建设内容</w:t>
            </w: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r>
              <w:rPr>
                <w:rFonts w:hint="eastAsia" w:ascii="Times New Roman" w:hAnsi="Times New Roman" w:cs="宋体"/>
                <w:szCs w:val="24"/>
              </w:rPr>
              <w:t>建设内容</w:t>
            </w: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r>
              <w:rPr>
                <w:rFonts w:hint="eastAsia" w:ascii="Times New Roman" w:hAnsi="Times New Roman" w:cs="宋体"/>
                <w:szCs w:val="24"/>
              </w:rPr>
              <w:t>建设内容</w:t>
            </w: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r>
              <w:rPr>
                <w:rFonts w:hint="eastAsia" w:ascii="Times New Roman" w:hAnsi="Times New Roman" w:cs="宋体"/>
                <w:szCs w:val="24"/>
              </w:rPr>
              <w:t>建设内容</w:t>
            </w: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rPr>
                <w:rFonts w:ascii="Times New Roman" w:hAnsi="Times New Roman" w:cs="宋体"/>
                <w:szCs w:val="24"/>
              </w:rPr>
            </w:pPr>
          </w:p>
          <w:p>
            <w:pPr>
              <w:pStyle w:val="18"/>
              <w:adjustRightInd w:val="0"/>
              <w:snapToGrid w:val="0"/>
              <w:spacing w:before="0" w:beforeAutospacing="0" w:after="0" w:afterAutospacing="0"/>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both"/>
              <w:rPr>
                <w:rFonts w:ascii="Times New Roman" w:hAnsi="Times New Roman" w:cs="宋体"/>
                <w:szCs w:val="24"/>
              </w:rPr>
            </w:pPr>
          </w:p>
        </w:tc>
        <w:tc>
          <w:tcPr>
            <w:tcW w:w="8205" w:type="dxa"/>
          </w:tcPr>
          <w:p>
            <w:pPr>
              <w:autoSpaceDE w:val="0"/>
              <w:autoSpaceDN w:val="0"/>
              <w:adjustRightInd w:val="0"/>
              <w:snapToGrid w:val="0"/>
              <w:spacing w:line="360" w:lineRule="auto"/>
              <w:ind w:firstLine="482" w:firstLineChars="200"/>
              <w:rPr>
                <w:rFonts w:cs="宋体"/>
                <w:b/>
                <w:bCs/>
                <w:kern w:val="0"/>
                <w:sz w:val="24"/>
              </w:rPr>
            </w:pPr>
            <w:r>
              <w:rPr>
                <w:rFonts w:hint="eastAsia" w:cs="宋体"/>
                <w:b/>
                <w:bCs/>
                <w:kern w:val="0"/>
                <w:sz w:val="24"/>
              </w:rPr>
              <mc:AlternateContent>
                <mc:Choice Requires="wps">
                  <w:drawing>
                    <wp:anchor distT="0" distB="0" distL="114300" distR="114300" simplePos="0" relativeHeight="251660288" behindDoc="0" locked="0" layoutInCell="1" allowOverlap="1">
                      <wp:simplePos x="0" y="0"/>
                      <wp:positionH relativeFrom="column">
                        <wp:posOffset>1393190</wp:posOffset>
                      </wp:positionH>
                      <wp:positionV relativeFrom="paragraph">
                        <wp:posOffset>-384810</wp:posOffset>
                      </wp:positionV>
                      <wp:extent cx="4093210" cy="565785"/>
                      <wp:effectExtent l="0" t="0" r="0" b="5715"/>
                      <wp:wrapNone/>
                      <wp:docPr id="2" name="文本框 2"/>
                      <wp:cNvGraphicFramePr/>
                      <a:graphic xmlns:a="http://schemas.openxmlformats.org/drawingml/2006/main">
                        <a:graphicData uri="http://schemas.microsoft.com/office/word/2010/wordprocessingShape">
                          <wps:wsp>
                            <wps:cNvSpPr txBox="1"/>
                            <wps:spPr>
                              <a:xfrm>
                                <a:off x="0" y="0"/>
                                <a:ext cx="4093028" cy="56605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
                                    <w:rPr>
                                      <w:rFonts w:hint="eastAsia"/>
                                      <w:b/>
                                      <w:bCs/>
                                      <w:snapToGrid w:val="0"/>
                                      <w:sz w:val="30"/>
                                      <w:szCs w:val="30"/>
                                    </w:rPr>
                                    <w:t>二、建设项目工程分析</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9.7pt;margin-top:-30.3pt;height:44.55pt;width:322.3pt;z-index:251660288;mso-width-relative:page;mso-height-relative:page;" filled="f" stroked="f" coordsize="21600,21600" o:gfxdata="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mTC3r2wAAAAoBAAAPAAAAAAAAAAEAIAAA&#10;ACIAAABkcnMvZG93bnJldi54bWxQSwECFAAUAAAACACHTuJAciheBEICAAB0BAAADgAAAAAAAAAB&#10;ACAAAAAqAQAAZHJzL2Uyb0RvYy54bWxQSwUGAAAAAAYABgBZAQAA3gUAAAAA&#10;">
                      <v:fill on="f" focussize="0,0"/>
                      <v:stroke on="f" weight="0.5pt"/>
                      <v:imagedata o:title=""/>
                      <o:lock v:ext="edit" aspectratio="f"/>
                      <v:textbox>
                        <w:txbxContent>
                          <w:p>
                            <w:r>
                              <w:rPr>
                                <w:rFonts w:hint="eastAsia"/>
                                <w:b/>
                                <w:bCs/>
                                <w:snapToGrid w:val="0"/>
                                <w:sz w:val="30"/>
                                <w:szCs w:val="30"/>
                              </w:rPr>
                              <w:t>二、建设项目工程分析</w:t>
                            </w:r>
                          </w:p>
                        </w:txbxContent>
                      </v:textbox>
                    </v:shape>
                  </w:pict>
                </mc:Fallback>
              </mc:AlternateContent>
            </w:r>
            <w:r>
              <w:rPr>
                <w:rFonts w:hint="eastAsia" w:cs="宋体"/>
                <w:b/>
                <w:bCs/>
                <w:kern w:val="0"/>
                <w:sz w:val="24"/>
              </w:rPr>
              <w:t>1、项目</w:t>
            </w:r>
            <w:r>
              <w:rPr>
                <w:rFonts w:cs="宋体"/>
                <w:b/>
                <w:bCs/>
                <w:kern w:val="0"/>
                <w:sz w:val="24"/>
              </w:rPr>
              <w:t>主要建设内容</w:t>
            </w:r>
          </w:p>
          <w:p>
            <w:pPr>
              <w:spacing w:line="440" w:lineRule="exact"/>
              <w:ind w:firstLine="480" w:firstLineChars="200"/>
              <w:rPr>
                <w:rFonts w:cs="宋体"/>
                <w:kern w:val="0"/>
                <w:sz w:val="24"/>
              </w:rPr>
            </w:pPr>
            <w:r>
              <w:rPr>
                <w:rFonts w:hint="eastAsia" w:cs="宋体"/>
                <w:kern w:val="0"/>
                <w:sz w:val="24"/>
              </w:rPr>
              <w:t>本项目位于鲁山县辛集乡曲店村三组，租用</w:t>
            </w:r>
            <w:r>
              <w:rPr>
                <w:rFonts w:hint="eastAsia" w:cs="宋体"/>
                <w:bCs/>
                <w:kern w:val="0"/>
                <w:sz w:val="24"/>
              </w:rPr>
              <w:t>鲁山县远宏炭素材料有限公司</w:t>
            </w:r>
            <w:r>
              <w:rPr>
                <w:rFonts w:hint="eastAsia" w:cs="宋体"/>
                <w:kern w:val="0"/>
                <w:sz w:val="24"/>
              </w:rPr>
              <w:t>部分空地进行建设（租赁合同见附件四），项目组成情况见表</w:t>
            </w:r>
            <w:r>
              <w:rPr>
                <w:rFonts w:cs="宋体"/>
                <w:kern w:val="0"/>
                <w:sz w:val="24"/>
              </w:rPr>
              <w:t>8</w:t>
            </w:r>
            <w:r>
              <w:rPr>
                <w:rFonts w:hint="eastAsia" w:cs="宋体"/>
                <w:kern w:val="0"/>
                <w:sz w:val="24"/>
              </w:rPr>
              <w:t>，与远宏炭素公司的</w:t>
            </w:r>
            <w:r>
              <w:rPr>
                <w:rFonts w:cs="宋体"/>
                <w:kern w:val="0"/>
                <w:sz w:val="24"/>
              </w:rPr>
              <w:t>依托关系见表9</w:t>
            </w:r>
            <w:r>
              <w:rPr>
                <w:rFonts w:hint="eastAsia" w:cs="宋体"/>
                <w:kern w:val="0"/>
                <w:sz w:val="24"/>
              </w:rPr>
              <w:t>。</w:t>
            </w:r>
          </w:p>
          <w:p>
            <w:pPr>
              <w:autoSpaceDE w:val="0"/>
              <w:autoSpaceDN w:val="0"/>
              <w:adjustRightInd w:val="0"/>
              <w:snapToGrid w:val="0"/>
              <w:spacing w:line="400" w:lineRule="exact"/>
              <w:ind w:firstLine="720" w:firstLineChars="300"/>
              <w:rPr>
                <w:rFonts w:eastAsia="黑体"/>
                <w:sz w:val="24"/>
                <w:szCs w:val="22"/>
              </w:rPr>
            </w:pPr>
            <w:r>
              <w:rPr>
                <w:rFonts w:hint="eastAsia" w:eastAsia="黑体"/>
                <w:sz w:val="24"/>
                <w:szCs w:val="22"/>
              </w:rPr>
              <w:t>表</w:t>
            </w:r>
            <w:r>
              <w:rPr>
                <w:rFonts w:eastAsia="黑体"/>
                <w:sz w:val="24"/>
                <w:szCs w:val="22"/>
              </w:rPr>
              <w:t>8</w:t>
            </w:r>
            <w:r>
              <w:rPr>
                <w:rFonts w:hint="eastAsia" w:eastAsia="黑体"/>
                <w:sz w:val="24"/>
                <w:szCs w:val="22"/>
              </w:rPr>
              <w:t xml:space="preserve">  </w:t>
            </w:r>
            <w:r>
              <w:rPr>
                <w:rFonts w:eastAsia="黑体"/>
                <w:sz w:val="24"/>
                <w:szCs w:val="22"/>
              </w:rPr>
              <w:t xml:space="preserve">             </w:t>
            </w:r>
            <w:r>
              <w:rPr>
                <w:rFonts w:hint="eastAsia" w:eastAsia="黑体"/>
                <w:sz w:val="24"/>
                <w:szCs w:val="22"/>
              </w:rPr>
              <w:t>项目组成情况一览表</w:t>
            </w:r>
          </w:p>
          <w:tbl>
            <w:tblPr>
              <w:tblStyle w:val="22"/>
              <w:tblW w:w="7935" w:type="dxa"/>
              <w:tblInd w:w="0"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28" w:type="dxa"/>
                <w:left w:w="28" w:type="dxa"/>
                <w:bottom w:w="28" w:type="dxa"/>
                <w:right w:w="57" w:type="dxa"/>
              </w:tblCellMar>
            </w:tblPr>
            <w:tblGrid>
              <w:gridCol w:w="650"/>
              <w:gridCol w:w="1069"/>
              <w:gridCol w:w="725"/>
              <w:gridCol w:w="4394"/>
              <w:gridCol w:w="1097"/>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28" w:type="dxa"/>
                  <w:left w:w="28" w:type="dxa"/>
                  <w:bottom w:w="28" w:type="dxa"/>
                  <w:right w:w="57" w:type="dxa"/>
                </w:tblCellMar>
              </w:tblPrEx>
              <w:trPr>
                <w:trHeight w:val="454" w:hRule="atLeast"/>
              </w:trPr>
              <w:tc>
                <w:tcPr>
                  <w:tcW w:w="650" w:type="dxa"/>
                  <w:vAlign w:val="center"/>
                </w:tcPr>
                <w:p>
                  <w:pPr>
                    <w:snapToGrid w:val="0"/>
                    <w:jc w:val="center"/>
                    <w:rPr>
                      <w:szCs w:val="21"/>
                    </w:rPr>
                  </w:pPr>
                  <w:r>
                    <w:rPr>
                      <w:szCs w:val="21"/>
                    </w:rPr>
                    <w:t>类别</w:t>
                  </w:r>
                </w:p>
              </w:tc>
              <w:tc>
                <w:tcPr>
                  <w:tcW w:w="1069" w:type="dxa"/>
                  <w:vAlign w:val="center"/>
                </w:tcPr>
                <w:p>
                  <w:pPr>
                    <w:snapToGrid w:val="0"/>
                    <w:jc w:val="center"/>
                    <w:rPr>
                      <w:szCs w:val="21"/>
                    </w:rPr>
                  </w:pPr>
                  <w:r>
                    <w:rPr>
                      <w:szCs w:val="21"/>
                    </w:rPr>
                    <w:t>名称</w:t>
                  </w:r>
                </w:p>
              </w:tc>
              <w:tc>
                <w:tcPr>
                  <w:tcW w:w="5119" w:type="dxa"/>
                  <w:gridSpan w:val="2"/>
                  <w:vAlign w:val="center"/>
                </w:tcPr>
                <w:p>
                  <w:pPr>
                    <w:snapToGrid w:val="0"/>
                    <w:jc w:val="center"/>
                    <w:rPr>
                      <w:szCs w:val="21"/>
                    </w:rPr>
                  </w:pPr>
                  <w:r>
                    <w:rPr>
                      <w:rFonts w:hint="eastAsia"/>
                      <w:szCs w:val="21"/>
                    </w:rPr>
                    <w:t>建设内容</w:t>
                  </w:r>
                </w:p>
              </w:tc>
              <w:tc>
                <w:tcPr>
                  <w:tcW w:w="1097" w:type="dxa"/>
                  <w:vAlign w:val="center"/>
                </w:tcPr>
                <w:p>
                  <w:pPr>
                    <w:snapToGrid w:val="0"/>
                    <w:jc w:val="center"/>
                    <w:rPr>
                      <w:szCs w:val="21"/>
                    </w:rPr>
                  </w:pPr>
                  <w:r>
                    <w:rPr>
                      <w:rFonts w:hint="eastAsia"/>
                      <w:szCs w:val="21"/>
                    </w:rPr>
                    <w:t>备注</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28" w:type="dxa"/>
                  <w:left w:w="28" w:type="dxa"/>
                  <w:bottom w:w="28" w:type="dxa"/>
                  <w:right w:w="57" w:type="dxa"/>
                </w:tblCellMar>
              </w:tblPrEx>
              <w:trPr>
                <w:trHeight w:val="454" w:hRule="atLeast"/>
              </w:trPr>
              <w:tc>
                <w:tcPr>
                  <w:tcW w:w="650" w:type="dxa"/>
                  <w:vAlign w:val="center"/>
                </w:tcPr>
                <w:p>
                  <w:pPr>
                    <w:pStyle w:val="50"/>
                    <w:snapToGrid w:val="0"/>
                    <w:jc w:val="center"/>
                  </w:pPr>
                  <w:r>
                    <w:rPr>
                      <w:rFonts w:hint="eastAsia"/>
                    </w:rPr>
                    <w:t>主体工程</w:t>
                  </w:r>
                </w:p>
              </w:tc>
              <w:tc>
                <w:tcPr>
                  <w:tcW w:w="1069" w:type="dxa"/>
                  <w:vAlign w:val="center"/>
                </w:tcPr>
                <w:p>
                  <w:pPr>
                    <w:pStyle w:val="50"/>
                    <w:snapToGrid w:val="0"/>
                    <w:jc w:val="center"/>
                  </w:pPr>
                  <w:r>
                    <w:rPr>
                      <w:rFonts w:hint="eastAsia"/>
                    </w:rPr>
                    <w:t>固废粉末罐装生产线</w:t>
                  </w:r>
                </w:p>
              </w:tc>
              <w:tc>
                <w:tcPr>
                  <w:tcW w:w="5119" w:type="dxa"/>
                  <w:gridSpan w:val="2"/>
                  <w:vAlign w:val="center"/>
                </w:tcPr>
                <w:p>
                  <w:pPr>
                    <w:pStyle w:val="50"/>
                    <w:snapToGrid w:val="0"/>
                  </w:pPr>
                  <w:r>
                    <w:rPr>
                      <w:rFonts w:hint="eastAsia"/>
                    </w:rPr>
                    <w:t>新建固废</w:t>
                  </w:r>
                  <w:r>
                    <w:t>粉末罐装储存项目生产线一条</w:t>
                  </w:r>
                  <w:r>
                    <w:rPr>
                      <w:rFonts w:hint="eastAsia"/>
                    </w:rPr>
                    <w:t>。主要包括：原料储存、分选</w:t>
                  </w:r>
                  <w:r>
                    <w:t>工序</w:t>
                  </w:r>
                  <w:r>
                    <w:rPr>
                      <w:rFonts w:hint="eastAsia"/>
                    </w:rPr>
                    <w:t>、粉磨工序、</w:t>
                  </w:r>
                  <w:r>
                    <w:t>成品</w:t>
                  </w:r>
                  <w:r>
                    <w:rPr>
                      <w:rFonts w:hint="eastAsia"/>
                    </w:rPr>
                    <w:t>储存</w:t>
                  </w:r>
                  <w:r>
                    <w:t>工序</w:t>
                  </w:r>
                  <w:r>
                    <w:rPr>
                      <w:rFonts w:hint="eastAsia"/>
                    </w:rPr>
                    <w:t>。</w:t>
                  </w:r>
                </w:p>
                <w:p>
                  <w:pPr>
                    <w:pStyle w:val="50"/>
                    <w:snapToGrid w:val="0"/>
                  </w:pPr>
                  <w:r>
                    <w:rPr>
                      <w:rFonts w:hint="eastAsia"/>
                    </w:rPr>
                    <w:t>分选粉磨</w:t>
                  </w:r>
                  <w:r>
                    <w:t>工序</w:t>
                  </w:r>
                  <w:r>
                    <w:rPr>
                      <w:rFonts w:hint="eastAsia"/>
                    </w:rPr>
                    <w:t>：</w:t>
                  </w:r>
                  <w:r>
                    <w:t>分选和</w:t>
                  </w:r>
                  <w:r>
                    <w:rPr>
                      <w:rFonts w:hint="eastAsia"/>
                    </w:rPr>
                    <w:t>粉磨</w:t>
                  </w:r>
                  <w:r>
                    <w:t>工序</w:t>
                  </w:r>
                  <w:r>
                    <w:rPr>
                      <w:rFonts w:hint="eastAsia"/>
                    </w:rPr>
                    <w:t>为全封闭钢结构厂房，占地</w:t>
                  </w:r>
                  <w:r>
                    <w:t>面积</w:t>
                  </w:r>
                  <w:r>
                    <w:rPr>
                      <w:rFonts w:hint="eastAsia"/>
                    </w:rPr>
                    <w:t>为220</w:t>
                  </w:r>
                  <w:r>
                    <w:t>m</w:t>
                  </w:r>
                  <w:r>
                    <w:rPr>
                      <w:vertAlign w:val="superscript"/>
                    </w:rPr>
                    <w:t>2</w:t>
                  </w:r>
                  <w:r>
                    <w:rPr>
                      <w:rFonts w:hint="eastAsia"/>
                    </w:rPr>
                    <w:t>（</w:t>
                  </w:r>
                  <w:r>
                    <w:t>22m×10m</w:t>
                  </w:r>
                  <w:r>
                    <w:rPr>
                      <w:rFonts w:hint="eastAsia"/>
                    </w:rPr>
                    <w:t>）</w:t>
                  </w:r>
                  <w:r>
                    <w:t>，</w:t>
                  </w:r>
                  <w:r>
                    <w:rPr>
                      <w:rFonts w:hint="eastAsia"/>
                    </w:rPr>
                    <w:t>车间地面全硬化。主要设备有：分选机、高细管磨机等。</w:t>
                  </w:r>
                </w:p>
              </w:tc>
              <w:tc>
                <w:tcPr>
                  <w:tcW w:w="1097" w:type="dxa"/>
                  <w:vMerge w:val="restart"/>
                  <w:vAlign w:val="center"/>
                </w:tcPr>
                <w:p>
                  <w:pPr>
                    <w:pStyle w:val="50"/>
                    <w:snapToGrid w:val="0"/>
                  </w:pPr>
                  <w:r>
                    <w:rPr>
                      <w:rFonts w:hint="eastAsia"/>
                    </w:rPr>
                    <w:t>租用鲁山县远宏炭素材料有限公司现有空地</w:t>
                  </w:r>
                  <w:r>
                    <w:t>，</w:t>
                  </w:r>
                  <w:r>
                    <w:rPr>
                      <w:rFonts w:hint="eastAsia"/>
                    </w:rPr>
                    <w:t>本次</w:t>
                  </w:r>
                  <w:r>
                    <w:t>生产</w:t>
                  </w:r>
                  <w:r>
                    <w:rPr>
                      <w:rFonts w:hint="eastAsia"/>
                    </w:rPr>
                    <w:t>、</w:t>
                  </w:r>
                  <w:r>
                    <w:t>储存设施全部为新建</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28" w:type="dxa"/>
                  <w:left w:w="28" w:type="dxa"/>
                  <w:bottom w:w="28" w:type="dxa"/>
                  <w:right w:w="57" w:type="dxa"/>
                </w:tblCellMar>
              </w:tblPrEx>
              <w:trPr>
                <w:trHeight w:val="454" w:hRule="atLeast"/>
              </w:trPr>
              <w:tc>
                <w:tcPr>
                  <w:tcW w:w="650" w:type="dxa"/>
                  <w:vMerge w:val="restart"/>
                  <w:vAlign w:val="center"/>
                </w:tcPr>
                <w:p>
                  <w:pPr>
                    <w:pStyle w:val="50"/>
                    <w:snapToGrid w:val="0"/>
                    <w:jc w:val="center"/>
                  </w:pPr>
                  <w:r>
                    <w:rPr>
                      <w:rFonts w:hint="eastAsia"/>
                    </w:rPr>
                    <w:t>储运工程</w:t>
                  </w:r>
                </w:p>
              </w:tc>
              <w:tc>
                <w:tcPr>
                  <w:tcW w:w="1069" w:type="dxa"/>
                  <w:vAlign w:val="center"/>
                </w:tcPr>
                <w:p>
                  <w:pPr>
                    <w:pStyle w:val="50"/>
                    <w:snapToGrid w:val="0"/>
                    <w:jc w:val="center"/>
                  </w:pPr>
                  <w:r>
                    <w:rPr>
                      <w:rFonts w:hint="eastAsia"/>
                    </w:rPr>
                    <w:t>原料储罐</w:t>
                  </w:r>
                </w:p>
              </w:tc>
              <w:tc>
                <w:tcPr>
                  <w:tcW w:w="5119" w:type="dxa"/>
                  <w:gridSpan w:val="2"/>
                  <w:vAlign w:val="center"/>
                </w:tcPr>
                <w:p>
                  <w:pPr>
                    <w:pStyle w:val="50"/>
                    <w:snapToGrid w:val="0"/>
                  </w:pPr>
                  <w:r>
                    <w:rPr>
                      <w:rFonts w:hint="eastAsia"/>
                    </w:rPr>
                    <w:t>采用1座筒</w:t>
                  </w:r>
                  <w:r>
                    <w:t>状料仓</w:t>
                  </w:r>
                  <w:r>
                    <w:rPr>
                      <w:rFonts w:hint="eastAsia"/>
                    </w:rPr>
                    <w:t>储存</w:t>
                  </w:r>
                  <w:r>
                    <w:t>，规格Φ16</w:t>
                  </w:r>
                  <w:r>
                    <w:rPr>
                      <w:rFonts w:hint="eastAsia"/>
                    </w:rPr>
                    <w:t>×18</w:t>
                  </w:r>
                  <w:r>
                    <w:t>m</w:t>
                  </w:r>
                  <w:r>
                    <w:rPr>
                      <w:rFonts w:hint="eastAsia"/>
                    </w:rPr>
                    <w:t>，容量</w:t>
                  </w:r>
                  <w:r>
                    <w:t>为</w:t>
                  </w:r>
                  <w:r>
                    <w:rPr>
                      <w:rFonts w:hint="eastAsia"/>
                    </w:rPr>
                    <w:t>3000</w:t>
                  </w:r>
                  <w:r>
                    <w:t>t</w:t>
                  </w:r>
                  <w:r>
                    <w:rPr>
                      <w:rFonts w:hint="eastAsia"/>
                    </w:rPr>
                    <w:t>（折合3750</w:t>
                  </w:r>
                  <w:r>
                    <w:t>m</w:t>
                  </w:r>
                  <w:r>
                    <w:rPr>
                      <w:vertAlign w:val="superscript"/>
                    </w:rPr>
                    <w:t>3</w:t>
                  </w:r>
                  <w:r>
                    <w:rPr>
                      <w:rFonts w:hint="eastAsia"/>
                    </w:rPr>
                    <w:t>）。</w:t>
                  </w:r>
                </w:p>
              </w:tc>
              <w:tc>
                <w:tcPr>
                  <w:tcW w:w="1097" w:type="dxa"/>
                  <w:vMerge w:val="continue"/>
                  <w:vAlign w:val="center"/>
                </w:tcPr>
                <w:p>
                  <w:pPr>
                    <w:pStyle w:val="50"/>
                    <w:snapToGrid w:val="0"/>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28" w:type="dxa"/>
                  <w:left w:w="28" w:type="dxa"/>
                  <w:bottom w:w="28" w:type="dxa"/>
                  <w:right w:w="57" w:type="dxa"/>
                </w:tblCellMar>
              </w:tblPrEx>
              <w:trPr>
                <w:trHeight w:val="454" w:hRule="atLeast"/>
              </w:trPr>
              <w:tc>
                <w:tcPr>
                  <w:tcW w:w="650" w:type="dxa"/>
                  <w:vMerge w:val="continue"/>
                  <w:vAlign w:val="center"/>
                </w:tcPr>
                <w:p>
                  <w:pPr>
                    <w:pStyle w:val="50"/>
                    <w:snapToGrid w:val="0"/>
                    <w:jc w:val="center"/>
                  </w:pPr>
                </w:p>
              </w:tc>
              <w:tc>
                <w:tcPr>
                  <w:tcW w:w="1069" w:type="dxa"/>
                  <w:vAlign w:val="center"/>
                </w:tcPr>
                <w:p>
                  <w:pPr>
                    <w:pStyle w:val="50"/>
                    <w:snapToGrid w:val="0"/>
                    <w:jc w:val="center"/>
                  </w:pPr>
                  <w:r>
                    <w:rPr>
                      <w:rFonts w:hint="eastAsia"/>
                    </w:rPr>
                    <w:t>成品储罐</w:t>
                  </w:r>
                </w:p>
              </w:tc>
              <w:tc>
                <w:tcPr>
                  <w:tcW w:w="5119" w:type="dxa"/>
                  <w:gridSpan w:val="2"/>
                  <w:vAlign w:val="center"/>
                </w:tcPr>
                <w:p>
                  <w:pPr>
                    <w:pStyle w:val="50"/>
                    <w:snapToGrid w:val="0"/>
                  </w:pPr>
                  <w:r>
                    <w:rPr>
                      <w:rFonts w:hint="eastAsia"/>
                    </w:rPr>
                    <w:t>采用1座筒</w:t>
                  </w:r>
                  <w:r>
                    <w:t>状料仓</w:t>
                  </w:r>
                  <w:r>
                    <w:rPr>
                      <w:rFonts w:hint="eastAsia"/>
                    </w:rPr>
                    <w:t>储存</w:t>
                  </w:r>
                  <w:r>
                    <w:t>，规格Φ7</w:t>
                  </w:r>
                  <w:r>
                    <w:rPr>
                      <w:rFonts w:hint="eastAsia"/>
                    </w:rPr>
                    <w:t>×</w:t>
                  </w:r>
                  <w:r>
                    <w:t>20m</w:t>
                  </w:r>
                  <w:r>
                    <w:rPr>
                      <w:rFonts w:hint="eastAsia"/>
                    </w:rPr>
                    <w:t>，容量</w:t>
                  </w:r>
                  <w:r>
                    <w:t>为4</w:t>
                  </w:r>
                  <w:r>
                    <w:rPr>
                      <w:rFonts w:hint="eastAsia"/>
                    </w:rPr>
                    <w:t>00</w:t>
                  </w:r>
                  <w:r>
                    <w:t>t</w:t>
                  </w:r>
                  <w:r>
                    <w:rPr>
                      <w:rFonts w:hint="eastAsia"/>
                    </w:rPr>
                    <w:t>（折合</w:t>
                  </w:r>
                  <w:r>
                    <w:t>500m</w:t>
                  </w:r>
                  <w:r>
                    <w:rPr>
                      <w:vertAlign w:val="superscript"/>
                    </w:rPr>
                    <w:t>3</w:t>
                  </w:r>
                  <w:r>
                    <w:rPr>
                      <w:rFonts w:hint="eastAsia"/>
                    </w:rPr>
                    <w:t>）。</w:t>
                  </w:r>
                </w:p>
              </w:tc>
              <w:tc>
                <w:tcPr>
                  <w:tcW w:w="1097" w:type="dxa"/>
                  <w:vMerge w:val="continue"/>
                  <w:vAlign w:val="center"/>
                </w:tcPr>
                <w:p>
                  <w:pPr>
                    <w:pStyle w:val="50"/>
                    <w:snapToGrid w:val="0"/>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28" w:type="dxa"/>
                  <w:left w:w="28" w:type="dxa"/>
                  <w:bottom w:w="28" w:type="dxa"/>
                  <w:right w:w="57" w:type="dxa"/>
                </w:tblCellMar>
              </w:tblPrEx>
              <w:trPr>
                <w:trHeight w:val="454" w:hRule="atLeast"/>
              </w:trPr>
              <w:tc>
                <w:tcPr>
                  <w:tcW w:w="650" w:type="dxa"/>
                  <w:vMerge w:val="continue"/>
                  <w:vAlign w:val="center"/>
                </w:tcPr>
                <w:p>
                  <w:pPr>
                    <w:pStyle w:val="50"/>
                    <w:snapToGrid w:val="0"/>
                    <w:jc w:val="center"/>
                  </w:pPr>
                </w:p>
              </w:tc>
              <w:tc>
                <w:tcPr>
                  <w:tcW w:w="1069" w:type="dxa"/>
                  <w:vAlign w:val="center"/>
                </w:tcPr>
                <w:p>
                  <w:pPr>
                    <w:pStyle w:val="50"/>
                    <w:snapToGrid w:val="0"/>
                  </w:pPr>
                  <w:r>
                    <w:rPr>
                      <w:rFonts w:hint="eastAsia"/>
                    </w:rPr>
                    <w:t>装车通道</w:t>
                  </w:r>
                </w:p>
              </w:tc>
              <w:tc>
                <w:tcPr>
                  <w:tcW w:w="5119" w:type="dxa"/>
                  <w:gridSpan w:val="2"/>
                  <w:vAlign w:val="center"/>
                </w:tcPr>
                <w:p>
                  <w:pPr>
                    <w:pStyle w:val="50"/>
                    <w:snapToGrid w:val="0"/>
                  </w:pPr>
                  <w:r>
                    <w:rPr>
                      <w:rFonts w:hint="eastAsia"/>
                    </w:rPr>
                    <w:t>建设</w:t>
                  </w:r>
                  <w:r>
                    <w:t>一座半封闭式的装车通道，</w:t>
                  </w:r>
                  <w:r>
                    <w:rPr>
                      <w:rFonts w:hint="eastAsia"/>
                    </w:rPr>
                    <w:t>为</w:t>
                  </w:r>
                  <w:r>
                    <w:t>长方形布置，</w:t>
                  </w:r>
                  <w:r>
                    <w:rPr>
                      <w:rFonts w:hint="eastAsia"/>
                    </w:rPr>
                    <w:t>占地</w:t>
                  </w:r>
                  <w:r>
                    <w:t>面积</w:t>
                  </w:r>
                  <w:r>
                    <w:rPr>
                      <w:rFonts w:hint="eastAsia"/>
                    </w:rPr>
                    <w:t>为</w:t>
                  </w:r>
                  <w:r>
                    <w:t>5</w:t>
                  </w:r>
                  <w:r>
                    <w:rPr>
                      <w:rFonts w:hint="eastAsia"/>
                    </w:rPr>
                    <w:t>0</w:t>
                  </w:r>
                  <w:r>
                    <w:t>m</w:t>
                  </w:r>
                  <w:r>
                    <w:rPr>
                      <w:vertAlign w:val="superscript"/>
                    </w:rPr>
                    <w:t>2</w:t>
                  </w:r>
                  <w:r>
                    <w:rPr>
                      <w:rFonts w:hint="eastAsia"/>
                    </w:rPr>
                    <w:t>（</w:t>
                  </w:r>
                  <w:r>
                    <w:t>5m×10m</w:t>
                  </w:r>
                  <w:r>
                    <w:rPr>
                      <w:rFonts w:hint="eastAsia"/>
                    </w:rPr>
                    <w:t>）。</w:t>
                  </w:r>
                </w:p>
              </w:tc>
              <w:tc>
                <w:tcPr>
                  <w:tcW w:w="1097" w:type="dxa"/>
                  <w:vMerge w:val="continue"/>
                  <w:vAlign w:val="center"/>
                </w:tcPr>
                <w:p>
                  <w:pPr>
                    <w:pStyle w:val="50"/>
                    <w:snapToGrid w:val="0"/>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28" w:type="dxa"/>
                  <w:left w:w="28" w:type="dxa"/>
                  <w:bottom w:w="28" w:type="dxa"/>
                  <w:right w:w="57" w:type="dxa"/>
                </w:tblCellMar>
              </w:tblPrEx>
              <w:trPr>
                <w:trHeight w:val="454" w:hRule="atLeast"/>
              </w:trPr>
              <w:tc>
                <w:tcPr>
                  <w:tcW w:w="650" w:type="dxa"/>
                  <w:vAlign w:val="center"/>
                </w:tcPr>
                <w:p>
                  <w:pPr>
                    <w:pStyle w:val="50"/>
                    <w:snapToGrid w:val="0"/>
                    <w:jc w:val="center"/>
                  </w:pPr>
                  <w:r>
                    <w:rPr>
                      <w:rFonts w:hint="eastAsia"/>
                    </w:rPr>
                    <w:t>辅助工程</w:t>
                  </w:r>
                </w:p>
              </w:tc>
              <w:tc>
                <w:tcPr>
                  <w:tcW w:w="1069" w:type="dxa"/>
                  <w:vAlign w:val="center"/>
                </w:tcPr>
                <w:p>
                  <w:pPr>
                    <w:jc w:val="center"/>
                    <w:rPr>
                      <w:szCs w:val="21"/>
                    </w:rPr>
                  </w:pPr>
                  <w:r>
                    <w:rPr>
                      <w:rFonts w:hint="eastAsia"/>
                      <w:szCs w:val="21"/>
                    </w:rPr>
                    <w:t>办公区</w:t>
                  </w:r>
                </w:p>
              </w:tc>
              <w:tc>
                <w:tcPr>
                  <w:tcW w:w="5119" w:type="dxa"/>
                  <w:gridSpan w:val="2"/>
                  <w:vAlign w:val="center"/>
                </w:tcPr>
                <w:p>
                  <w:pPr>
                    <w:rPr>
                      <w:szCs w:val="21"/>
                    </w:rPr>
                  </w:pPr>
                  <w:r>
                    <w:rPr>
                      <w:rFonts w:hint="eastAsia"/>
                      <w:szCs w:val="21"/>
                    </w:rPr>
                    <w:t>占地面积</w:t>
                  </w:r>
                  <w:r>
                    <w:rPr>
                      <w:szCs w:val="21"/>
                    </w:rPr>
                    <w:t>144m</w:t>
                  </w:r>
                  <w:r>
                    <w:rPr>
                      <w:szCs w:val="21"/>
                      <w:vertAlign w:val="superscript"/>
                    </w:rPr>
                    <w:t>2</w:t>
                  </w:r>
                  <w:r>
                    <w:rPr>
                      <w:szCs w:val="21"/>
                    </w:rPr>
                    <w:t>（</w:t>
                  </w:r>
                  <w:r>
                    <w:rPr>
                      <w:rFonts w:hint="eastAsia"/>
                      <w:szCs w:val="21"/>
                    </w:rPr>
                    <w:t>2</w:t>
                  </w:r>
                  <w:r>
                    <w:rPr>
                      <w:szCs w:val="21"/>
                    </w:rPr>
                    <w:t>4m×6m）</w:t>
                  </w:r>
                  <w:r>
                    <w:rPr>
                      <w:rFonts w:hint="eastAsia"/>
                      <w:szCs w:val="21"/>
                    </w:rPr>
                    <w:t>，砖混结构。</w:t>
                  </w:r>
                </w:p>
              </w:tc>
              <w:tc>
                <w:tcPr>
                  <w:tcW w:w="1097" w:type="dxa"/>
                  <w:vAlign w:val="center"/>
                </w:tcPr>
                <w:p>
                  <w:pPr>
                    <w:jc w:val="center"/>
                    <w:rPr>
                      <w:szCs w:val="21"/>
                    </w:rPr>
                  </w:pPr>
                  <w:r>
                    <w:rPr>
                      <w:rFonts w:hint="eastAsia"/>
                      <w:kern w:val="0"/>
                      <w:szCs w:val="21"/>
                    </w:rPr>
                    <w:t>依托已有，简装后利用</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28" w:type="dxa"/>
                  <w:left w:w="28" w:type="dxa"/>
                  <w:bottom w:w="28" w:type="dxa"/>
                  <w:right w:w="57" w:type="dxa"/>
                </w:tblCellMar>
              </w:tblPrEx>
              <w:trPr>
                <w:trHeight w:val="454" w:hRule="atLeast"/>
              </w:trPr>
              <w:tc>
                <w:tcPr>
                  <w:tcW w:w="650" w:type="dxa"/>
                  <w:vMerge w:val="restart"/>
                  <w:vAlign w:val="center"/>
                </w:tcPr>
                <w:p>
                  <w:pPr>
                    <w:pStyle w:val="50"/>
                    <w:snapToGrid w:val="0"/>
                    <w:jc w:val="center"/>
                  </w:pPr>
                  <w:r>
                    <w:rPr>
                      <w:rFonts w:hint="eastAsia"/>
                    </w:rPr>
                    <w:t>公用工程</w:t>
                  </w:r>
                </w:p>
              </w:tc>
              <w:tc>
                <w:tcPr>
                  <w:tcW w:w="1069" w:type="dxa"/>
                  <w:vAlign w:val="center"/>
                </w:tcPr>
                <w:p>
                  <w:pPr>
                    <w:pStyle w:val="50"/>
                    <w:snapToGrid w:val="0"/>
                    <w:jc w:val="center"/>
                    <w:rPr>
                      <w:highlight w:val="yellow"/>
                    </w:rPr>
                  </w:pPr>
                  <w:r>
                    <w:rPr>
                      <w:rFonts w:hint="eastAsia"/>
                    </w:rPr>
                    <w:t>供水工程</w:t>
                  </w:r>
                </w:p>
              </w:tc>
              <w:tc>
                <w:tcPr>
                  <w:tcW w:w="5119" w:type="dxa"/>
                  <w:gridSpan w:val="2"/>
                  <w:vAlign w:val="center"/>
                </w:tcPr>
                <w:p>
                  <w:pPr>
                    <w:pStyle w:val="50"/>
                    <w:snapToGrid w:val="0"/>
                    <w:rPr>
                      <w:highlight w:val="yellow"/>
                    </w:rPr>
                  </w:pPr>
                  <w:r>
                    <w:rPr>
                      <w:rFonts w:hint="eastAsia"/>
                    </w:rPr>
                    <w:t>生活用水由远宏炭素厂区内自备水井提供。</w:t>
                  </w:r>
                </w:p>
              </w:tc>
              <w:tc>
                <w:tcPr>
                  <w:tcW w:w="1097" w:type="dxa"/>
                  <w:vAlign w:val="center"/>
                </w:tcPr>
                <w:p>
                  <w:pPr>
                    <w:pStyle w:val="50"/>
                    <w:snapToGrid w:val="0"/>
                    <w:jc w:val="center"/>
                  </w:pPr>
                  <w:r>
                    <w:rPr>
                      <w:rFonts w:hint="eastAsia"/>
                    </w:rPr>
                    <w:t>依托已有</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28" w:type="dxa"/>
                  <w:left w:w="28" w:type="dxa"/>
                  <w:bottom w:w="28" w:type="dxa"/>
                  <w:right w:w="57" w:type="dxa"/>
                </w:tblCellMar>
              </w:tblPrEx>
              <w:trPr>
                <w:trHeight w:val="454" w:hRule="atLeast"/>
              </w:trPr>
              <w:tc>
                <w:tcPr>
                  <w:tcW w:w="650" w:type="dxa"/>
                  <w:vMerge w:val="continue"/>
                  <w:vAlign w:val="center"/>
                </w:tcPr>
                <w:p>
                  <w:pPr>
                    <w:pStyle w:val="50"/>
                    <w:snapToGrid w:val="0"/>
                    <w:jc w:val="center"/>
                  </w:pPr>
                </w:p>
              </w:tc>
              <w:tc>
                <w:tcPr>
                  <w:tcW w:w="1069" w:type="dxa"/>
                  <w:vAlign w:val="center"/>
                </w:tcPr>
                <w:p>
                  <w:pPr>
                    <w:pStyle w:val="50"/>
                    <w:snapToGrid w:val="0"/>
                    <w:jc w:val="center"/>
                    <w:rPr>
                      <w:kern w:val="2"/>
                    </w:rPr>
                  </w:pPr>
                  <w:r>
                    <w:rPr>
                      <w:rFonts w:hint="eastAsia"/>
                      <w:kern w:val="2"/>
                    </w:rPr>
                    <w:t>供电工程</w:t>
                  </w:r>
                </w:p>
              </w:tc>
              <w:tc>
                <w:tcPr>
                  <w:tcW w:w="5119" w:type="dxa"/>
                  <w:gridSpan w:val="2"/>
                  <w:vAlign w:val="center"/>
                </w:tcPr>
                <w:p>
                  <w:pPr>
                    <w:pStyle w:val="50"/>
                    <w:snapToGrid w:val="0"/>
                    <w:rPr>
                      <w:kern w:val="2"/>
                    </w:rPr>
                  </w:pPr>
                  <w:r>
                    <w:rPr>
                      <w:rFonts w:hint="eastAsia"/>
                    </w:rPr>
                    <w:t>项目</w:t>
                  </w:r>
                  <w:r>
                    <w:t>厂区新建</w:t>
                  </w:r>
                  <w:r>
                    <w:rPr>
                      <w:rFonts w:hint="eastAsia"/>
                    </w:rPr>
                    <w:t>1台250</w:t>
                  </w:r>
                  <w:r>
                    <w:t>KVA的变压器</w:t>
                  </w:r>
                  <w:r>
                    <w:rPr>
                      <w:rFonts w:hint="eastAsia"/>
                    </w:rPr>
                    <w:t>及配套</w:t>
                  </w:r>
                  <w:r>
                    <w:t>电线，电源</w:t>
                  </w:r>
                  <w:r>
                    <w:rPr>
                      <w:rFonts w:hint="eastAsia"/>
                    </w:rPr>
                    <w:t>由</w:t>
                  </w:r>
                  <w:r>
                    <w:t>区域电网供给</w:t>
                  </w:r>
                  <w:r>
                    <w:rPr>
                      <w:rFonts w:hint="eastAsia"/>
                    </w:rPr>
                    <w:t>。</w:t>
                  </w:r>
                </w:p>
              </w:tc>
              <w:tc>
                <w:tcPr>
                  <w:tcW w:w="1097" w:type="dxa"/>
                  <w:vAlign w:val="center"/>
                </w:tcPr>
                <w:p>
                  <w:pPr>
                    <w:pStyle w:val="50"/>
                    <w:snapToGrid w:val="0"/>
                    <w:jc w:val="center"/>
                  </w:pPr>
                  <w:r>
                    <w:rPr>
                      <w:rFonts w:hint="eastAsia"/>
                    </w:rPr>
                    <w:t>新建</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28" w:type="dxa"/>
                  <w:left w:w="28" w:type="dxa"/>
                  <w:bottom w:w="28" w:type="dxa"/>
                  <w:right w:w="57" w:type="dxa"/>
                </w:tblCellMar>
              </w:tblPrEx>
              <w:trPr>
                <w:trHeight w:val="454" w:hRule="atLeast"/>
              </w:trPr>
              <w:tc>
                <w:tcPr>
                  <w:tcW w:w="650" w:type="dxa"/>
                  <w:vMerge w:val="continue"/>
                  <w:vAlign w:val="center"/>
                </w:tcPr>
                <w:p>
                  <w:pPr>
                    <w:pStyle w:val="50"/>
                    <w:snapToGrid w:val="0"/>
                    <w:jc w:val="center"/>
                  </w:pPr>
                </w:p>
              </w:tc>
              <w:tc>
                <w:tcPr>
                  <w:tcW w:w="1069" w:type="dxa"/>
                  <w:vAlign w:val="center"/>
                </w:tcPr>
                <w:p>
                  <w:pPr>
                    <w:snapToGrid w:val="0"/>
                    <w:jc w:val="center"/>
                    <w:rPr>
                      <w:bCs/>
                      <w:szCs w:val="21"/>
                    </w:rPr>
                  </w:pPr>
                  <w:r>
                    <w:rPr>
                      <w:bCs/>
                      <w:szCs w:val="21"/>
                    </w:rPr>
                    <w:t>制冷</w:t>
                  </w:r>
                  <w:r>
                    <w:rPr>
                      <w:rFonts w:hint="eastAsia"/>
                      <w:bCs/>
                      <w:szCs w:val="21"/>
                    </w:rPr>
                    <w:t>、</w:t>
                  </w:r>
                  <w:r>
                    <w:rPr>
                      <w:bCs/>
                      <w:szCs w:val="21"/>
                    </w:rPr>
                    <w:t>供热</w:t>
                  </w:r>
                </w:p>
              </w:tc>
              <w:tc>
                <w:tcPr>
                  <w:tcW w:w="5119" w:type="dxa"/>
                  <w:gridSpan w:val="2"/>
                  <w:vAlign w:val="center"/>
                </w:tcPr>
                <w:p>
                  <w:pPr>
                    <w:snapToGrid w:val="0"/>
                    <w:rPr>
                      <w:bCs/>
                      <w:szCs w:val="21"/>
                    </w:rPr>
                  </w:pPr>
                  <w:r>
                    <w:rPr>
                      <w:szCs w:val="21"/>
                    </w:rPr>
                    <w:t>本项目</w:t>
                  </w:r>
                  <w:r>
                    <w:rPr>
                      <w:rFonts w:hint="eastAsia"/>
                      <w:szCs w:val="21"/>
                    </w:rPr>
                    <w:t>夏季制冷、冬季供热皆由单体空调供给</w:t>
                  </w:r>
                </w:p>
              </w:tc>
              <w:tc>
                <w:tcPr>
                  <w:tcW w:w="1097" w:type="dxa"/>
                  <w:vAlign w:val="center"/>
                </w:tcPr>
                <w:p>
                  <w:pPr>
                    <w:pStyle w:val="50"/>
                    <w:snapToGrid w:val="0"/>
                    <w:jc w:val="center"/>
                  </w:pPr>
                  <w:r>
                    <w:rPr>
                      <w:rFonts w:hint="eastAsia"/>
                    </w:rPr>
                    <w:t>新建</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28" w:type="dxa"/>
                  <w:left w:w="28" w:type="dxa"/>
                  <w:bottom w:w="28" w:type="dxa"/>
                  <w:right w:w="57" w:type="dxa"/>
                </w:tblCellMar>
              </w:tblPrEx>
              <w:trPr>
                <w:trHeight w:val="454" w:hRule="atLeast"/>
              </w:trPr>
              <w:tc>
                <w:tcPr>
                  <w:tcW w:w="650" w:type="dxa"/>
                  <w:vMerge w:val="restart"/>
                  <w:vAlign w:val="center"/>
                </w:tcPr>
                <w:p>
                  <w:pPr>
                    <w:pStyle w:val="50"/>
                    <w:snapToGrid w:val="0"/>
                    <w:jc w:val="center"/>
                  </w:pPr>
                  <w:r>
                    <w:rPr>
                      <w:rFonts w:hint="eastAsia"/>
                    </w:rPr>
                    <w:t>环保工程</w:t>
                  </w:r>
                </w:p>
              </w:tc>
              <w:tc>
                <w:tcPr>
                  <w:tcW w:w="1069" w:type="dxa"/>
                  <w:vMerge w:val="restart"/>
                  <w:vAlign w:val="center"/>
                </w:tcPr>
                <w:p>
                  <w:pPr>
                    <w:pStyle w:val="50"/>
                    <w:snapToGrid w:val="0"/>
                    <w:jc w:val="center"/>
                  </w:pPr>
                  <w:r>
                    <w:rPr>
                      <w:rFonts w:hint="eastAsia"/>
                    </w:rPr>
                    <w:t>废气</w:t>
                  </w:r>
                </w:p>
              </w:tc>
              <w:tc>
                <w:tcPr>
                  <w:tcW w:w="725" w:type="dxa"/>
                  <w:vAlign w:val="center"/>
                </w:tcPr>
                <w:p>
                  <w:pPr>
                    <w:spacing w:line="260" w:lineRule="exact"/>
                    <w:contextualSpacing/>
                    <w:jc w:val="center"/>
                    <w:rPr>
                      <w:rFonts w:cs="宋体"/>
                      <w:szCs w:val="21"/>
                    </w:rPr>
                  </w:pPr>
                  <w:r>
                    <w:rPr>
                      <w:rFonts w:hint="eastAsia" w:cs="宋体"/>
                      <w:szCs w:val="21"/>
                    </w:rPr>
                    <w:t>原料库</w:t>
                  </w:r>
                </w:p>
              </w:tc>
              <w:tc>
                <w:tcPr>
                  <w:tcW w:w="4394" w:type="dxa"/>
                  <w:vAlign w:val="center"/>
                </w:tcPr>
                <w:p>
                  <w:pPr>
                    <w:pStyle w:val="50"/>
                    <w:snapToGrid w:val="0"/>
                    <w:jc w:val="left"/>
                    <w:rPr>
                      <w:rFonts w:cs="宋体"/>
                    </w:rPr>
                  </w:pPr>
                  <w:r>
                    <w:rPr>
                      <w:rFonts w:hint="eastAsia"/>
                      <w:spacing w:val="-8"/>
                    </w:rPr>
                    <w:t>密闭</w:t>
                  </w:r>
                  <w:r>
                    <w:rPr>
                      <w:spacing w:val="-8"/>
                    </w:rPr>
                    <w:t>原料仓</w:t>
                  </w:r>
                  <w:r>
                    <w:rPr>
                      <w:rFonts w:hint="eastAsia"/>
                      <w:spacing w:val="-8"/>
                    </w:rPr>
                    <w:t>，废气</w:t>
                  </w:r>
                  <w:r>
                    <w:rPr>
                      <w:spacing w:val="-8"/>
                    </w:rPr>
                    <w:t>经</w:t>
                  </w:r>
                  <w:r>
                    <w:rPr>
                      <w:rFonts w:hint="eastAsia"/>
                      <w:spacing w:val="-8"/>
                    </w:rPr>
                    <w:t>仓顶</w:t>
                  </w:r>
                  <w:r>
                    <w:rPr>
                      <w:spacing w:val="-8"/>
                    </w:rPr>
                    <w:t>脉冲袋式除尘</w:t>
                  </w:r>
                  <w:r>
                    <w:rPr>
                      <w:rFonts w:hint="eastAsia"/>
                      <w:spacing w:val="-8"/>
                    </w:rPr>
                    <w:t>器（1</w:t>
                  </w:r>
                  <w:r>
                    <w:rPr>
                      <w:spacing w:val="-8"/>
                    </w:rPr>
                    <w:t>#</w:t>
                  </w:r>
                  <w:r>
                    <w:rPr>
                      <w:rFonts w:hint="eastAsia"/>
                      <w:spacing w:val="-8"/>
                    </w:rPr>
                    <w:t>）除尘后</w:t>
                  </w:r>
                  <w:r>
                    <w:rPr>
                      <w:spacing w:val="-8"/>
                    </w:rPr>
                    <w:t>由仓顶排气筒排放（排气口高度19m</w:t>
                  </w:r>
                  <w:r>
                    <w:rPr>
                      <w:rFonts w:hint="eastAsia"/>
                      <w:spacing w:val="-8"/>
                    </w:rPr>
                    <w:t>，编号DA001）。</w:t>
                  </w:r>
                </w:p>
              </w:tc>
              <w:tc>
                <w:tcPr>
                  <w:tcW w:w="1097" w:type="dxa"/>
                  <w:vAlign w:val="center"/>
                </w:tcPr>
                <w:p>
                  <w:pPr>
                    <w:snapToGrid w:val="0"/>
                    <w:jc w:val="center"/>
                    <w:rPr>
                      <w:bCs/>
                      <w:szCs w:val="21"/>
                    </w:rPr>
                  </w:pPr>
                  <w:r>
                    <w:rPr>
                      <w:rFonts w:hint="eastAsia"/>
                      <w:bCs/>
                      <w:szCs w:val="21"/>
                    </w:rPr>
                    <w:t>新建</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28" w:type="dxa"/>
                  <w:left w:w="28" w:type="dxa"/>
                  <w:bottom w:w="28" w:type="dxa"/>
                  <w:right w:w="57" w:type="dxa"/>
                </w:tblCellMar>
              </w:tblPrEx>
              <w:trPr>
                <w:trHeight w:val="454" w:hRule="atLeast"/>
              </w:trPr>
              <w:tc>
                <w:tcPr>
                  <w:tcW w:w="650" w:type="dxa"/>
                  <w:vMerge w:val="continue"/>
                  <w:vAlign w:val="center"/>
                </w:tcPr>
                <w:p>
                  <w:pPr>
                    <w:pStyle w:val="50"/>
                    <w:snapToGrid w:val="0"/>
                    <w:jc w:val="center"/>
                  </w:pPr>
                </w:p>
              </w:tc>
              <w:tc>
                <w:tcPr>
                  <w:tcW w:w="1069" w:type="dxa"/>
                  <w:vMerge w:val="continue"/>
                  <w:vAlign w:val="center"/>
                </w:tcPr>
                <w:p>
                  <w:pPr>
                    <w:pStyle w:val="50"/>
                    <w:snapToGrid w:val="0"/>
                    <w:jc w:val="center"/>
                  </w:pPr>
                </w:p>
              </w:tc>
              <w:tc>
                <w:tcPr>
                  <w:tcW w:w="725" w:type="dxa"/>
                  <w:vAlign w:val="center"/>
                </w:tcPr>
                <w:p>
                  <w:pPr>
                    <w:spacing w:line="260" w:lineRule="exact"/>
                    <w:contextualSpacing/>
                    <w:jc w:val="center"/>
                    <w:rPr>
                      <w:rFonts w:cs="宋体"/>
                      <w:szCs w:val="21"/>
                    </w:rPr>
                  </w:pPr>
                  <w:r>
                    <w:rPr>
                      <w:rFonts w:hint="eastAsia" w:cs="宋体"/>
                      <w:szCs w:val="21"/>
                    </w:rPr>
                    <w:t>粉磨机</w:t>
                  </w:r>
                </w:p>
              </w:tc>
              <w:tc>
                <w:tcPr>
                  <w:tcW w:w="4394" w:type="dxa"/>
                  <w:vAlign w:val="center"/>
                </w:tcPr>
                <w:p>
                  <w:pPr>
                    <w:spacing w:line="260" w:lineRule="exact"/>
                    <w:contextualSpacing/>
                    <w:jc w:val="left"/>
                    <w:rPr>
                      <w:rFonts w:cs="宋体"/>
                      <w:szCs w:val="21"/>
                    </w:rPr>
                  </w:pPr>
                  <w:r>
                    <w:rPr>
                      <w:rFonts w:hint="eastAsia" w:cs="宋体"/>
                      <w:szCs w:val="21"/>
                    </w:rPr>
                    <w:t>生产车间四面密闭，通道口安装卷帘门，车间所有地面均硬化，粉磨机磨头、磨尾分别</w:t>
                  </w:r>
                  <w:r>
                    <w:rPr>
                      <w:rFonts w:cs="宋体"/>
                      <w:szCs w:val="21"/>
                    </w:rPr>
                    <w:t>设置集气罩，粉磨</w:t>
                  </w:r>
                  <w:r>
                    <w:rPr>
                      <w:rFonts w:hint="eastAsia" w:cs="宋体"/>
                      <w:szCs w:val="21"/>
                    </w:rPr>
                    <w:t>机磨头</w:t>
                  </w:r>
                  <w:r>
                    <w:rPr>
                      <w:rFonts w:cs="宋体"/>
                      <w:szCs w:val="21"/>
                    </w:rPr>
                    <w:t>、</w:t>
                  </w:r>
                  <w:r>
                    <w:rPr>
                      <w:rFonts w:hint="eastAsia" w:cs="宋体"/>
                      <w:szCs w:val="21"/>
                    </w:rPr>
                    <w:t>磨尾</w:t>
                  </w:r>
                  <w:r>
                    <w:rPr>
                      <w:rFonts w:cs="宋体"/>
                      <w:szCs w:val="21"/>
                    </w:rPr>
                    <w:t>、气流输送回料至分选机下料口</w:t>
                  </w:r>
                  <w:r>
                    <w:rPr>
                      <w:rFonts w:hint="eastAsia" w:cs="宋体"/>
                      <w:szCs w:val="21"/>
                    </w:rPr>
                    <w:t>设置</w:t>
                  </w:r>
                  <w:r>
                    <w:rPr>
                      <w:rFonts w:cs="宋体"/>
                      <w:szCs w:val="21"/>
                    </w:rPr>
                    <w:t>集气罩</w:t>
                  </w:r>
                  <w:r>
                    <w:rPr>
                      <w:rFonts w:hint="eastAsia" w:cs="宋体"/>
                      <w:szCs w:val="21"/>
                    </w:rPr>
                    <w:t>，</w:t>
                  </w:r>
                  <w:r>
                    <w:rPr>
                      <w:rFonts w:cs="宋体"/>
                      <w:szCs w:val="21"/>
                    </w:rPr>
                    <w:t>之后</w:t>
                  </w:r>
                  <w:r>
                    <w:rPr>
                      <w:rFonts w:hint="eastAsia" w:cs="宋体"/>
                      <w:szCs w:val="21"/>
                    </w:rPr>
                    <w:t>废气</w:t>
                  </w:r>
                  <w:r>
                    <w:rPr>
                      <w:rFonts w:cs="宋体"/>
                      <w:szCs w:val="21"/>
                    </w:rPr>
                    <w:t>通过收尘管</w:t>
                  </w:r>
                  <w:r>
                    <w:rPr>
                      <w:rFonts w:hint="eastAsia" w:cs="宋体"/>
                      <w:szCs w:val="21"/>
                    </w:rPr>
                    <w:t>引入1套脉冲袋式除尘器（</w:t>
                  </w:r>
                  <w:r>
                    <w:rPr>
                      <w:rFonts w:cs="宋体"/>
                      <w:szCs w:val="21"/>
                    </w:rPr>
                    <w:t>2</w:t>
                  </w:r>
                  <w:r>
                    <w:rPr>
                      <w:rFonts w:hint="eastAsia" w:cs="宋体"/>
                      <w:szCs w:val="21"/>
                    </w:rPr>
                    <w:t>#）除尘</w:t>
                  </w:r>
                  <w:r>
                    <w:rPr>
                      <w:rFonts w:cs="宋体"/>
                      <w:szCs w:val="21"/>
                    </w:rPr>
                    <w:t>后由</w:t>
                  </w:r>
                  <w:r>
                    <w:rPr>
                      <w:rFonts w:hint="eastAsia" w:cs="宋体"/>
                      <w:szCs w:val="21"/>
                    </w:rPr>
                    <w:t>1根15m高排气筒（DA002）排放</w:t>
                  </w:r>
                  <w:r>
                    <w:rPr>
                      <w:szCs w:val="21"/>
                    </w:rPr>
                    <w:t>。</w:t>
                  </w:r>
                </w:p>
              </w:tc>
              <w:tc>
                <w:tcPr>
                  <w:tcW w:w="1097" w:type="dxa"/>
                  <w:vAlign w:val="center"/>
                </w:tcPr>
                <w:p>
                  <w:pPr>
                    <w:snapToGrid w:val="0"/>
                    <w:jc w:val="center"/>
                    <w:rPr>
                      <w:bCs/>
                      <w:szCs w:val="21"/>
                    </w:rPr>
                  </w:pPr>
                  <w:r>
                    <w:rPr>
                      <w:rFonts w:hint="eastAsia"/>
                      <w:bCs/>
                      <w:szCs w:val="21"/>
                    </w:rPr>
                    <w:t>新建</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28" w:type="dxa"/>
                  <w:left w:w="28" w:type="dxa"/>
                  <w:bottom w:w="28" w:type="dxa"/>
                  <w:right w:w="57" w:type="dxa"/>
                </w:tblCellMar>
              </w:tblPrEx>
              <w:trPr>
                <w:trHeight w:val="454" w:hRule="atLeast"/>
              </w:trPr>
              <w:tc>
                <w:tcPr>
                  <w:tcW w:w="650" w:type="dxa"/>
                  <w:vMerge w:val="continue"/>
                  <w:vAlign w:val="center"/>
                </w:tcPr>
                <w:p>
                  <w:pPr>
                    <w:pStyle w:val="50"/>
                    <w:snapToGrid w:val="0"/>
                    <w:jc w:val="center"/>
                  </w:pPr>
                </w:p>
              </w:tc>
              <w:tc>
                <w:tcPr>
                  <w:tcW w:w="1069" w:type="dxa"/>
                  <w:vMerge w:val="continue"/>
                  <w:vAlign w:val="center"/>
                </w:tcPr>
                <w:p>
                  <w:pPr>
                    <w:pStyle w:val="50"/>
                    <w:snapToGrid w:val="0"/>
                    <w:jc w:val="center"/>
                  </w:pPr>
                </w:p>
              </w:tc>
              <w:tc>
                <w:tcPr>
                  <w:tcW w:w="725" w:type="dxa"/>
                  <w:vAlign w:val="center"/>
                </w:tcPr>
                <w:p>
                  <w:pPr>
                    <w:spacing w:line="260" w:lineRule="exact"/>
                    <w:contextualSpacing/>
                    <w:jc w:val="center"/>
                    <w:rPr>
                      <w:rFonts w:cs="宋体"/>
                      <w:szCs w:val="21"/>
                    </w:rPr>
                  </w:pPr>
                  <w:r>
                    <w:rPr>
                      <w:rFonts w:hint="eastAsia"/>
                      <w:szCs w:val="21"/>
                    </w:rPr>
                    <w:t>提升机</w:t>
                  </w:r>
                </w:p>
              </w:tc>
              <w:tc>
                <w:tcPr>
                  <w:tcW w:w="4394" w:type="dxa"/>
                  <w:vAlign w:val="center"/>
                </w:tcPr>
                <w:p>
                  <w:pPr>
                    <w:spacing w:line="260" w:lineRule="exact"/>
                    <w:contextualSpacing/>
                    <w:jc w:val="left"/>
                    <w:rPr>
                      <w:rFonts w:cs="宋体"/>
                      <w:szCs w:val="21"/>
                    </w:rPr>
                  </w:pPr>
                  <w:r>
                    <w:rPr>
                      <w:szCs w:val="21"/>
                    </w:rPr>
                    <w:t>2</w:t>
                  </w:r>
                  <w:r>
                    <w:rPr>
                      <w:rFonts w:hint="eastAsia"/>
                      <w:szCs w:val="21"/>
                    </w:rPr>
                    <w:t>座提升</w:t>
                  </w:r>
                  <w:r>
                    <w:rPr>
                      <w:szCs w:val="21"/>
                    </w:rPr>
                    <w:t>机</w:t>
                  </w:r>
                  <w:r>
                    <w:rPr>
                      <w:rFonts w:hint="eastAsia"/>
                      <w:szCs w:val="21"/>
                    </w:rPr>
                    <w:t>上料</w:t>
                  </w:r>
                  <w:r>
                    <w:rPr>
                      <w:szCs w:val="21"/>
                    </w:rPr>
                    <w:t>口、落料</w:t>
                  </w:r>
                  <w:r>
                    <w:rPr>
                      <w:rFonts w:hint="eastAsia"/>
                      <w:szCs w:val="21"/>
                    </w:rPr>
                    <w:t>口分别</w:t>
                  </w:r>
                  <w:r>
                    <w:rPr>
                      <w:szCs w:val="21"/>
                    </w:rPr>
                    <w:t>设集气装置，</w:t>
                  </w:r>
                  <w:r>
                    <w:rPr>
                      <w:rFonts w:hint="eastAsia" w:cs="宋体"/>
                      <w:szCs w:val="21"/>
                    </w:rPr>
                    <w:t>废气</w:t>
                  </w:r>
                  <w:r>
                    <w:rPr>
                      <w:rFonts w:cs="宋体"/>
                      <w:szCs w:val="21"/>
                    </w:rPr>
                    <w:t>通过收尘管</w:t>
                  </w:r>
                  <w:r>
                    <w:rPr>
                      <w:rFonts w:hint="eastAsia" w:cs="宋体"/>
                      <w:szCs w:val="21"/>
                    </w:rPr>
                    <w:t>引入</w:t>
                  </w:r>
                  <w:r>
                    <w:rPr>
                      <w:szCs w:val="21"/>
                    </w:rPr>
                    <w:t>一套</w:t>
                  </w:r>
                  <w:r>
                    <w:rPr>
                      <w:rFonts w:hint="eastAsia"/>
                      <w:szCs w:val="21"/>
                    </w:rPr>
                    <w:t>脉冲</w:t>
                  </w:r>
                  <w:r>
                    <w:rPr>
                      <w:szCs w:val="21"/>
                    </w:rPr>
                    <w:t>袋式除尘器</w:t>
                  </w:r>
                  <w:r>
                    <w:rPr>
                      <w:rFonts w:hint="eastAsia"/>
                      <w:szCs w:val="21"/>
                    </w:rPr>
                    <w:t>（3</w:t>
                  </w:r>
                  <w:r>
                    <w:rPr>
                      <w:szCs w:val="21"/>
                    </w:rPr>
                    <w:t>#</w:t>
                  </w:r>
                  <w:r>
                    <w:rPr>
                      <w:rFonts w:hint="eastAsia"/>
                      <w:szCs w:val="21"/>
                    </w:rPr>
                    <w:t>）</w:t>
                  </w:r>
                  <w:r>
                    <w:rPr>
                      <w:szCs w:val="21"/>
                    </w:rPr>
                    <w:t>处理</w:t>
                  </w:r>
                  <w:r>
                    <w:rPr>
                      <w:rFonts w:hint="eastAsia"/>
                      <w:szCs w:val="21"/>
                    </w:rPr>
                    <w:t>后</w:t>
                  </w:r>
                  <w:r>
                    <w:rPr>
                      <w:szCs w:val="21"/>
                    </w:rPr>
                    <w:t>由一根</w:t>
                  </w:r>
                  <w:r>
                    <w:rPr>
                      <w:rFonts w:hint="eastAsia"/>
                      <w:szCs w:val="21"/>
                    </w:rPr>
                    <w:t>15</w:t>
                  </w:r>
                  <w:r>
                    <w:rPr>
                      <w:szCs w:val="21"/>
                    </w:rPr>
                    <w:t>m高排气筒</w:t>
                  </w:r>
                  <w:r>
                    <w:rPr>
                      <w:rFonts w:hint="eastAsia" w:cs="宋体"/>
                      <w:szCs w:val="21"/>
                    </w:rPr>
                    <w:t>（DA00</w:t>
                  </w:r>
                  <w:r>
                    <w:rPr>
                      <w:rFonts w:cs="宋体"/>
                      <w:szCs w:val="21"/>
                    </w:rPr>
                    <w:t>3</w:t>
                  </w:r>
                  <w:r>
                    <w:rPr>
                      <w:rFonts w:hint="eastAsia" w:cs="宋体"/>
                      <w:szCs w:val="21"/>
                    </w:rPr>
                    <w:t>）</w:t>
                  </w:r>
                  <w:r>
                    <w:rPr>
                      <w:szCs w:val="21"/>
                    </w:rPr>
                    <w:t>排放。</w:t>
                  </w:r>
                </w:p>
              </w:tc>
              <w:tc>
                <w:tcPr>
                  <w:tcW w:w="1097" w:type="dxa"/>
                  <w:vAlign w:val="center"/>
                </w:tcPr>
                <w:p>
                  <w:pPr>
                    <w:snapToGrid w:val="0"/>
                    <w:jc w:val="center"/>
                    <w:rPr>
                      <w:bCs/>
                      <w:szCs w:val="21"/>
                    </w:rPr>
                  </w:pPr>
                  <w:r>
                    <w:rPr>
                      <w:rFonts w:hint="eastAsia"/>
                      <w:bCs/>
                      <w:szCs w:val="21"/>
                    </w:rPr>
                    <w:t>新建</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28" w:type="dxa"/>
                  <w:left w:w="28" w:type="dxa"/>
                  <w:bottom w:w="28" w:type="dxa"/>
                  <w:right w:w="57" w:type="dxa"/>
                </w:tblCellMar>
              </w:tblPrEx>
              <w:trPr>
                <w:trHeight w:val="454" w:hRule="atLeast"/>
              </w:trPr>
              <w:tc>
                <w:tcPr>
                  <w:tcW w:w="650" w:type="dxa"/>
                  <w:vMerge w:val="continue"/>
                  <w:vAlign w:val="center"/>
                </w:tcPr>
                <w:p>
                  <w:pPr>
                    <w:pStyle w:val="50"/>
                    <w:snapToGrid w:val="0"/>
                    <w:jc w:val="center"/>
                  </w:pPr>
                </w:p>
              </w:tc>
              <w:tc>
                <w:tcPr>
                  <w:tcW w:w="1069" w:type="dxa"/>
                  <w:vMerge w:val="continue"/>
                  <w:vAlign w:val="center"/>
                </w:tcPr>
                <w:p>
                  <w:pPr>
                    <w:pStyle w:val="50"/>
                    <w:snapToGrid w:val="0"/>
                    <w:jc w:val="center"/>
                  </w:pPr>
                </w:p>
              </w:tc>
              <w:tc>
                <w:tcPr>
                  <w:tcW w:w="725" w:type="dxa"/>
                  <w:vAlign w:val="center"/>
                </w:tcPr>
                <w:p>
                  <w:pPr>
                    <w:spacing w:line="260" w:lineRule="exact"/>
                    <w:contextualSpacing/>
                    <w:jc w:val="center"/>
                    <w:rPr>
                      <w:szCs w:val="21"/>
                    </w:rPr>
                  </w:pPr>
                  <w:r>
                    <w:rPr>
                      <w:rFonts w:hint="eastAsia"/>
                      <w:szCs w:val="21"/>
                    </w:rPr>
                    <w:t>成品仓</w:t>
                  </w:r>
                </w:p>
              </w:tc>
              <w:tc>
                <w:tcPr>
                  <w:tcW w:w="4394" w:type="dxa"/>
                  <w:vAlign w:val="center"/>
                </w:tcPr>
                <w:p>
                  <w:pPr>
                    <w:spacing w:line="260" w:lineRule="exact"/>
                    <w:contextualSpacing/>
                    <w:jc w:val="left"/>
                    <w:rPr>
                      <w:szCs w:val="21"/>
                    </w:rPr>
                  </w:pPr>
                  <w:r>
                    <w:rPr>
                      <w:rFonts w:hint="eastAsia" w:cs="宋体"/>
                      <w:szCs w:val="21"/>
                    </w:rPr>
                    <w:t>密闭成品</w:t>
                  </w:r>
                  <w:r>
                    <w:rPr>
                      <w:rFonts w:cs="宋体"/>
                      <w:szCs w:val="21"/>
                    </w:rPr>
                    <w:t>仓</w:t>
                  </w:r>
                  <w:r>
                    <w:rPr>
                      <w:rFonts w:hint="eastAsia" w:cs="宋体"/>
                      <w:szCs w:val="21"/>
                    </w:rPr>
                    <w:t>，废气</w:t>
                  </w:r>
                  <w:r>
                    <w:rPr>
                      <w:rFonts w:cs="宋体"/>
                      <w:szCs w:val="21"/>
                    </w:rPr>
                    <w:t>经</w:t>
                  </w:r>
                  <w:r>
                    <w:rPr>
                      <w:rFonts w:hint="eastAsia" w:cs="宋体"/>
                      <w:szCs w:val="21"/>
                    </w:rPr>
                    <w:t>仓顶</w:t>
                  </w:r>
                  <w:r>
                    <w:rPr>
                      <w:rFonts w:cs="宋体"/>
                      <w:szCs w:val="21"/>
                    </w:rPr>
                    <w:t>脉冲袋式除尘</w:t>
                  </w:r>
                  <w:r>
                    <w:rPr>
                      <w:rFonts w:hint="eastAsia" w:cs="宋体"/>
                      <w:szCs w:val="21"/>
                    </w:rPr>
                    <w:t>器（</w:t>
                  </w:r>
                  <w:r>
                    <w:rPr>
                      <w:rFonts w:cs="宋体"/>
                      <w:szCs w:val="21"/>
                    </w:rPr>
                    <w:t>4#</w:t>
                  </w:r>
                  <w:r>
                    <w:rPr>
                      <w:rFonts w:hint="eastAsia" w:cs="宋体"/>
                      <w:szCs w:val="21"/>
                    </w:rPr>
                    <w:t>）除尘后</w:t>
                  </w:r>
                  <w:r>
                    <w:rPr>
                      <w:rFonts w:cs="宋体"/>
                      <w:szCs w:val="21"/>
                    </w:rPr>
                    <w:t>由</w:t>
                  </w:r>
                  <w:r>
                    <w:rPr>
                      <w:rFonts w:cs="宋体"/>
                    </w:rPr>
                    <w:t>仓顶排气筒排放（排气口高度21m</w:t>
                  </w:r>
                  <w:r>
                    <w:rPr>
                      <w:rFonts w:hint="eastAsia" w:cs="宋体"/>
                    </w:rPr>
                    <w:t>，</w:t>
                  </w:r>
                  <w:r>
                    <w:rPr>
                      <w:rFonts w:hint="eastAsia" w:cs="宋体"/>
                      <w:szCs w:val="21"/>
                    </w:rPr>
                    <w:t>编号DA00</w:t>
                  </w:r>
                  <w:r>
                    <w:rPr>
                      <w:rFonts w:cs="宋体"/>
                      <w:szCs w:val="21"/>
                    </w:rPr>
                    <w:t>4</w:t>
                  </w:r>
                  <w:r>
                    <w:rPr>
                      <w:rFonts w:hint="eastAsia" w:cs="宋体"/>
                      <w:szCs w:val="21"/>
                    </w:rPr>
                    <w:t>）。</w:t>
                  </w:r>
                </w:p>
              </w:tc>
              <w:tc>
                <w:tcPr>
                  <w:tcW w:w="1097" w:type="dxa"/>
                  <w:vAlign w:val="center"/>
                </w:tcPr>
                <w:p>
                  <w:pPr>
                    <w:snapToGrid w:val="0"/>
                    <w:jc w:val="center"/>
                    <w:rPr>
                      <w:bCs/>
                      <w:szCs w:val="21"/>
                    </w:rPr>
                  </w:pPr>
                  <w:r>
                    <w:rPr>
                      <w:rFonts w:hint="eastAsia"/>
                      <w:bCs/>
                      <w:szCs w:val="21"/>
                    </w:rPr>
                    <w:t>新建</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28" w:type="dxa"/>
                  <w:left w:w="28" w:type="dxa"/>
                  <w:bottom w:w="28" w:type="dxa"/>
                  <w:right w:w="57" w:type="dxa"/>
                </w:tblCellMar>
              </w:tblPrEx>
              <w:trPr>
                <w:trHeight w:val="454" w:hRule="atLeast"/>
              </w:trPr>
              <w:tc>
                <w:tcPr>
                  <w:tcW w:w="650" w:type="dxa"/>
                  <w:vMerge w:val="continue"/>
                  <w:vAlign w:val="center"/>
                </w:tcPr>
                <w:p>
                  <w:pPr>
                    <w:pStyle w:val="50"/>
                    <w:snapToGrid w:val="0"/>
                    <w:jc w:val="center"/>
                  </w:pPr>
                </w:p>
              </w:tc>
              <w:tc>
                <w:tcPr>
                  <w:tcW w:w="1069" w:type="dxa"/>
                  <w:vMerge w:val="continue"/>
                  <w:vAlign w:val="center"/>
                </w:tcPr>
                <w:p>
                  <w:pPr>
                    <w:pStyle w:val="50"/>
                    <w:snapToGrid w:val="0"/>
                    <w:jc w:val="center"/>
                  </w:pPr>
                </w:p>
              </w:tc>
              <w:tc>
                <w:tcPr>
                  <w:tcW w:w="725" w:type="dxa"/>
                  <w:vAlign w:val="center"/>
                </w:tcPr>
                <w:p>
                  <w:pPr>
                    <w:spacing w:line="260" w:lineRule="exact"/>
                    <w:contextualSpacing/>
                    <w:jc w:val="center"/>
                    <w:rPr>
                      <w:szCs w:val="21"/>
                    </w:rPr>
                  </w:pPr>
                  <w:r>
                    <w:rPr>
                      <w:rFonts w:hint="eastAsia"/>
                      <w:szCs w:val="21"/>
                    </w:rPr>
                    <w:t>散装机</w:t>
                  </w:r>
                </w:p>
              </w:tc>
              <w:tc>
                <w:tcPr>
                  <w:tcW w:w="4394" w:type="dxa"/>
                  <w:vAlign w:val="center"/>
                </w:tcPr>
                <w:p>
                  <w:pPr>
                    <w:spacing w:line="260" w:lineRule="exact"/>
                    <w:contextualSpacing/>
                    <w:jc w:val="left"/>
                    <w:rPr>
                      <w:spacing w:val="-6"/>
                      <w:szCs w:val="21"/>
                    </w:rPr>
                  </w:pPr>
                  <w:r>
                    <w:rPr>
                      <w:spacing w:val="-6"/>
                      <w:szCs w:val="21"/>
                    </w:rPr>
                    <w:t>散装机为封闭设置，</w:t>
                  </w:r>
                  <w:r>
                    <w:rPr>
                      <w:szCs w:val="21"/>
                    </w:rPr>
                    <w:t>落料</w:t>
                  </w:r>
                  <w:r>
                    <w:rPr>
                      <w:rFonts w:hint="eastAsia"/>
                      <w:szCs w:val="21"/>
                    </w:rPr>
                    <w:t>口设置集气罩</w:t>
                  </w:r>
                  <w:r>
                    <w:rPr>
                      <w:szCs w:val="21"/>
                    </w:rPr>
                    <w:t>，</w:t>
                  </w:r>
                  <w:r>
                    <w:rPr>
                      <w:rFonts w:hint="eastAsia"/>
                      <w:szCs w:val="21"/>
                    </w:rPr>
                    <w:t>废</w:t>
                  </w:r>
                  <w:r>
                    <w:rPr>
                      <w:rFonts w:hint="eastAsia" w:cs="宋体"/>
                      <w:szCs w:val="21"/>
                    </w:rPr>
                    <w:t>气</w:t>
                  </w:r>
                  <w:r>
                    <w:rPr>
                      <w:rFonts w:cs="宋体"/>
                      <w:szCs w:val="21"/>
                    </w:rPr>
                    <w:t>通过收尘管</w:t>
                  </w:r>
                  <w:r>
                    <w:rPr>
                      <w:rFonts w:hint="eastAsia"/>
                      <w:szCs w:val="21"/>
                    </w:rPr>
                    <w:t>引入</w:t>
                  </w:r>
                  <w:r>
                    <w:rPr>
                      <w:szCs w:val="21"/>
                    </w:rPr>
                    <w:t>袋式除尘器（5#）处理后由一根15m高排气筒（DA005）排放</w:t>
                  </w:r>
                  <w:r>
                    <w:rPr>
                      <w:rFonts w:hint="eastAsia"/>
                      <w:szCs w:val="21"/>
                    </w:rPr>
                    <w:t>。</w:t>
                  </w:r>
                </w:p>
              </w:tc>
              <w:tc>
                <w:tcPr>
                  <w:tcW w:w="1097" w:type="dxa"/>
                  <w:vAlign w:val="center"/>
                </w:tcPr>
                <w:p>
                  <w:pPr>
                    <w:snapToGrid w:val="0"/>
                    <w:jc w:val="center"/>
                    <w:rPr>
                      <w:bCs/>
                      <w:szCs w:val="21"/>
                    </w:rPr>
                  </w:pPr>
                  <w:r>
                    <w:rPr>
                      <w:rFonts w:hint="eastAsia"/>
                      <w:bCs/>
                      <w:szCs w:val="21"/>
                    </w:rPr>
                    <w:t>新建</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28" w:type="dxa"/>
                  <w:left w:w="28" w:type="dxa"/>
                  <w:bottom w:w="28" w:type="dxa"/>
                  <w:right w:w="57" w:type="dxa"/>
                </w:tblCellMar>
              </w:tblPrEx>
              <w:trPr>
                <w:trHeight w:val="454" w:hRule="atLeast"/>
              </w:trPr>
              <w:tc>
                <w:tcPr>
                  <w:tcW w:w="650" w:type="dxa"/>
                  <w:vMerge w:val="continue"/>
                  <w:vAlign w:val="center"/>
                </w:tcPr>
                <w:p>
                  <w:pPr>
                    <w:pStyle w:val="50"/>
                    <w:snapToGrid w:val="0"/>
                    <w:jc w:val="center"/>
                  </w:pPr>
                </w:p>
              </w:tc>
              <w:tc>
                <w:tcPr>
                  <w:tcW w:w="1069" w:type="dxa"/>
                  <w:vMerge w:val="continue"/>
                  <w:vAlign w:val="center"/>
                </w:tcPr>
                <w:p>
                  <w:pPr>
                    <w:pStyle w:val="50"/>
                    <w:snapToGrid w:val="0"/>
                    <w:jc w:val="center"/>
                  </w:pPr>
                </w:p>
              </w:tc>
              <w:tc>
                <w:tcPr>
                  <w:tcW w:w="725" w:type="dxa"/>
                  <w:vAlign w:val="center"/>
                </w:tcPr>
                <w:p>
                  <w:pPr>
                    <w:spacing w:line="260" w:lineRule="exact"/>
                    <w:contextualSpacing/>
                    <w:jc w:val="center"/>
                    <w:rPr>
                      <w:szCs w:val="21"/>
                    </w:rPr>
                  </w:pPr>
                  <w:r>
                    <w:rPr>
                      <w:rFonts w:hint="eastAsia"/>
                      <w:szCs w:val="21"/>
                    </w:rPr>
                    <w:t>无</w:t>
                  </w:r>
                  <w:r>
                    <w:rPr>
                      <w:szCs w:val="21"/>
                    </w:rPr>
                    <w:t>组织粉尘</w:t>
                  </w:r>
                  <w:r>
                    <w:rPr>
                      <w:rFonts w:hint="eastAsia"/>
                      <w:szCs w:val="21"/>
                    </w:rPr>
                    <w:t>、</w:t>
                  </w:r>
                  <w:r>
                    <w:rPr>
                      <w:rFonts w:hint="eastAsia" w:ascii="宋体" w:hAnsi="宋体" w:cs="宋体"/>
                      <w:szCs w:val="21"/>
                    </w:rPr>
                    <w:t>车间、厂区</w:t>
                  </w:r>
                </w:p>
              </w:tc>
              <w:tc>
                <w:tcPr>
                  <w:tcW w:w="4394" w:type="dxa"/>
                  <w:vAlign w:val="center"/>
                </w:tcPr>
                <w:p>
                  <w:pPr>
                    <w:pStyle w:val="50"/>
                    <w:snapToGrid w:val="0"/>
                    <w:jc w:val="left"/>
                  </w:pPr>
                  <w:r>
                    <w:rPr>
                      <w:rFonts w:hint="eastAsia"/>
                      <w:spacing w:val="-8"/>
                    </w:rPr>
                    <w:t>分选机、粉磨</w:t>
                  </w:r>
                  <w:r>
                    <w:rPr>
                      <w:spacing w:val="-8"/>
                    </w:rPr>
                    <w:t>机等</w:t>
                  </w:r>
                  <w:r>
                    <w:rPr>
                      <w:rFonts w:hint="eastAsia"/>
                      <w:spacing w:val="-8"/>
                    </w:rPr>
                    <w:t>设备安装在全封闭的生产车间内，厂区闲置裸露空地绿化，道路</w:t>
                  </w:r>
                  <w:r>
                    <w:rPr>
                      <w:spacing w:val="-8"/>
                    </w:rPr>
                    <w:t>全部硬化，</w:t>
                  </w:r>
                  <w:r>
                    <w:rPr>
                      <w:rFonts w:hint="eastAsia"/>
                      <w:spacing w:val="-8"/>
                    </w:rPr>
                    <w:t>无裸露空地，出厂门口配备高压清洗装置，设置洒水装置，车间设置干雾</w:t>
                  </w:r>
                  <w:r>
                    <w:rPr>
                      <w:spacing w:val="-8"/>
                    </w:rPr>
                    <w:t>抑尘装置，</w:t>
                  </w:r>
                  <w:r>
                    <w:rPr>
                      <w:rFonts w:hint="eastAsia"/>
                      <w:spacing w:val="-8"/>
                    </w:rPr>
                    <w:t>厂区定期进行洒水降尘。</w:t>
                  </w:r>
                </w:p>
              </w:tc>
              <w:tc>
                <w:tcPr>
                  <w:tcW w:w="1097" w:type="dxa"/>
                  <w:vAlign w:val="center"/>
                </w:tcPr>
                <w:p>
                  <w:pPr>
                    <w:snapToGrid w:val="0"/>
                    <w:jc w:val="center"/>
                    <w:rPr>
                      <w:bCs/>
                      <w:szCs w:val="21"/>
                    </w:rPr>
                  </w:pPr>
                  <w:r>
                    <w:rPr>
                      <w:rFonts w:hint="eastAsia"/>
                      <w:bCs/>
                    </w:rPr>
                    <w:t>新建</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28" w:type="dxa"/>
                  <w:left w:w="28" w:type="dxa"/>
                  <w:bottom w:w="28" w:type="dxa"/>
                  <w:right w:w="57" w:type="dxa"/>
                </w:tblCellMar>
              </w:tblPrEx>
              <w:trPr>
                <w:trHeight w:val="614" w:hRule="atLeast"/>
              </w:trPr>
              <w:tc>
                <w:tcPr>
                  <w:tcW w:w="650" w:type="dxa"/>
                  <w:vMerge w:val="continue"/>
                  <w:vAlign w:val="center"/>
                </w:tcPr>
                <w:p>
                  <w:pPr>
                    <w:pStyle w:val="50"/>
                    <w:snapToGrid w:val="0"/>
                    <w:jc w:val="center"/>
                  </w:pPr>
                </w:p>
              </w:tc>
              <w:tc>
                <w:tcPr>
                  <w:tcW w:w="1069" w:type="dxa"/>
                  <w:vAlign w:val="center"/>
                </w:tcPr>
                <w:p>
                  <w:pPr>
                    <w:pStyle w:val="50"/>
                    <w:snapToGrid w:val="0"/>
                    <w:jc w:val="center"/>
                  </w:pPr>
                  <w:r>
                    <w:rPr>
                      <w:rFonts w:hint="eastAsia"/>
                    </w:rPr>
                    <w:t>废水</w:t>
                  </w:r>
                </w:p>
              </w:tc>
              <w:tc>
                <w:tcPr>
                  <w:tcW w:w="725" w:type="dxa"/>
                  <w:vAlign w:val="center"/>
                </w:tcPr>
                <w:p>
                  <w:pPr>
                    <w:spacing w:line="260" w:lineRule="exact"/>
                    <w:contextualSpacing/>
                    <w:jc w:val="center"/>
                    <w:rPr>
                      <w:szCs w:val="21"/>
                    </w:rPr>
                  </w:pPr>
                  <w:r>
                    <w:rPr>
                      <w:rFonts w:hint="eastAsia"/>
                      <w:szCs w:val="21"/>
                    </w:rPr>
                    <w:t>生活污水</w:t>
                  </w:r>
                </w:p>
              </w:tc>
              <w:tc>
                <w:tcPr>
                  <w:tcW w:w="4394" w:type="dxa"/>
                  <w:vAlign w:val="center"/>
                </w:tcPr>
                <w:p>
                  <w:pPr>
                    <w:spacing w:line="260" w:lineRule="exact"/>
                    <w:contextualSpacing/>
                    <w:jc w:val="left"/>
                    <w:rPr>
                      <w:szCs w:val="21"/>
                    </w:rPr>
                  </w:pPr>
                  <w:r>
                    <w:rPr>
                      <w:rFonts w:hint="eastAsia"/>
                      <w:szCs w:val="21"/>
                    </w:rPr>
                    <w:t>新建1座旱厕</w:t>
                  </w:r>
                  <w:r>
                    <w:rPr>
                      <w:szCs w:val="21"/>
                    </w:rPr>
                    <w:t>，生活污水经</w:t>
                  </w:r>
                  <w:r>
                    <w:rPr>
                      <w:rFonts w:hint="eastAsia"/>
                      <w:szCs w:val="21"/>
                    </w:rPr>
                    <w:t>化粪池（新建</w:t>
                  </w:r>
                  <w:r>
                    <w:rPr>
                      <w:szCs w:val="21"/>
                    </w:rPr>
                    <w:t>，6</w:t>
                  </w:r>
                  <w:r>
                    <w:rPr>
                      <w:rFonts w:hint="eastAsia"/>
                      <w:szCs w:val="21"/>
                    </w:rPr>
                    <w:t>m</w:t>
                  </w:r>
                  <w:r>
                    <w:rPr>
                      <w:rFonts w:hint="eastAsia"/>
                      <w:szCs w:val="21"/>
                      <w:vertAlign w:val="superscript"/>
                    </w:rPr>
                    <w:t>3</w:t>
                  </w:r>
                  <w:r>
                    <w:rPr>
                      <w:rFonts w:hint="eastAsia"/>
                      <w:szCs w:val="21"/>
                    </w:rPr>
                    <w:t>）处理后，定期由吸粪车运至周边农田</w:t>
                  </w:r>
                  <w:r>
                    <w:rPr>
                      <w:szCs w:val="21"/>
                    </w:rPr>
                    <w:t>施肥</w:t>
                  </w:r>
                  <w:r>
                    <w:rPr>
                      <w:rFonts w:hint="eastAsia"/>
                      <w:szCs w:val="21"/>
                    </w:rPr>
                    <w:t>利用。</w:t>
                  </w:r>
                </w:p>
              </w:tc>
              <w:tc>
                <w:tcPr>
                  <w:tcW w:w="1097" w:type="dxa"/>
                  <w:vAlign w:val="center"/>
                </w:tcPr>
                <w:p>
                  <w:pPr>
                    <w:pStyle w:val="50"/>
                    <w:snapToGrid w:val="0"/>
                    <w:jc w:val="center"/>
                  </w:pPr>
                  <w:r>
                    <w:rPr>
                      <w:rFonts w:hint="eastAsia"/>
                      <w:bCs/>
                    </w:rPr>
                    <w:t>新建</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28" w:type="dxa"/>
                  <w:left w:w="28" w:type="dxa"/>
                  <w:bottom w:w="28" w:type="dxa"/>
                  <w:right w:w="57" w:type="dxa"/>
                </w:tblCellMar>
              </w:tblPrEx>
              <w:trPr>
                <w:trHeight w:val="454" w:hRule="atLeast"/>
              </w:trPr>
              <w:tc>
                <w:tcPr>
                  <w:tcW w:w="650" w:type="dxa"/>
                  <w:vMerge w:val="continue"/>
                  <w:vAlign w:val="center"/>
                </w:tcPr>
                <w:p>
                  <w:pPr>
                    <w:pStyle w:val="50"/>
                    <w:snapToGrid w:val="0"/>
                    <w:jc w:val="center"/>
                  </w:pPr>
                </w:p>
              </w:tc>
              <w:tc>
                <w:tcPr>
                  <w:tcW w:w="1069" w:type="dxa"/>
                  <w:vMerge w:val="restart"/>
                  <w:vAlign w:val="center"/>
                </w:tcPr>
                <w:p>
                  <w:pPr>
                    <w:pStyle w:val="50"/>
                    <w:snapToGrid w:val="0"/>
                    <w:jc w:val="center"/>
                  </w:pPr>
                  <w:r>
                    <w:rPr>
                      <w:rFonts w:hint="eastAsia"/>
                    </w:rPr>
                    <w:t>固体</w:t>
                  </w:r>
                </w:p>
                <w:p>
                  <w:pPr>
                    <w:pStyle w:val="50"/>
                    <w:snapToGrid w:val="0"/>
                    <w:jc w:val="center"/>
                    <w:rPr>
                      <w:highlight w:val="yellow"/>
                    </w:rPr>
                  </w:pPr>
                  <w:r>
                    <w:rPr>
                      <w:rFonts w:hint="eastAsia"/>
                    </w:rPr>
                    <w:t>废物</w:t>
                  </w:r>
                </w:p>
              </w:tc>
              <w:tc>
                <w:tcPr>
                  <w:tcW w:w="725" w:type="dxa"/>
                  <w:vAlign w:val="center"/>
                </w:tcPr>
                <w:p>
                  <w:pPr>
                    <w:pStyle w:val="77"/>
                    <w:spacing w:line="280" w:lineRule="exact"/>
                    <w:rPr>
                      <w:rFonts w:ascii="宋体" w:hAnsi="宋体" w:cs="宋体"/>
                      <w:spacing w:val="-12"/>
                      <w:szCs w:val="21"/>
                    </w:rPr>
                  </w:pPr>
                  <w:r>
                    <w:rPr>
                      <w:rFonts w:hint="eastAsia" w:ascii="宋体" w:hAnsi="宋体" w:cs="宋体"/>
                      <w:spacing w:val="-12"/>
                      <w:szCs w:val="21"/>
                    </w:rPr>
                    <w:t>除尘粉尘</w:t>
                  </w:r>
                </w:p>
              </w:tc>
              <w:tc>
                <w:tcPr>
                  <w:tcW w:w="4394" w:type="dxa"/>
                  <w:vAlign w:val="center"/>
                </w:tcPr>
                <w:p>
                  <w:pPr>
                    <w:pStyle w:val="77"/>
                    <w:spacing w:line="280" w:lineRule="exact"/>
                    <w:rPr>
                      <w:rFonts w:ascii="宋体" w:hAnsi="宋体" w:cs="宋体"/>
                      <w:szCs w:val="21"/>
                    </w:rPr>
                  </w:pPr>
                  <w:r>
                    <w:rPr>
                      <w:rFonts w:hint="eastAsia" w:ascii="宋体" w:hAnsi="宋体" w:cs="宋体"/>
                      <w:szCs w:val="21"/>
                    </w:rPr>
                    <w:t>收集后作为产品</w:t>
                  </w:r>
                </w:p>
              </w:tc>
              <w:tc>
                <w:tcPr>
                  <w:tcW w:w="1097" w:type="dxa"/>
                  <w:vAlign w:val="center"/>
                </w:tcPr>
                <w:p>
                  <w:pPr>
                    <w:pStyle w:val="50"/>
                    <w:snapToGrid w:val="0"/>
                    <w:jc w:val="center"/>
                  </w:pPr>
                  <w:r>
                    <w:rPr>
                      <w:rFonts w:hint="eastAsia"/>
                      <w:bCs/>
                    </w:rPr>
                    <w:t>新建</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28" w:type="dxa"/>
                  <w:left w:w="28" w:type="dxa"/>
                  <w:bottom w:w="28" w:type="dxa"/>
                  <w:right w:w="57" w:type="dxa"/>
                </w:tblCellMar>
              </w:tblPrEx>
              <w:trPr>
                <w:trHeight w:val="454" w:hRule="atLeast"/>
              </w:trPr>
              <w:tc>
                <w:tcPr>
                  <w:tcW w:w="650" w:type="dxa"/>
                  <w:vMerge w:val="continue"/>
                  <w:vAlign w:val="center"/>
                </w:tcPr>
                <w:p>
                  <w:pPr>
                    <w:pStyle w:val="50"/>
                    <w:snapToGrid w:val="0"/>
                    <w:jc w:val="center"/>
                  </w:pPr>
                </w:p>
              </w:tc>
              <w:tc>
                <w:tcPr>
                  <w:tcW w:w="1069" w:type="dxa"/>
                  <w:vMerge w:val="continue"/>
                  <w:vAlign w:val="center"/>
                </w:tcPr>
                <w:p>
                  <w:pPr>
                    <w:pStyle w:val="50"/>
                    <w:snapToGrid w:val="0"/>
                    <w:jc w:val="center"/>
                  </w:pPr>
                </w:p>
              </w:tc>
              <w:tc>
                <w:tcPr>
                  <w:tcW w:w="725" w:type="dxa"/>
                  <w:vAlign w:val="center"/>
                </w:tcPr>
                <w:p>
                  <w:pPr>
                    <w:pStyle w:val="77"/>
                    <w:spacing w:line="280" w:lineRule="exact"/>
                    <w:rPr>
                      <w:rFonts w:ascii="宋体" w:hAnsi="宋体" w:cs="宋体"/>
                      <w:spacing w:val="-12"/>
                      <w:szCs w:val="21"/>
                    </w:rPr>
                  </w:pPr>
                  <w:r>
                    <w:rPr>
                      <w:rFonts w:hint="eastAsia" w:ascii="宋体" w:hAnsi="宋体" w:cs="宋体"/>
                      <w:spacing w:val="-12"/>
                      <w:szCs w:val="21"/>
                    </w:rPr>
                    <w:t>车辆冲洗沉淀池</w:t>
                  </w:r>
                  <w:r>
                    <w:rPr>
                      <w:rFonts w:ascii="宋体" w:hAnsi="宋体" w:cs="宋体"/>
                      <w:spacing w:val="-12"/>
                      <w:szCs w:val="21"/>
                    </w:rPr>
                    <w:t>沉渣</w:t>
                  </w:r>
                </w:p>
              </w:tc>
              <w:tc>
                <w:tcPr>
                  <w:tcW w:w="4394" w:type="dxa"/>
                  <w:vAlign w:val="center"/>
                </w:tcPr>
                <w:p>
                  <w:pPr>
                    <w:pStyle w:val="77"/>
                    <w:spacing w:line="280" w:lineRule="exact"/>
                    <w:rPr>
                      <w:rFonts w:ascii="宋体" w:hAnsi="宋体" w:cs="宋体"/>
                      <w:szCs w:val="21"/>
                    </w:rPr>
                  </w:pPr>
                  <w:r>
                    <w:rPr>
                      <w:rFonts w:hint="eastAsia" w:ascii="宋体" w:hAnsi="宋体" w:cs="宋体"/>
                      <w:szCs w:val="21"/>
                    </w:rPr>
                    <w:t>清掏</w:t>
                  </w:r>
                  <w:r>
                    <w:rPr>
                      <w:rFonts w:ascii="宋体" w:hAnsi="宋体" w:cs="宋体"/>
                      <w:szCs w:val="21"/>
                    </w:rPr>
                    <w:t>后</w:t>
                  </w:r>
                  <w:r>
                    <w:rPr>
                      <w:rFonts w:hint="eastAsia" w:ascii="宋体" w:hAnsi="宋体" w:cs="宋体"/>
                      <w:szCs w:val="21"/>
                    </w:rPr>
                    <w:t>可</w:t>
                  </w:r>
                  <w:r>
                    <w:rPr>
                      <w:rFonts w:ascii="宋体" w:hAnsi="宋体" w:cs="宋体"/>
                      <w:szCs w:val="21"/>
                    </w:rPr>
                    <w:t>作为绿化用土</w:t>
                  </w:r>
                </w:p>
              </w:tc>
              <w:tc>
                <w:tcPr>
                  <w:tcW w:w="1097" w:type="dxa"/>
                  <w:vAlign w:val="center"/>
                </w:tcPr>
                <w:p>
                  <w:pPr>
                    <w:pStyle w:val="50"/>
                    <w:snapToGrid w:val="0"/>
                    <w:jc w:val="center"/>
                    <w:rPr>
                      <w:bCs/>
                    </w:rPr>
                  </w:pPr>
                  <w:r>
                    <w:rPr>
                      <w:rFonts w:hint="eastAsia"/>
                      <w:bCs/>
                    </w:rPr>
                    <w:t>新建</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28" w:type="dxa"/>
                  <w:left w:w="28" w:type="dxa"/>
                  <w:bottom w:w="28" w:type="dxa"/>
                  <w:right w:w="57" w:type="dxa"/>
                </w:tblCellMar>
              </w:tblPrEx>
              <w:trPr>
                <w:trHeight w:val="454" w:hRule="atLeast"/>
              </w:trPr>
              <w:tc>
                <w:tcPr>
                  <w:tcW w:w="650" w:type="dxa"/>
                  <w:vMerge w:val="continue"/>
                  <w:vAlign w:val="center"/>
                </w:tcPr>
                <w:p>
                  <w:pPr>
                    <w:pStyle w:val="50"/>
                    <w:snapToGrid w:val="0"/>
                    <w:jc w:val="center"/>
                  </w:pPr>
                </w:p>
              </w:tc>
              <w:tc>
                <w:tcPr>
                  <w:tcW w:w="1069" w:type="dxa"/>
                  <w:vMerge w:val="continue"/>
                  <w:vAlign w:val="center"/>
                </w:tcPr>
                <w:p>
                  <w:pPr>
                    <w:pStyle w:val="50"/>
                    <w:snapToGrid w:val="0"/>
                    <w:jc w:val="center"/>
                  </w:pPr>
                </w:p>
              </w:tc>
              <w:tc>
                <w:tcPr>
                  <w:tcW w:w="725" w:type="dxa"/>
                  <w:vAlign w:val="center"/>
                </w:tcPr>
                <w:p>
                  <w:pPr>
                    <w:spacing w:line="260" w:lineRule="exact"/>
                    <w:contextualSpacing/>
                    <w:jc w:val="center"/>
                    <w:rPr>
                      <w:szCs w:val="21"/>
                    </w:rPr>
                  </w:pPr>
                  <w:r>
                    <w:rPr>
                      <w:rFonts w:hint="eastAsia"/>
                      <w:szCs w:val="21"/>
                    </w:rPr>
                    <w:t>生活垃圾</w:t>
                  </w:r>
                </w:p>
              </w:tc>
              <w:tc>
                <w:tcPr>
                  <w:tcW w:w="4394" w:type="dxa"/>
                  <w:vAlign w:val="center"/>
                </w:tcPr>
                <w:p>
                  <w:pPr>
                    <w:spacing w:line="260" w:lineRule="exact"/>
                    <w:contextualSpacing/>
                    <w:jc w:val="left"/>
                    <w:rPr>
                      <w:szCs w:val="21"/>
                    </w:rPr>
                  </w:pPr>
                  <w:r>
                    <w:rPr>
                      <w:rFonts w:hint="eastAsia" w:ascii="宋体" w:hAnsi="宋体" w:cs="宋体"/>
                      <w:szCs w:val="21"/>
                    </w:rPr>
                    <w:t>厂区设置生活垃圾收集桶若干，生活垃圾定期交由环卫部门统一处置</w:t>
                  </w:r>
                </w:p>
              </w:tc>
              <w:tc>
                <w:tcPr>
                  <w:tcW w:w="1097" w:type="dxa"/>
                  <w:vAlign w:val="center"/>
                </w:tcPr>
                <w:p>
                  <w:pPr>
                    <w:pStyle w:val="50"/>
                    <w:snapToGrid w:val="0"/>
                    <w:jc w:val="center"/>
                  </w:pPr>
                  <w:r>
                    <w:rPr>
                      <w:rFonts w:hint="eastAsia"/>
                      <w:bCs/>
                    </w:rPr>
                    <w:t>新建</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28" w:type="dxa"/>
                  <w:left w:w="28" w:type="dxa"/>
                  <w:bottom w:w="28" w:type="dxa"/>
                  <w:right w:w="57" w:type="dxa"/>
                </w:tblCellMar>
              </w:tblPrEx>
              <w:trPr>
                <w:trHeight w:val="454" w:hRule="atLeast"/>
              </w:trPr>
              <w:tc>
                <w:tcPr>
                  <w:tcW w:w="650" w:type="dxa"/>
                  <w:vMerge w:val="continue"/>
                  <w:vAlign w:val="center"/>
                </w:tcPr>
                <w:p>
                  <w:pPr>
                    <w:pStyle w:val="50"/>
                    <w:snapToGrid w:val="0"/>
                    <w:jc w:val="center"/>
                  </w:pPr>
                </w:p>
              </w:tc>
              <w:tc>
                <w:tcPr>
                  <w:tcW w:w="1069" w:type="dxa"/>
                  <w:vMerge w:val="continue"/>
                  <w:vAlign w:val="center"/>
                </w:tcPr>
                <w:p>
                  <w:pPr>
                    <w:pStyle w:val="50"/>
                    <w:snapToGrid w:val="0"/>
                    <w:jc w:val="center"/>
                  </w:pPr>
                </w:p>
              </w:tc>
              <w:tc>
                <w:tcPr>
                  <w:tcW w:w="725" w:type="dxa"/>
                  <w:vAlign w:val="center"/>
                </w:tcPr>
                <w:p>
                  <w:pPr>
                    <w:spacing w:line="260" w:lineRule="exact"/>
                    <w:contextualSpacing/>
                    <w:jc w:val="center"/>
                    <w:rPr>
                      <w:szCs w:val="21"/>
                    </w:rPr>
                  </w:pPr>
                  <w:r>
                    <w:rPr>
                      <w:rFonts w:hint="eastAsia"/>
                      <w:szCs w:val="21"/>
                    </w:rPr>
                    <w:t>废润滑油</w:t>
                  </w:r>
                </w:p>
              </w:tc>
              <w:tc>
                <w:tcPr>
                  <w:tcW w:w="4394" w:type="dxa"/>
                  <w:vAlign w:val="center"/>
                </w:tcPr>
                <w:p>
                  <w:pPr>
                    <w:spacing w:line="260" w:lineRule="exact"/>
                    <w:contextualSpacing/>
                    <w:jc w:val="left"/>
                    <w:rPr>
                      <w:szCs w:val="21"/>
                    </w:rPr>
                  </w:pPr>
                  <w:r>
                    <w:rPr>
                      <w:rFonts w:hint="eastAsia"/>
                      <w:bCs/>
                      <w:szCs w:val="21"/>
                    </w:rPr>
                    <w:t>装入</w:t>
                  </w:r>
                  <w:r>
                    <w:rPr>
                      <w:bCs/>
                      <w:szCs w:val="21"/>
                    </w:rPr>
                    <w:t>密闭</w:t>
                  </w:r>
                  <w:r>
                    <w:rPr>
                      <w:rFonts w:hint="eastAsia"/>
                      <w:bCs/>
                      <w:szCs w:val="21"/>
                    </w:rPr>
                    <w:t>容器</w:t>
                  </w:r>
                  <w:r>
                    <w:rPr>
                      <w:bCs/>
                      <w:szCs w:val="21"/>
                    </w:rPr>
                    <w:t>，并设置防渗漏底座，之后</w:t>
                  </w:r>
                  <w:r>
                    <w:rPr>
                      <w:rFonts w:hint="eastAsia"/>
                      <w:bCs/>
                      <w:szCs w:val="21"/>
                    </w:rPr>
                    <w:t>在</w:t>
                  </w:r>
                  <w:r>
                    <w:rPr>
                      <w:bCs/>
                      <w:szCs w:val="21"/>
                    </w:rPr>
                    <w:t>厂内危险废物暂存间暂存后（6m</w:t>
                  </w:r>
                  <w:r>
                    <w:rPr>
                      <w:bCs/>
                      <w:szCs w:val="21"/>
                      <w:vertAlign w:val="superscript"/>
                    </w:rPr>
                    <w:t>2</w:t>
                  </w:r>
                  <w:r>
                    <w:rPr>
                      <w:bCs/>
                      <w:szCs w:val="21"/>
                    </w:rPr>
                    <w:t>），定期交有资质的危险废物处置单位处理</w:t>
                  </w:r>
                </w:p>
              </w:tc>
              <w:tc>
                <w:tcPr>
                  <w:tcW w:w="1097" w:type="dxa"/>
                  <w:vAlign w:val="center"/>
                </w:tcPr>
                <w:p>
                  <w:pPr>
                    <w:pStyle w:val="50"/>
                    <w:snapToGrid w:val="0"/>
                    <w:jc w:val="center"/>
                  </w:pPr>
                  <w:r>
                    <w:rPr>
                      <w:rFonts w:hint="eastAsia"/>
                      <w:bCs/>
                    </w:rPr>
                    <w:t>新建</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28" w:type="dxa"/>
                  <w:left w:w="28" w:type="dxa"/>
                  <w:bottom w:w="28" w:type="dxa"/>
                  <w:right w:w="57" w:type="dxa"/>
                </w:tblCellMar>
              </w:tblPrEx>
              <w:trPr>
                <w:trHeight w:val="454" w:hRule="atLeast"/>
              </w:trPr>
              <w:tc>
                <w:tcPr>
                  <w:tcW w:w="650" w:type="dxa"/>
                  <w:vMerge w:val="continue"/>
                  <w:vAlign w:val="center"/>
                </w:tcPr>
                <w:p>
                  <w:pPr>
                    <w:pStyle w:val="50"/>
                    <w:snapToGrid w:val="0"/>
                    <w:jc w:val="center"/>
                  </w:pPr>
                </w:p>
              </w:tc>
              <w:tc>
                <w:tcPr>
                  <w:tcW w:w="1069" w:type="dxa"/>
                  <w:vAlign w:val="center"/>
                </w:tcPr>
                <w:p>
                  <w:pPr>
                    <w:pStyle w:val="50"/>
                    <w:snapToGrid w:val="0"/>
                    <w:jc w:val="center"/>
                  </w:pPr>
                  <w:r>
                    <w:rPr>
                      <w:rFonts w:hint="eastAsia"/>
                    </w:rPr>
                    <w:t>噪声</w:t>
                  </w:r>
                </w:p>
              </w:tc>
              <w:tc>
                <w:tcPr>
                  <w:tcW w:w="5119" w:type="dxa"/>
                  <w:gridSpan w:val="2"/>
                  <w:vAlign w:val="center"/>
                </w:tcPr>
                <w:p>
                  <w:pPr>
                    <w:pStyle w:val="50"/>
                    <w:snapToGrid w:val="0"/>
                    <w:jc w:val="center"/>
                  </w:pPr>
                  <w:r>
                    <w:t>基础减</w:t>
                  </w:r>
                  <w:r>
                    <w:rPr>
                      <w:rFonts w:hint="eastAsia"/>
                    </w:rPr>
                    <w:t>振</w:t>
                  </w:r>
                  <w:r>
                    <w:t>、厂房隔音</w:t>
                  </w:r>
                  <w:r>
                    <w:rPr>
                      <w:rFonts w:hint="eastAsia"/>
                    </w:rPr>
                    <w:t>、距离衰减</w:t>
                  </w:r>
                  <w:r>
                    <w:t>等</w:t>
                  </w:r>
                </w:p>
              </w:tc>
              <w:tc>
                <w:tcPr>
                  <w:tcW w:w="1097" w:type="dxa"/>
                  <w:vAlign w:val="center"/>
                </w:tcPr>
                <w:p>
                  <w:pPr>
                    <w:pStyle w:val="50"/>
                    <w:snapToGrid w:val="0"/>
                    <w:jc w:val="center"/>
                  </w:pPr>
                  <w:r>
                    <w:rPr>
                      <w:rFonts w:hint="eastAsia"/>
                      <w:bCs/>
                    </w:rPr>
                    <w:t>新建</w:t>
                  </w:r>
                </w:p>
              </w:tc>
            </w:tr>
          </w:tbl>
          <w:p>
            <w:pPr>
              <w:autoSpaceDE w:val="0"/>
              <w:autoSpaceDN w:val="0"/>
              <w:adjustRightInd w:val="0"/>
              <w:snapToGrid w:val="0"/>
              <w:spacing w:line="120" w:lineRule="exact"/>
              <w:ind w:firstLine="482" w:firstLineChars="200"/>
              <w:rPr>
                <w:rFonts w:cs="宋体"/>
                <w:b/>
                <w:bCs/>
                <w:kern w:val="0"/>
                <w:sz w:val="24"/>
              </w:rPr>
            </w:pPr>
          </w:p>
          <w:p>
            <w:pPr>
              <w:autoSpaceDE w:val="0"/>
              <w:autoSpaceDN w:val="0"/>
              <w:adjustRightInd w:val="0"/>
              <w:snapToGrid w:val="0"/>
              <w:spacing w:line="400" w:lineRule="exact"/>
              <w:ind w:firstLine="720" w:firstLineChars="300"/>
              <w:rPr>
                <w:rFonts w:eastAsia="黑体"/>
                <w:sz w:val="24"/>
                <w:szCs w:val="22"/>
              </w:rPr>
            </w:pPr>
            <w:r>
              <w:rPr>
                <w:rFonts w:eastAsia="黑体"/>
                <w:sz w:val="24"/>
                <w:szCs w:val="22"/>
              </w:rPr>
              <w:t>表</w:t>
            </w:r>
            <w:r>
              <w:rPr>
                <w:rFonts w:hint="eastAsia" w:eastAsia="黑体"/>
                <w:sz w:val="24"/>
                <w:szCs w:val="22"/>
              </w:rPr>
              <w:t>9</w:t>
            </w:r>
            <w:r>
              <w:rPr>
                <w:rFonts w:eastAsia="黑体"/>
                <w:sz w:val="24"/>
                <w:szCs w:val="22"/>
              </w:rPr>
              <w:t xml:space="preserve">          本项目与</w:t>
            </w:r>
            <w:r>
              <w:rPr>
                <w:rFonts w:hint="eastAsia" w:eastAsia="黑体"/>
                <w:sz w:val="24"/>
                <w:szCs w:val="22"/>
              </w:rPr>
              <w:t>远宏炭素厂</w:t>
            </w:r>
            <w:r>
              <w:rPr>
                <w:rFonts w:eastAsia="黑体"/>
                <w:sz w:val="24"/>
                <w:szCs w:val="22"/>
              </w:rPr>
              <w:t>依托关系一览表</w:t>
            </w:r>
          </w:p>
          <w:tbl>
            <w:tblPr>
              <w:tblStyle w:val="22"/>
              <w:tblW w:w="7962" w:type="dxa"/>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11" w:type="dxa"/>
                <w:left w:w="28" w:type="dxa"/>
                <w:bottom w:w="28" w:type="dxa"/>
                <w:right w:w="28" w:type="dxa"/>
              </w:tblCellMar>
            </w:tblPr>
            <w:tblGrid>
              <w:gridCol w:w="610"/>
              <w:gridCol w:w="545"/>
              <w:gridCol w:w="691"/>
              <w:gridCol w:w="2311"/>
              <w:gridCol w:w="3090"/>
              <w:gridCol w:w="715"/>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11" w:type="dxa"/>
                  <w:left w:w="28" w:type="dxa"/>
                  <w:bottom w:w="28" w:type="dxa"/>
                  <w:right w:w="28" w:type="dxa"/>
                </w:tblCellMar>
              </w:tblPrEx>
              <w:trPr>
                <w:trHeight w:val="534" w:hRule="atLeast"/>
                <w:jc w:val="center"/>
              </w:trPr>
              <w:tc>
                <w:tcPr>
                  <w:tcW w:w="610" w:type="dxa"/>
                  <w:vAlign w:val="center"/>
                </w:tcPr>
                <w:p>
                  <w:pPr>
                    <w:widowControl/>
                    <w:spacing w:line="240" w:lineRule="exact"/>
                    <w:jc w:val="center"/>
                    <w:rPr>
                      <w:rFonts w:hAnsi="宋体"/>
                      <w:szCs w:val="21"/>
                    </w:rPr>
                  </w:pPr>
                  <w:r>
                    <w:rPr>
                      <w:rFonts w:hint="eastAsia" w:hAnsi="宋体"/>
                      <w:szCs w:val="21"/>
                    </w:rPr>
                    <w:t>序</w:t>
                  </w:r>
                </w:p>
                <w:p>
                  <w:pPr>
                    <w:widowControl/>
                    <w:spacing w:line="240" w:lineRule="exact"/>
                    <w:jc w:val="center"/>
                    <w:rPr>
                      <w:szCs w:val="21"/>
                    </w:rPr>
                  </w:pPr>
                  <w:r>
                    <w:rPr>
                      <w:rFonts w:hint="eastAsia" w:hAnsi="宋体"/>
                      <w:szCs w:val="21"/>
                    </w:rPr>
                    <w:t>号</w:t>
                  </w:r>
                </w:p>
              </w:tc>
              <w:tc>
                <w:tcPr>
                  <w:tcW w:w="1236" w:type="dxa"/>
                  <w:gridSpan w:val="2"/>
                  <w:vAlign w:val="center"/>
                </w:tcPr>
                <w:p>
                  <w:pPr>
                    <w:widowControl/>
                    <w:spacing w:line="240" w:lineRule="exact"/>
                    <w:jc w:val="center"/>
                    <w:rPr>
                      <w:szCs w:val="21"/>
                    </w:rPr>
                  </w:pPr>
                  <w:r>
                    <w:rPr>
                      <w:rFonts w:hint="eastAsia" w:hAnsi="宋体"/>
                      <w:szCs w:val="21"/>
                    </w:rPr>
                    <w:t>项目</w:t>
                  </w:r>
                </w:p>
              </w:tc>
              <w:tc>
                <w:tcPr>
                  <w:tcW w:w="2311" w:type="dxa"/>
                  <w:vAlign w:val="center"/>
                </w:tcPr>
                <w:p>
                  <w:pPr>
                    <w:widowControl/>
                    <w:spacing w:line="240" w:lineRule="exact"/>
                    <w:jc w:val="center"/>
                    <w:rPr>
                      <w:szCs w:val="21"/>
                    </w:rPr>
                  </w:pPr>
                  <w:r>
                    <w:rPr>
                      <w:rFonts w:hint="eastAsia"/>
                      <w:szCs w:val="21"/>
                    </w:rPr>
                    <w:t>远宏炭素厂</w:t>
                  </w:r>
                </w:p>
              </w:tc>
              <w:tc>
                <w:tcPr>
                  <w:tcW w:w="3090" w:type="dxa"/>
                  <w:vAlign w:val="center"/>
                </w:tcPr>
                <w:p>
                  <w:pPr>
                    <w:widowControl/>
                    <w:spacing w:line="240" w:lineRule="exact"/>
                    <w:jc w:val="center"/>
                    <w:rPr>
                      <w:szCs w:val="21"/>
                    </w:rPr>
                  </w:pPr>
                  <w:r>
                    <w:rPr>
                      <w:rFonts w:hint="eastAsia"/>
                      <w:szCs w:val="21"/>
                    </w:rPr>
                    <w:t>本项目</w:t>
                  </w:r>
                </w:p>
              </w:tc>
              <w:tc>
                <w:tcPr>
                  <w:tcW w:w="715" w:type="dxa"/>
                  <w:vAlign w:val="center"/>
                </w:tcPr>
                <w:p>
                  <w:pPr>
                    <w:widowControl/>
                    <w:spacing w:line="240" w:lineRule="exact"/>
                    <w:jc w:val="center"/>
                    <w:rPr>
                      <w:szCs w:val="21"/>
                    </w:rPr>
                  </w:pPr>
                  <w:r>
                    <w:rPr>
                      <w:rFonts w:hint="eastAsia" w:hAnsi="宋体"/>
                      <w:szCs w:val="21"/>
                    </w:rPr>
                    <w:t>备注</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11" w:type="dxa"/>
                  <w:left w:w="28" w:type="dxa"/>
                  <w:bottom w:w="28" w:type="dxa"/>
                  <w:right w:w="28" w:type="dxa"/>
                </w:tblCellMar>
              </w:tblPrEx>
              <w:trPr>
                <w:trHeight w:val="112" w:hRule="atLeast"/>
                <w:jc w:val="center"/>
              </w:trPr>
              <w:tc>
                <w:tcPr>
                  <w:tcW w:w="610" w:type="dxa"/>
                  <w:vAlign w:val="center"/>
                </w:tcPr>
                <w:p>
                  <w:pPr>
                    <w:widowControl/>
                    <w:spacing w:line="240" w:lineRule="exact"/>
                    <w:jc w:val="center"/>
                    <w:rPr>
                      <w:rFonts w:hAnsi="宋体"/>
                      <w:szCs w:val="21"/>
                    </w:rPr>
                  </w:pPr>
                  <w:r>
                    <w:rPr>
                      <w:rFonts w:hAnsi="宋体"/>
                      <w:szCs w:val="21"/>
                    </w:rPr>
                    <w:t>1</w:t>
                  </w:r>
                </w:p>
              </w:tc>
              <w:tc>
                <w:tcPr>
                  <w:tcW w:w="1236" w:type="dxa"/>
                  <w:gridSpan w:val="2"/>
                  <w:vAlign w:val="center"/>
                </w:tcPr>
                <w:p>
                  <w:pPr>
                    <w:widowControl/>
                    <w:spacing w:line="240" w:lineRule="exact"/>
                    <w:jc w:val="center"/>
                    <w:rPr>
                      <w:rFonts w:hAnsi="宋体"/>
                      <w:szCs w:val="21"/>
                    </w:rPr>
                  </w:pPr>
                  <w:r>
                    <w:rPr>
                      <w:rFonts w:hint="eastAsia" w:hAnsi="宋体"/>
                      <w:szCs w:val="21"/>
                    </w:rPr>
                    <w:t>占地</w:t>
                  </w:r>
                </w:p>
              </w:tc>
              <w:tc>
                <w:tcPr>
                  <w:tcW w:w="2311" w:type="dxa"/>
                  <w:vAlign w:val="center"/>
                </w:tcPr>
                <w:p>
                  <w:pPr>
                    <w:widowControl/>
                    <w:spacing w:line="240" w:lineRule="exact"/>
                    <w:jc w:val="left"/>
                    <w:rPr>
                      <w:szCs w:val="21"/>
                    </w:rPr>
                  </w:pPr>
                  <w:r>
                    <w:rPr>
                      <w:rFonts w:hint="eastAsia" w:hAnsi="宋体"/>
                      <w:szCs w:val="21"/>
                    </w:rPr>
                    <w:t>位于辛集乡曲店</w:t>
                  </w:r>
                  <w:r>
                    <w:rPr>
                      <w:rFonts w:hAnsi="宋体"/>
                      <w:szCs w:val="21"/>
                    </w:rPr>
                    <w:t>村</w:t>
                  </w:r>
                  <w:r>
                    <w:rPr>
                      <w:rFonts w:hint="eastAsia" w:hAnsi="宋体"/>
                      <w:szCs w:val="21"/>
                    </w:rPr>
                    <w:t>三组</w:t>
                  </w:r>
                </w:p>
              </w:tc>
              <w:tc>
                <w:tcPr>
                  <w:tcW w:w="3090" w:type="dxa"/>
                  <w:vAlign w:val="center"/>
                </w:tcPr>
                <w:p>
                  <w:pPr>
                    <w:widowControl/>
                    <w:spacing w:line="240" w:lineRule="exact"/>
                    <w:jc w:val="left"/>
                    <w:rPr>
                      <w:szCs w:val="21"/>
                    </w:rPr>
                  </w:pPr>
                  <w:r>
                    <w:rPr>
                      <w:rFonts w:hint="eastAsia"/>
                      <w:szCs w:val="21"/>
                    </w:rPr>
                    <w:t>租用远宏炭素厂区空闲用地，占地</w:t>
                  </w:r>
                  <w:r>
                    <w:rPr>
                      <w:szCs w:val="21"/>
                    </w:rPr>
                    <w:t>面积</w:t>
                  </w:r>
                  <w:r>
                    <w:rPr>
                      <w:rFonts w:hint="eastAsia"/>
                      <w:szCs w:val="21"/>
                    </w:rPr>
                    <w:t>3000</w:t>
                  </w:r>
                  <w:r>
                    <w:rPr>
                      <w:szCs w:val="21"/>
                    </w:rPr>
                    <w:t>m</w:t>
                  </w:r>
                  <w:r>
                    <w:rPr>
                      <w:szCs w:val="21"/>
                      <w:vertAlign w:val="superscript"/>
                    </w:rPr>
                    <w:t>2</w:t>
                  </w:r>
                  <w:r>
                    <w:rPr>
                      <w:szCs w:val="21"/>
                    </w:rPr>
                    <w:t xml:space="preserve"> </w:t>
                  </w:r>
                </w:p>
              </w:tc>
              <w:tc>
                <w:tcPr>
                  <w:tcW w:w="715" w:type="dxa"/>
                  <w:vAlign w:val="center"/>
                </w:tcPr>
                <w:p>
                  <w:pPr>
                    <w:widowControl/>
                    <w:spacing w:line="240" w:lineRule="exact"/>
                    <w:jc w:val="center"/>
                    <w:rPr>
                      <w:rFonts w:hAnsi="宋体"/>
                      <w:szCs w:val="21"/>
                    </w:rPr>
                  </w:pPr>
                  <w:r>
                    <w:rPr>
                      <w:rFonts w:hint="eastAsia" w:hAnsi="宋体"/>
                      <w:szCs w:val="21"/>
                    </w:rPr>
                    <w:t>依托</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11" w:type="dxa"/>
                  <w:left w:w="28" w:type="dxa"/>
                  <w:bottom w:w="28" w:type="dxa"/>
                  <w:right w:w="28" w:type="dxa"/>
                </w:tblCellMar>
              </w:tblPrEx>
              <w:trPr>
                <w:trHeight w:val="751" w:hRule="atLeast"/>
                <w:jc w:val="center"/>
              </w:trPr>
              <w:tc>
                <w:tcPr>
                  <w:tcW w:w="610" w:type="dxa"/>
                  <w:vAlign w:val="center"/>
                </w:tcPr>
                <w:p>
                  <w:pPr>
                    <w:widowControl/>
                    <w:spacing w:line="240" w:lineRule="exact"/>
                    <w:jc w:val="center"/>
                    <w:rPr>
                      <w:szCs w:val="21"/>
                    </w:rPr>
                  </w:pPr>
                  <w:r>
                    <w:rPr>
                      <w:szCs w:val="21"/>
                    </w:rPr>
                    <w:t>2</w:t>
                  </w:r>
                </w:p>
              </w:tc>
              <w:tc>
                <w:tcPr>
                  <w:tcW w:w="1236" w:type="dxa"/>
                  <w:gridSpan w:val="2"/>
                  <w:vAlign w:val="center"/>
                </w:tcPr>
                <w:p>
                  <w:pPr>
                    <w:widowControl/>
                    <w:spacing w:line="240" w:lineRule="exact"/>
                    <w:jc w:val="center"/>
                    <w:rPr>
                      <w:szCs w:val="21"/>
                    </w:rPr>
                  </w:pPr>
                  <w:r>
                    <w:rPr>
                      <w:rFonts w:hint="eastAsia" w:hAnsi="宋体"/>
                      <w:szCs w:val="21"/>
                    </w:rPr>
                    <w:t>主体工程</w:t>
                  </w:r>
                </w:p>
              </w:tc>
              <w:tc>
                <w:tcPr>
                  <w:tcW w:w="2311" w:type="dxa"/>
                  <w:vAlign w:val="center"/>
                </w:tcPr>
                <w:p>
                  <w:pPr>
                    <w:widowControl/>
                    <w:spacing w:line="240" w:lineRule="exact"/>
                    <w:rPr>
                      <w:szCs w:val="21"/>
                    </w:rPr>
                  </w:pPr>
                  <w:r>
                    <w:rPr>
                      <w:rFonts w:hint="eastAsia"/>
                      <w:szCs w:val="21"/>
                    </w:rPr>
                    <w:t>炭素生产</w:t>
                  </w:r>
                  <w:r>
                    <w:rPr>
                      <w:szCs w:val="21"/>
                    </w:rPr>
                    <w:t>线</w:t>
                  </w:r>
                  <w:r>
                    <w:rPr>
                      <w:rFonts w:hint="eastAsia"/>
                      <w:szCs w:val="21"/>
                    </w:rPr>
                    <w:t>，</w:t>
                  </w:r>
                  <w:r>
                    <w:rPr>
                      <w:szCs w:val="21"/>
                    </w:rPr>
                    <w:t>已经</w:t>
                  </w:r>
                  <w:r>
                    <w:rPr>
                      <w:rFonts w:hint="eastAsia"/>
                      <w:szCs w:val="21"/>
                    </w:rPr>
                    <w:t>搬</w:t>
                  </w:r>
                  <w:r>
                    <w:rPr>
                      <w:szCs w:val="21"/>
                    </w:rPr>
                    <w:t>迁，只剩空厂房</w:t>
                  </w:r>
                  <w:r>
                    <w:rPr>
                      <w:rFonts w:hint="eastAsia"/>
                      <w:szCs w:val="21"/>
                    </w:rPr>
                    <w:t>（为</w:t>
                  </w:r>
                  <w:r>
                    <w:rPr>
                      <w:szCs w:val="21"/>
                    </w:rPr>
                    <w:t>钢结构</w:t>
                  </w:r>
                  <w:r>
                    <w:rPr>
                      <w:rFonts w:hint="eastAsia"/>
                      <w:szCs w:val="21"/>
                    </w:rPr>
                    <w:t>）</w:t>
                  </w:r>
                </w:p>
              </w:tc>
              <w:tc>
                <w:tcPr>
                  <w:tcW w:w="3090" w:type="dxa"/>
                  <w:vAlign w:val="center"/>
                </w:tcPr>
                <w:p>
                  <w:pPr>
                    <w:widowControl/>
                    <w:spacing w:line="240" w:lineRule="exact"/>
                    <w:rPr>
                      <w:szCs w:val="21"/>
                    </w:rPr>
                  </w:pPr>
                  <w:r>
                    <w:rPr>
                      <w:rFonts w:hint="eastAsia"/>
                      <w:szCs w:val="21"/>
                    </w:rPr>
                    <w:t>新建一条</w:t>
                  </w:r>
                  <w:r>
                    <w:rPr>
                      <w:szCs w:val="21"/>
                    </w:rPr>
                    <w:t>3</w:t>
                  </w:r>
                  <w:r>
                    <w:rPr>
                      <w:rFonts w:hint="eastAsia"/>
                      <w:szCs w:val="21"/>
                    </w:rPr>
                    <w:t>万</w:t>
                  </w:r>
                  <w:r>
                    <w:rPr>
                      <w:szCs w:val="21"/>
                    </w:rPr>
                    <w:t>t/a</w:t>
                  </w:r>
                  <w:r>
                    <w:rPr>
                      <w:rFonts w:hint="eastAsia"/>
                      <w:szCs w:val="21"/>
                    </w:rPr>
                    <w:t>的粉煤灰</w:t>
                  </w:r>
                  <w:r>
                    <w:rPr>
                      <w:rFonts w:hint="eastAsia"/>
                    </w:rPr>
                    <w:t>粉末加工项目</w:t>
                  </w:r>
                </w:p>
              </w:tc>
              <w:tc>
                <w:tcPr>
                  <w:tcW w:w="715" w:type="dxa"/>
                  <w:vAlign w:val="center"/>
                </w:tcPr>
                <w:p>
                  <w:pPr>
                    <w:widowControl/>
                    <w:spacing w:line="240" w:lineRule="exact"/>
                    <w:jc w:val="center"/>
                    <w:rPr>
                      <w:szCs w:val="21"/>
                    </w:rPr>
                  </w:pPr>
                  <w:r>
                    <w:rPr>
                      <w:szCs w:val="21"/>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11" w:type="dxa"/>
                  <w:left w:w="28" w:type="dxa"/>
                  <w:bottom w:w="28" w:type="dxa"/>
                  <w:right w:w="28" w:type="dxa"/>
                </w:tblCellMar>
              </w:tblPrEx>
              <w:trPr>
                <w:trHeight w:val="751" w:hRule="atLeast"/>
                <w:jc w:val="center"/>
              </w:trPr>
              <w:tc>
                <w:tcPr>
                  <w:tcW w:w="610" w:type="dxa"/>
                  <w:vAlign w:val="center"/>
                </w:tcPr>
                <w:p>
                  <w:pPr>
                    <w:widowControl/>
                    <w:spacing w:line="240" w:lineRule="exact"/>
                    <w:jc w:val="center"/>
                    <w:rPr>
                      <w:szCs w:val="21"/>
                    </w:rPr>
                  </w:pPr>
                  <w:r>
                    <w:rPr>
                      <w:szCs w:val="21"/>
                    </w:rPr>
                    <w:t>3</w:t>
                  </w:r>
                </w:p>
              </w:tc>
              <w:tc>
                <w:tcPr>
                  <w:tcW w:w="1236" w:type="dxa"/>
                  <w:gridSpan w:val="2"/>
                  <w:vAlign w:val="center"/>
                </w:tcPr>
                <w:p>
                  <w:pPr>
                    <w:widowControl/>
                    <w:spacing w:line="240" w:lineRule="exact"/>
                    <w:jc w:val="center"/>
                    <w:rPr>
                      <w:rFonts w:hAnsi="宋体"/>
                      <w:szCs w:val="21"/>
                    </w:rPr>
                  </w:pPr>
                  <w:r>
                    <w:rPr>
                      <w:rFonts w:hint="eastAsia" w:hAnsi="宋体"/>
                      <w:szCs w:val="21"/>
                    </w:rPr>
                    <w:t>办公区</w:t>
                  </w:r>
                </w:p>
              </w:tc>
              <w:tc>
                <w:tcPr>
                  <w:tcW w:w="2311" w:type="dxa"/>
                  <w:vAlign w:val="center"/>
                </w:tcPr>
                <w:p>
                  <w:pPr>
                    <w:widowControl/>
                    <w:spacing w:line="240" w:lineRule="exact"/>
                    <w:rPr>
                      <w:szCs w:val="21"/>
                    </w:rPr>
                  </w:pPr>
                  <w:r>
                    <w:rPr>
                      <w:rFonts w:hint="eastAsia"/>
                      <w:szCs w:val="21"/>
                    </w:rPr>
                    <w:t>设置在厂区中间，占地面积</w:t>
                  </w:r>
                  <w:r>
                    <w:rPr>
                      <w:szCs w:val="21"/>
                    </w:rPr>
                    <w:t>144m</w:t>
                  </w:r>
                  <w:r>
                    <w:rPr>
                      <w:szCs w:val="21"/>
                      <w:vertAlign w:val="superscript"/>
                    </w:rPr>
                    <w:t>2</w:t>
                  </w:r>
                </w:p>
              </w:tc>
              <w:tc>
                <w:tcPr>
                  <w:tcW w:w="3090" w:type="dxa"/>
                  <w:vAlign w:val="center"/>
                </w:tcPr>
                <w:p>
                  <w:pPr>
                    <w:widowControl/>
                    <w:spacing w:line="240" w:lineRule="exact"/>
                    <w:rPr>
                      <w:szCs w:val="21"/>
                    </w:rPr>
                  </w:pPr>
                  <w:r>
                    <w:rPr>
                      <w:rFonts w:hint="eastAsia"/>
                      <w:szCs w:val="21"/>
                    </w:rPr>
                    <w:t>利用</w:t>
                  </w:r>
                  <w:r>
                    <w:rPr>
                      <w:szCs w:val="21"/>
                    </w:rPr>
                    <w:t>原</w:t>
                  </w:r>
                  <w:r>
                    <w:rPr>
                      <w:rFonts w:hint="eastAsia"/>
                      <w:szCs w:val="21"/>
                    </w:rPr>
                    <w:t>远宏炭素</w:t>
                  </w:r>
                  <w:r>
                    <w:rPr>
                      <w:szCs w:val="21"/>
                    </w:rPr>
                    <w:t>办公区，占地面积144m</w:t>
                  </w:r>
                  <w:r>
                    <w:rPr>
                      <w:szCs w:val="21"/>
                      <w:vertAlign w:val="superscript"/>
                    </w:rPr>
                    <w:t>2</w:t>
                  </w:r>
                </w:p>
              </w:tc>
              <w:tc>
                <w:tcPr>
                  <w:tcW w:w="715" w:type="dxa"/>
                  <w:vAlign w:val="center"/>
                </w:tcPr>
                <w:p>
                  <w:pPr>
                    <w:widowControl/>
                    <w:spacing w:line="240" w:lineRule="exact"/>
                    <w:jc w:val="center"/>
                    <w:rPr>
                      <w:szCs w:val="21"/>
                    </w:rPr>
                  </w:pPr>
                  <w:r>
                    <w:rPr>
                      <w:rFonts w:hint="eastAsia"/>
                      <w:szCs w:val="21"/>
                    </w:rPr>
                    <w:t>依托</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11" w:type="dxa"/>
                  <w:left w:w="28" w:type="dxa"/>
                  <w:bottom w:w="28" w:type="dxa"/>
                  <w:right w:w="28" w:type="dxa"/>
                </w:tblCellMar>
              </w:tblPrEx>
              <w:trPr>
                <w:trHeight w:val="400" w:hRule="atLeast"/>
                <w:jc w:val="center"/>
              </w:trPr>
              <w:tc>
                <w:tcPr>
                  <w:tcW w:w="610" w:type="dxa"/>
                  <w:vAlign w:val="center"/>
                </w:tcPr>
                <w:p>
                  <w:pPr>
                    <w:widowControl/>
                    <w:spacing w:line="240" w:lineRule="exact"/>
                    <w:jc w:val="center"/>
                    <w:rPr>
                      <w:szCs w:val="21"/>
                    </w:rPr>
                  </w:pPr>
                  <w:r>
                    <w:rPr>
                      <w:szCs w:val="21"/>
                    </w:rPr>
                    <w:t>4</w:t>
                  </w:r>
                </w:p>
              </w:tc>
              <w:tc>
                <w:tcPr>
                  <w:tcW w:w="545" w:type="dxa"/>
                  <w:vAlign w:val="center"/>
                </w:tcPr>
                <w:p>
                  <w:pPr>
                    <w:widowControl/>
                    <w:spacing w:line="240" w:lineRule="exact"/>
                    <w:jc w:val="center"/>
                    <w:rPr>
                      <w:rFonts w:hAnsi="宋体"/>
                      <w:szCs w:val="21"/>
                    </w:rPr>
                  </w:pPr>
                  <w:r>
                    <w:rPr>
                      <w:rFonts w:hint="eastAsia" w:hAnsi="宋体"/>
                      <w:szCs w:val="21"/>
                    </w:rPr>
                    <w:t>公用</w:t>
                  </w:r>
                  <w:r>
                    <w:rPr>
                      <w:rFonts w:hAnsi="宋体"/>
                      <w:szCs w:val="21"/>
                    </w:rPr>
                    <w:t>工</w:t>
                  </w:r>
                  <w:r>
                    <w:rPr>
                      <w:rFonts w:hint="eastAsia" w:hAnsi="宋体"/>
                      <w:szCs w:val="21"/>
                    </w:rPr>
                    <w:t>程</w:t>
                  </w:r>
                </w:p>
              </w:tc>
              <w:tc>
                <w:tcPr>
                  <w:tcW w:w="691" w:type="dxa"/>
                  <w:vAlign w:val="center"/>
                </w:tcPr>
                <w:p>
                  <w:pPr>
                    <w:widowControl/>
                    <w:spacing w:line="240" w:lineRule="exact"/>
                    <w:jc w:val="center"/>
                    <w:rPr>
                      <w:rFonts w:hAnsi="宋体"/>
                      <w:szCs w:val="21"/>
                    </w:rPr>
                  </w:pPr>
                  <w:r>
                    <w:rPr>
                      <w:rFonts w:hint="eastAsia" w:hAnsi="宋体"/>
                      <w:szCs w:val="21"/>
                    </w:rPr>
                    <w:t>给水</w:t>
                  </w:r>
                </w:p>
              </w:tc>
              <w:tc>
                <w:tcPr>
                  <w:tcW w:w="2311" w:type="dxa"/>
                  <w:vAlign w:val="center"/>
                </w:tcPr>
                <w:p>
                  <w:pPr>
                    <w:widowControl/>
                    <w:spacing w:line="240" w:lineRule="exact"/>
                    <w:rPr>
                      <w:szCs w:val="21"/>
                    </w:rPr>
                  </w:pPr>
                  <w:r>
                    <w:rPr>
                      <w:rFonts w:hint="eastAsia"/>
                      <w:szCs w:val="21"/>
                    </w:rPr>
                    <w:t>厂区有</w:t>
                  </w:r>
                  <w:r>
                    <w:rPr>
                      <w:szCs w:val="21"/>
                    </w:rPr>
                    <w:t>一眼</w:t>
                  </w:r>
                  <w:r>
                    <w:rPr>
                      <w:rFonts w:hint="eastAsia"/>
                      <w:szCs w:val="21"/>
                    </w:rPr>
                    <w:t>自备</w:t>
                  </w:r>
                  <w:r>
                    <w:rPr>
                      <w:szCs w:val="21"/>
                    </w:rPr>
                    <w:t>水井供给</w:t>
                  </w:r>
                </w:p>
              </w:tc>
              <w:tc>
                <w:tcPr>
                  <w:tcW w:w="3090" w:type="dxa"/>
                  <w:vAlign w:val="center"/>
                </w:tcPr>
                <w:p>
                  <w:pPr>
                    <w:widowControl/>
                    <w:spacing w:line="240" w:lineRule="exact"/>
                    <w:rPr>
                      <w:szCs w:val="21"/>
                    </w:rPr>
                  </w:pPr>
                  <w:r>
                    <w:rPr>
                      <w:rFonts w:hint="eastAsia"/>
                      <w:szCs w:val="21"/>
                    </w:rPr>
                    <w:t>用水由</w:t>
                  </w:r>
                  <w:r>
                    <w:rPr>
                      <w:szCs w:val="21"/>
                    </w:rPr>
                    <w:t>远宏</w:t>
                  </w:r>
                  <w:r>
                    <w:rPr>
                      <w:rFonts w:hint="eastAsia"/>
                      <w:szCs w:val="21"/>
                    </w:rPr>
                    <w:t>炭素</w:t>
                  </w:r>
                  <w:r>
                    <w:rPr>
                      <w:szCs w:val="21"/>
                    </w:rPr>
                    <w:t>原有自备水井供给</w:t>
                  </w:r>
                </w:p>
              </w:tc>
              <w:tc>
                <w:tcPr>
                  <w:tcW w:w="715" w:type="dxa"/>
                  <w:vAlign w:val="center"/>
                </w:tcPr>
                <w:p>
                  <w:pPr>
                    <w:widowControl/>
                    <w:spacing w:line="240" w:lineRule="exact"/>
                    <w:jc w:val="center"/>
                    <w:rPr>
                      <w:szCs w:val="21"/>
                    </w:rPr>
                  </w:pPr>
                  <w:r>
                    <w:rPr>
                      <w:rFonts w:hint="eastAsia"/>
                      <w:szCs w:val="21"/>
                    </w:rPr>
                    <w:t>依托</w:t>
                  </w:r>
                </w:p>
              </w:tc>
            </w:tr>
          </w:tbl>
          <w:p>
            <w:pPr>
              <w:autoSpaceDE w:val="0"/>
              <w:autoSpaceDN w:val="0"/>
              <w:adjustRightInd w:val="0"/>
              <w:snapToGrid w:val="0"/>
              <w:spacing w:line="120" w:lineRule="exact"/>
              <w:ind w:firstLine="482" w:firstLineChars="200"/>
              <w:rPr>
                <w:rFonts w:cs="宋体"/>
                <w:b/>
                <w:bCs/>
                <w:kern w:val="0"/>
                <w:sz w:val="24"/>
              </w:rPr>
            </w:pPr>
          </w:p>
          <w:p>
            <w:pPr>
              <w:autoSpaceDE w:val="0"/>
              <w:autoSpaceDN w:val="0"/>
              <w:adjustRightInd w:val="0"/>
              <w:snapToGrid w:val="0"/>
              <w:spacing w:line="360" w:lineRule="auto"/>
              <w:ind w:firstLine="482" w:firstLineChars="200"/>
              <w:rPr>
                <w:rFonts w:cs="宋体"/>
                <w:b/>
                <w:bCs/>
                <w:kern w:val="0"/>
                <w:sz w:val="24"/>
              </w:rPr>
            </w:pPr>
            <w:r>
              <w:rPr>
                <w:rFonts w:hint="eastAsia" w:cs="宋体"/>
                <w:b/>
                <w:bCs/>
                <w:kern w:val="0"/>
                <w:sz w:val="24"/>
              </w:rPr>
              <w:t>2、项目主要产品及产能</w:t>
            </w:r>
          </w:p>
          <w:p>
            <w:pPr>
              <w:autoSpaceDE w:val="0"/>
              <w:autoSpaceDN w:val="0"/>
              <w:adjustRightInd w:val="0"/>
              <w:snapToGrid w:val="0"/>
              <w:spacing w:line="360" w:lineRule="auto"/>
              <w:ind w:firstLine="480" w:firstLineChars="200"/>
              <w:rPr>
                <w:rFonts w:cs="宋体"/>
                <w:kern w:val="0"/>
                <w:sz w:val="24"/>
              </w:rPr>
            </w:pPr>
            <w:r>
              <w:rPr>
                <w:rFonts w:hint="eastAsia" w:cs="宋体"/>
                <w:kern w:val="0"/>
                <w:sz w:val="24"/>
              </w:rPr>
              <w:t>本项目主要产品为粉煤灰固废粉末，产品包装规格为散料，采用罐车</w:t>
            </w:r>
            <w:r>
              <w:rPr>
                <w:rFonts w:cs="宋体"/>
                <w:kern w:val="0"/>
                <w:sz w:val="24"/>
              </w:rPr>
              <w:t>运输</w:t>
            </w:r>
            <w:r>
              <w:rPr>
                <w:rFonts w:hint="eastAsia" w:cs="宋体"/>
                <w:kern w:val="0"/>
                <w:sz w:val="24"/>
              </w:rPr>
              <w:t>，方案详见表</w:t>
            </w:r>
            <w:r>
              <w:rPr>
                <w:rFonts w:cs="宋体"/>
                <w:kern w:val="0"/>
                <w:sz w:val="24"/>
              </w:rPr>
              <w:t>10</w:t>
            </w:r>
            <w:r>
              <w:rPr>
                <w:rFonts w:hint="eastAsia" w:cs="宋体"/>
                <w:kern w:val="0"/>
                <w:sz w:val="24"/>
              </w:rPr>
              <w:t>。</w:t>
            </w:r>
          </w:p>
          <w:p>
            <w:pPr>
              <w:autoSpaceDE w:val="0"/>
              <w:autoSpaceDN w:val="0"/>
              <w:adjustRightInd w:val="0"/>
              <w:snapToGrid w:val="0"/>
              <w:spacing w:line="400" w:lineRule="exact"/>
              <w:ind w:firstLine="720" w:firstLineChars="300"/>
              <w:rPr>
                <w:rFonts w:eastAsia="黑体"/>
                <w:sz w:val="24"/>
                <w:szCs w:val="22"/>
              </w:rPr>
            </w:pPr>
          </w:p>
          <w:p>
            <w:pPr>
              <w:autoSpaceDE w:val="0"/>
              <w:autoSpaceDN w:val="0"/>
              <w:adjustRightInd w:val="0"/>
              <w:snapToGrid w:val="0"/>
              <w:spacing w:line="400" w:lineRule="exact"/>
              <w:ind w:firstLine="720" w:firstLineChars="300"/>
              <w:rPr>
                <w:rFonts w:eastAsia="黑体"/>
                <w:sz w:val="24"/>
                <w:szCs w:val="22"/>
              </w:rPr>
            </w:pPr>
            <w:r>
              <w:rPr>
                <w:rFonts w:hint="eastAsia" w:eastAsia="黑体"/>
                <w:sz w:val="24"/>
                <w:szCs w:val="22"/>
              </w:rPr>
              <w:t>表</w:t>
            </w:r>
            <w:r>
              <w:rPr>
                <w:rFonts w:eastAsia="黑体"/>
                <w:sz w:val="24"/>
                <w:szCs w:val="22"/>
              </w:rPr>
              <w:t xml:space="preserve">10       </w:t>
            </w:r>
            <w:r>
              <w:rPr>
                <w:rFonts w:hint="eastAsia" w:eastAsia="黑体"/>
                <w:sz w:val="24"/>
                <w:szCs w:val="22"/>
              </w:rPr>
              <w:t xml:space="preserve">   项目的主要产品方案一览表</w:t>
            </w:r>
          </w:p>
          <w:tbl>
            <w:tblPr>
              <w:tblStyle w:val="22"/>
              <w:tblW w:w="7967" w:type="dxa"/>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
            <w:tblGrid>
              <w:gridCol w:w="689"/>
              <w:gridCol w:w="1742"/>
              <w:gridCol w:w="1662"/>
              <w:gridCol w:w="1397"/>
              <w:gridCol w:w="2477"/>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689" w:type="dxa"/>
                  <w:vAlign w:val="center"/>
                </w:tcPr>
                <w:p>
                  <w:pPr>
                    <w:pStyle w:val="50"/>
                    <w:jc w:val="center"/>
                    <w:rPr>
                      <w:b/>
                    </w:rPr>
                  </w:pPr>
                  <w:r>
                    <w:rPr>
                      <w:rFonts w:hint="eastAsia"/>
                      <w:b/>
                    </w:rPr>
                    <w:t>序号</w:t>
                  </w:r>
                </w:p>
              </w:tc>
              <w:tc>
                <w:tcPr>
                  <w:tcW w:w="1742" w:type="dxa"/>
                  <w:vAlign w:val="center"/>
                </w:tcPr>
                <w:p>
                  <w:pPr>
                    <w:pStyle w:val="50"/>
                    <w:jc w:val="center"/>
                    <w:rPr>
                      <w:b/>
                    </w:rPr>
                  </w:pPr>
                  <w:r>
                    <w:rPr>
                      <w:rFonts w:hint="eastAsia"/>
                      <w:b/>
                    </w:rPr>
                    <w:t>产品名称</w:t>
                  </w:r>
                </w:p>
              </w:tc>
              <w:tc>
                <w:tcPr>
                  <w:tcW w:w="1662" w:type="dxa"/>
                  <w:vAlign w:val="center"/>
                </w:tcPr>
                <w:p>
                  <w:pPr>
                    <w:pStyle w:val="50"/>
                    <w:jc w:val="center"/>
                    <w:rPr>
                      <w:b/>
                    </w:rPr>
                  </w:pPr>
                  <w:r>
                    <w:rPr>
                      <w:rFonts w:hint="eastAsia"/>
                      <w:b/>
                    </w:rPr>
                    <w:t>粒径</w:t>
                  </w:r>
                </w:p>
              </w:tc>
              <w:tc>
                <w:tcPr>
                  <w:tcW w:w="1397" w:type="dxa"/>
                  <w:vAlign w:val="center"/>
                </w:tcPr>
                <w:p>
                  <w:pPr>
                    <w:pStyle w:val="50"/>
                    <w:jc w:val="center"/>
                    <w:rPr>
                      <w:b/>
                    </w:rPr>
                  </w:pPr>
                  <w:r>
                    <w:rPr>
                      <w:rFonts w:hint="eastAsia"/>
                      <w:b/>
                    </w:rPr>
                    <w:t>产能</w:t>
                  </w:r>
                </w:p>
              </w:tc>
              <w:tc>
                <w:tcPr>
                  <w:tcW w:w="2477" w:type="dxa"/>
                  <w:vAlign w:val="center"/>
                </w:tcPr>
                <w:p>
                  <w:pPr>
                    <w:pStyle w:val="50"/>
                    <w:jc w:val="center"/>
                    <w:rPr>
                      <w:b/>
                    </w:rPr>
                  </w:pPr>
                  <w:r>
                    <w:rPr>
                      <w:rFonts w:hint="eastAsia"/>
                      <w:b/>
                    </w:rPr>
                    <w:t>用途</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689" w:type="dxa"/>
                  <w:vAlign w:val="center"/>
                </w:tcPr>
                <w:p>
                  <w:pPr>
                    <w:pStyle w:val="50"/>
                    <w:jc w:val="center"/>
                    <w:rPr>
                      <w:kern w:val="2"/>
                    </w:rPr>
                  </w:pPr>
                  <w:r>
                    <w:rPr>
                      <w:rFonts w:hint="eastAsia"/>
                      <w:kern w:val="2"/>
                    </w:rPr>
                    <w:t>1</w:t>
                  </w:r>
                </w:p>
              </w:tc>
              <w:tc>
                <w:tcPr>
                  <w:tcW w:w="1742" w:type="dxa"/>
                  <w:vAlign w:val="center"/>
                </w:tcPr>
                <w:p>
                  <w:pPr>
                    <w:pStyle w:val="50"/>
                    <w:jc w:val="center"/>
                    <w:rPr>
                      <w:kern w:val="2"/>
                    </w:rPr>
                  </w:pPr>
                  <w:r>
                    <w:rPr>
                      <w:rFonts w:hint="eastAsia"/>
                      <w:kern w:val="2"/>
                    </w:rPr>
                    <w:t>固废粉末</w:t>
                  </w:r>
                </w:p>
              </w:tc>
              <w:tc>
                <w:tcPr>
                  <w:tcW w:w="1662" w:type="dxa"/>
                  <w:vAlign w:val="center"/>
                </w:tcPr>
                <w:p>
                  <w:pPr>
                    <w:pStyle w:val="50"/>
                    <w:jc w:val="center"/>
                    <w:rPr>
                      <w:kern w:val="2"/>
                    </w:rPr>
                  </w:pPr>
                  <w:r>
                    <w:rPr>
                      <w:kern w:val="2"/>
                    </w:rPr>
                    <w:t>325</w:t>
                  </w:r>
                  <w:r>
                    <w:rPr>
                      <w:rFonts w:hint="eastAsia"/>
                      <w:kern w:val="2"/>
                    </w:rPr>
                    <w:t>目</w:t>
                  </w:r>
                </w:p>
              </w:tc>
              <w:tc>
                <w:tcPr>
                  <w:tcW w:w="1397" w:type="dxa"/>
                  <w:vAlign w:val="center"/>
                </w:tcPr>
                <w:p>
                  <w:pPr>
                    <w:pStyle w:val="50"/>
                    <w:jc w:val="center"/>
                    <w:rPr>
                      <w:kern w:val="2"/>
                    </w:rPr>
                  </w:pPr>
                  <w:r>
                    <w:rPr>
                      <w:kern w:val="2"/>
                    </w:rPr>
                    <w:t>3</w:t>
                  </w:r>
                  <w:r>
                    <w:rPr>
                      <w:rFonts w:hint="eastAsia"/>
                      <w:kern w:val="2"/>
                    </w:rPr>
                    <w:t>万t/a</w:t>
                  </w:r>
                </w:p>
              </w:tc>
              <w:tc>
                <w:tcPr>
                  <w:tcW w:w="2477" w:type="dxa"/>
                  <w:vAlign w:val="center"/>
                </w:tcPr>
                <w:p>
                  <w:pPr>
                    <w:pStyle w:val="50"/>
                    <w:jc w:val="center"/>
                    <w:rPr>
                      <w:b/>
                    </w:rPr>
                  </w:pPr>
                  <w:r>
                    <w:rPr>
                      <w:rFonts w:hint="eastAsia"/>
                      <w:bCs/>
                    </w:rPr>
                    <w:t>外售</w:t>
                  </w:r>
                  <w:r>
                    <w:rPr>
                      <w:bCs/>
                    </w:rPr>
                    <w:t>，</w:t>
                  </w:r>
                  <w:r>
                    <w:rPr>
                      <w:rFonts w:hint="eastAsia"/>
                      <w:bCs/>
                    </w:rPr>
                    <w:t>用于混凝土</w:t>
                  </w:r>
                  <w:r>
                    <w:rPr>
                      <w:bCs/>
                    </w:rPr>
                    <w:t>拌合</w:t>
                  </w:r>
                </w:p>
              </w:tc>
            </w:tr>
          </w:tbl>
          <w:p>
            <w:pPr>
              <w:autoSpaceDE w:val="0"/>
              <w:autoSpaceDN w:val="0"/>
              <w:adjustRightInd w:val="0"/>
              <w:snapToGrid w:val="0"/>
              <w:spacing w:before="120" w:beforeLines="50" w:line="360" w:lineRule="auto"/>
              <w:ind w:firstLine="482" w:firstLineChars="200"/>
              <w:rPr>
                <w:rFonts w:cs="宋体"/>
                <w:b/>
                <w:bCs/>
                <w:kern w:val="0"/>
                <w:sz w:val="24"/>
              </w:rPr>
            </w:pPr>
            <w:r>
              <w:rPr>
                <w:rFonts w:hint="eastAsia" w:cs="宋体"/>
                <w:b/>
                <w:bCs/>
                <w:kern w:val="0"/>
                <w:sz w:val="24"/>
              </w:rPr>
              <w:t>3、主要生产设备、设施</w:t>
            </w:r>
          </w:p>
          <w:p>
            <w:pPr>
              <w:autoSpaceDE w:val="0"/>
              <w:autoSpaceDN w:val="0"/>
              <w:adjustRightInd w:val="0"/>
              <w:snapToGrid w:val="0"/>
              <w:spacing w:line="360" w:lineRule="auto"/>
              <w:ind w:firstLine="480" w:firstLineChars="200"/>
              <w:rPr>
                <w:rFonts w:cs="宋体"/>
                <w:kern w:val="0"/>
                <w:sz w:val="24"/>
              </w:rPr>
            </w:pPr>
            <w:r>
              <w:rPr>
                <w:rFonts w:hint="eastAsia" w:cs="宋体"/>
                <w:kern w:val="0"/>
                <w:sz w:val="24"/>
              </w:rPr>
              <w:t>（1）主要</w:t>
            </w:r>
            <w:r>
              <w:rPr>
                <w:rFonts w:cs="宋体"/>
                <w:kern w:val="0"/>
                <w:sz w:val="24"/>
              </w:rPr>
              <w:t>生产设备</w:t>
            </w:r>
          </w:p>
          <w:p>
            <w:pPr>
              <w:autoSpaceDE w:val="0"/>
              <w:autoSpaceDN w:val="0"/>
              <w:adjustRightInd w:val="0"/>
              <w:snapToGrid w:val="0"/>
              <w:spacing w:line="360" w:lineRule="auto"/>
              <w:ind w:firstLine="480" w:firstLineChars="200"/>
              <w:rPr>
                <w:rFonts w:cs="宋体"/>
                <w:kern w:val="0"/>
                <w:sz w:val="24"/>
              </w:rPr>
            </w:pPr>
            <w:r>
              <w:rPr>
                <w:rFonts w:hint="eastAsia" w:cs="宋体"/>
                <w:kern w:val="0"/>
                <w:sz w:val="24"/>
              </w:rPr>
              <w:t>本项目主要生产设备见表</w:t>
            </w:r>
            <w:r>
              <w:rPr>
                <w:rFonts w:cs="宋体"/>
                <w:kern w:val="0"/>
                <w:sz w:val="24"/>
              </w:rPr>
              <w:t>11</w:t>
            </w:r>
            <w:r>
              <w:rPr>
                <w:rFonts w:hint="eastAsia" w:cs="宋体"/>
                <w:kern w:val="0"/>
                <w:sz w:val="24"/>
              </w:rPr>
              <w:t>。</w:t>
            </w:r>
          </w:p>
          <w:p>
            <w:pPr>
              <w:autoSpaceDE w:val="0"/>
              <w:autoSpaceDN w:val="0"/>
              <w:adjustRightInd w:val="0"/>
              <w:snapToGrid w:val="0"/>
              <w:spacing w:line="400" w:lineRule="exact"/>
              <w:ind w:firstLine="720" w:firstLineChars="300"/>
              <w:rPr>
                <w:rFonts w:eastAsia="黑体"/>
                <w:sz w:val="24"/>
                <w:szCs w:val="22"/>
              </w:rPr>
            </w:pPr>
            <w:r>
              <w:rPr>
                <w:rFonts w:hint="eastAsia" w:eastAsia="黑体"/>
                <w:sz w:val="24"/>
                <w:szCs w:val="22"/>
              </w:rPr>
              <w:t>表</w:t>
            </w:r>
            <w:r>
              <w:rPr>
                <w:rFonts w:eastAsia="黑体"/>
                <w:sz w:val="24"/>
                <w:szCs w:val="22"/>
              </w:rPr>
              <w:t xml:space="preserve">11              </w:t>
            </w:r>
            <w:r>
              <w:rPr>
                <w:rFonts w:hint="eastAsia" w:eastAsia="黑体"/>
                <w:sz w:val="24"/>
                <w:szCs w:val="22"/>
              </w:rPr>
              <w:t>本项目主要设备一览表</w:t>
            </w:r>
          </w:p>
          <w:tbl>
            <w:tblPr>
              <w:tblStyle w:val="22"/>
              <w:tblW w:w="7935" w:type="dxa"/>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28" w:type="dxa"/>
                <w:bottom w:w="0" w:type="dxa"/>
                <w:right w:w="28" w:type="dxa"/>
              </w:tblCellMar>
            </w:tblPr>
            <w:tblGrid>
              <w:gridCol w:w="780"/>
              <w:gridCol w:w="2182"/>
              <w:gridCol w:w="1984"/>
              <w:gridCol w:w="873"/>
              <w:gridCol w:w="2116"/>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28" w:type="dxa"/>
                  <w:bottom w:w="0" w:type="dxa"/>
                  <w:right w:w="28" w:type="dxa"/>
                </w:tblCellMar>
              </w:tblPrEx>
              <w:trPr>
                <w:trHeight w:val="454" w:hRule="atLeast"/>
                <w:jc w:val="center"/>
              </w:trPr>
              <w:tc>
                <w:tcPr>
                  <w:tcW w:w="780" w:type="dxa"/>
                  <w:vAlign w:val="center"/>
                </w:tcPr>
                <w:p>
                  <w:pPr>
                    <w:pStyle w:val="50"/>
                    <w:jc w:val="center"/>
                    <w:rPr>
                      <w:kern w:val="2"/>
                    </w:rPr>
                  </w:pPr>
                  <w:r>
                    <w:rPr>
                      <w:rFonts w:hint="eastAsia"/>
                      <w:kern w:val="2"/>
                    </w:rPr>
                    <w:t>序号</w:t>
                  </w:r>
                </w:p>
              </w:tc>
              <w:tc>
                <w:tcPr>
                  <w:tcW w:w="2182" w:type="dxa"/>
                  <w:vAlign w:val="center"/>
                </w:tcPr>
                <w:p>
                  <w:pPr>
                    <w:pStyle w:val="50"/>
                    <w:jc w:val="center"/>
                    <w:rPr>
                      <w:kern w:val="2"/>
                    </w:rPr>
                  </w:pPr>
                  <w:r>
                    <w:rPr>
                      <w:rFonts w:hint="eastAsia"/>
                      <w:kern w:val="2"/>
                    </w:rPr>
                    <w:t>设备名称</w:t>
                  </w:r>
                </w:p>
              </w:tc>
              <w:tc>
                <w:tcPr>
                  <w:tcW w:w="1984" w:type="dxa"/>
                  <w:vAlign w:val="center"/>
                </w:tcPr>
                <w:p>
                  <w:pPr>
                    <w:pStyle w:val="50"/>
                    <w:jc w:val="center"/>
                    <w:rPr>
                      <w:kern w:val="2"/>
                    </w:rPr>
                  </w:pPr>
                  <w:r>
                    <w:rPr>
                      <w:rFonts w:hint="eastAsia"/>
                      <w:kern w:val="2"/>
                    </w:rPr>
                    <w:t>规格及型号</w:t>
                  </w:r>
                </w:p>
              </w:tc>
              <w:tc>
                <w:tcPr>
                  <w:tcW w:w="873" w:type="dxa"/>
                  <w:vAlign w:val="center"/>
                </w:tcPr>
                <w:p>
                  <w:pPr>
                    <w:pStyle w:val="50"/>
                    <w:jc w:val="center"/>
                    <w:rPr>
                      <w:kern w:val="2"/>
                    </w:rPr>
                  </w:pPr>
                  <w:r>
                    <w:rPr>
                      <w:rFonts w:hint="eastAsia"/>
                      <w:kern w:val="2"/>
                    </w:rPr>
                    <w:t>数量</w:t>
                  </w:r>
                </w:p>
              </w:tc>
              <w:tc>
                <w:tcPr>
                  <w:tcW w:w="2116" w:type="dxa"/>
                  <w:vAlign w:val="center"/>
                </w:tcPr>
                <w:p>
                  <w:pPr>
                    <w:pStyle w:val="50"/>
                    <w:jc w:val="center"/>
                    <w:rPr>
                      <w:kern w:val="2"/>
                    </w:rPr>
                  </w:pPr>
                  <w:r>
                    <w:rPr>
                      <w:rFonts w:hint="eastAsia"/>
                      <w:kern w:val="2"/>
                    </w:rPr>
                    <w:t>备注</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28" w:type="dxa"/>
                  <w:bottom w:w="0" w:type="dxa"/>
                  <w:right w:w="28" w:type="dxa"/>
                </w:tblCellMar>
              </w:tblPrEx>
              <w:trPr>
                <w:trHeight w:val="454" w:hRule="atLeast"/>
                <w:jc w:val="center"/>
              </w:trPr>
              <w:tc>
                <w:tcPr>
                  <w:tcW w:w="780" w:type="dxa"/>
                  <w:vAlign w:val="center"/>
                </w:tcPr>
                <w:p>
                  <w:pPr>
                    <w:pStyle w:val="50"/>
                    <w:jc w:val="center"/>
                    <w:rPr>
                      <w:kern w:val="2"/>
                    </w:rPr>
                  </w:pPr>
                  <w:r>
                    <w:rPr>
                      <w:rFonts w:hint="eastAsia"/>
                      <w:kern w:val="2"/>
                    </w:rPr>
                    <w:t>1</w:t>
                  </w:r>
                </w:p>
              </w:tc>
              <w:tc>
                <w:tcPr>
                  <w:tcW w:w="2182" w:type="dxa"/>
                  <w:vAlign w:val="center"/>
                </w:tcPr>
                <w:p>
                  <w:pPr>
                    <w:pStyle w:val="50"/>
                    <w:jc w:val="center"/>
                    <w:rPr>
                      <w:kern w:val="2"/>
                    </w:rPr>
                  </w:pPr>
                  <w:r>
                    <w:rPr>
                      <w:rFonts w:hint="eastAsia"/>
                      <w:kern w:val="2"/>
                    </w:rPr>
                    <w:t>原料仓</w:t>
                  </w:r>
                </w:p>
              </w:tc>
              <w:tc>
                <w:tcPr>
                  <w:tcW w:w="1984" w:type="dxa"/>
                  <w:vAlign w:val="center"/>
                </w:tcPr>
                <w:p>
                  <w:pPr>
                    <w:pStyle w:val="50"/>
                    <w:jc w:val="center"/>
                    <w:rPr>
                      <w:spacing w:val="6"/>
                      <w:kern w:val="2"/>
                    </w:rPr>
                  </w:pPr>
                  <w:r>
                    <w:rPr>
                      <w:spacing w:val="6"/>
                    </w:rPr>
                    <w:t>Φ16</w:t>
                  </w:r>
                  <w:r>
                    <w:rPr>
                      <w:rFonts w:hint="eastAsia"/>
                      <w:spacing w:val="6"/>
                    </w:rPr>
                    <w:t>×18</w:t>
                  </w:r>
                  <w:r>
                    <w:rPr>
                      <w:spacing w:val="6"/>
                    </w:rPr>
                    <w:t>m</w:t>
                  </w:r>
                </w:p>
              </w:tc>
              <w:tc>
                <w:tcPr>
                  <w:tcW w:w="873" w:type="dxa"/>
                  <w:vAlign w:val="center"/>
                </w:tcPr>
                <w:p>
                  <w:pPr>
                    <w:pStyle w:val="50"/>
                    <w:jc w:val="center"/>
                    <w:rPr>
                      <w:kern w:val="2"/>
                    </w:rPr>
                  </w:pPr>
                  <w:r>
                    <w:rPr>
                      <w:rFonts w:hint="eastAsia"/>
                      <w:kern w:val="2"/>
                    </w:rPr>
                    <w:t>1</w:t>
                  </w:r>
                </w:p>
              </w:tc>
              <w:tc>
                <w:tcPr>
                  <w:tcW w:w="2116" w:type="dxa"/>
                  <w:vAlign w:val="center"/>
                </w:tcPr>
                <w:p>
                  <w:pPr>
                    <w:pStyle w:val="50"/>
                    <w:jc w:val="center"/>
                    <w:rPr>
                      <w:kern w:val="2"/>
                    </w:rPr>
                  </w:pPr>
                  <w:r>
                    <w:rPr>
                      <w:rFonts w:hint="eastAsia"/>
                    </w:rPr>
                    <w:t>容量为</w:t>
                  </w:r>
                  <w:r>
                    <w:t>3000t</w:t>
                  </w:r>
                  <w:r>
                    <w:rPr>
                      <w:rFonts w:hint="eastAsia"/>
                    </w:rPr>
                    <w:t>（密度0</w:t>
                  </w:r>
                  <w:r>
                    <w:t>.8</w:t>
                  </w:r>
                  <w:r>
                    <w:rPr>
                      <w:rFonts w:hint="eastAsia"/>
                    </w:rPr>
                    <w:t>t</w:t>
                  </w:r>
                  <w:r>
                    <w:t>/m</w:t>
                  </w:r>
                  <w:r>
                    <w:rPr>
                      <w:vertAlign w:val="superscript"/>
                    </w:rPr>
                    <w:t>3</w:t>
                  </w:r>
                  <w:r>
                    <w:rPr>
                      <w:rFonts w:hint="eastAsia"/>
                    </w:rPr>
                    <w:t>，折合</w:t>
                  </w:r>
                  <w:r>
                    <w:t>3750m</w:t>
                  </w:r>
                  <w:r>
                    <w:rPr>
                      <w:vertAlign w:val="superscript"/>
                    </w:rPr>
                    <w:t>3</w:t>
                  </w:r>
                  <w:r>
                    <w:rPr>
                      <w:rFonts w:hint="eastAsia"/>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28" w:type="dxa"/>
                  <w:bottom w:w="0" w:type="dxa"/>
                  <w:right w:w="28" w:type="dxa"/>
                </w:tblCellMar>
              </w:tblPrEx>
              <w:trPr>
                <w:trHeight w:val="454" w:hRule="atLeast"/>
                <w:jc w:val="center"/>
              </w:trPr>
              <w:tc>
                <w:tcPr>
                  <w:tcW w:w="780" w:type="dxa"/>
                  <w:vAlign w:val="center"/>
                </w:tcPr>
                <w:p>
                  <w:pPr>
                    <w:pStyle w:val="50"/>
                    <w:jc w:val="center"/>
                    <w:rPr>
                      <w:kern w:val="2"/>
                    </w:rPr>
                  </w:pPr>
                  <w:r>
                    <w:rPr>
                      <w:rFonts w:hint="eastAsia"/>
                      <w:kern w:val="2"/>
                    </w:rPr>
                    <w:t>2</w:t>
                  </w:r>
                </w:p>
              </w:tc>
              <w:tc>
                <w:tcPr>
                  <w:tcW w:w="2182" w:type="dxa"/>
                  <w:vAlign w:val="center"/>
                </w:tcPr>
                <w:p>
                  <w:pPr>
                    <w:pStyle w:val="50"/>
                    <w:jc w:val="center"/>
                    <w:rPr>
                      <w:kern w:val="2"/>
                    </w:rPr>
                  </w:pPr>
                  <w:r>
                    <w:rPr>
                      <w:rFonts w:hint="eastAsia"/>
                      <w:kern w:val="2"/>
                    </w:rPr>
                    <w:t>产品仓</w:t>
                  </w:r>
                </w:p>
              </w:tc>
              <w:tc>
                <w:tcPr>
                  <w:tcW w:w="1984" w:type="dxa"/>
                  <w:vAlign w:val="center"/>
                </w:tcPr>
                <w:p>
                  <w:pPr>
                    <w:pStyle w:val="50"/>
                    <w:jc w:val="center"/>
                    <w:rPr>
                      <w:spacing w:val="6"/>
                    </w:rPr>
                  </w:pPr>
                  <w:r>
                    <w:rPr>
                      <w:spacing w:val="6"/>
                    </w:rPr>
                    <w:t>Φ7</w:t>
                  </w:r>
                  <w:r>
                    <w:rPr>
                      <w:rFonts w:hint="eastAsia"/>
                      <w:spacing w:val="6"/>
                    </w:rPr>
                    <w:t>×</w:t>
                  </w:r>
                  <w:r>
                    <w:rPr>
                      <w:spacing w:val="6"/>
                    </w:rPr>
                    <w:t>20m</w:t>
                  </w:r>
                </w:p>
              </w:tc>
              <w:tc>
                <w:tcPr>
                  <w:tcW w:w="873" w:type="dxa"/>
                  <w:vAlign w:val="center"/>
                </w:tcPr>
                <w:p>
                  <w:pPr>
                    <w:pStyle w:val="50"/>
                    <w:jc w:val="center"/>
                    <w:rPr>
                      <w:kern w:val="2"/>
                    </w:rPr>
                  </w:pPr>
                  <w:r>
                    <w:rPr>
                      <w:rFonts w:hint="eastAsia"/>
                      <w:kern w:val="2"/>
                    </w:rPr>
                    <w:t>1</w:t>
                  </w:r>
                </w:p>
              </w:tc>
              <w:tc>
                <w:tcPr>
                  <w:tcW w:w="2116" w:type="dxa"/>
                  <w:vAlign w:val="center"/>
                </w:tcPr>
                <w:p>
                  <w:pPr>
                    <w:pStyle w:val="50"/>
                    <w:jc w:val="center"/>
                  </w:pPr>
                  <w:r>
                    <w:rPr>
                      <w:rFonts w:hint="eastAsia"/>
                    </w:rPr>
                    <w:t>容量为</w:t>
                  </w:r>
                  <w:r>
                    <w:t>400t</w:t>
                  </w:r>
                  <w:r>
                    <w:rPr>
                      <w:rFonts w:hint="eastAsia"/>
                    </w:rPr>
                    <w:t>（折合</w:t>
                  </w:r>
                  <w:r>
                    <w:t>500m</w:t>
                  </w:r>
                  <w:r>
                    <w:rPr>
                      <w:vertAlign w:val="superscript"/>
                    </w:rPr>
                    <w:t>3</w:t>
                  </w:r>
                  <w:r>
                    <w:rPr>
                      <w:rFonts w:hint="eastAsia"/>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28" w:type="dxa"/>
                  <w:bottom w:w="0" w:type="dxa"/>
                  <w:right w:w="28" w:type="dxa"/>
                </w:tblCellMar>
              </w:tblPrEx>
              <w:trPr>
                <w:trHeight w:val="454" w:hRule="atLeast"/>
                <w:jc w:val="center"/>
              </w:trPr>
              <w:tc>
                <w:tcPr>
                  <w:tcW w:w="780" w:type="dxa"/>
                  <w:vAlign w:val="center"/>
                </w:tcPr>
                <w:p>
                  <w:pPr>
                    <w:pStyle w:val="50"/>
                    <w:jc w:val="center"/>
                    <w:rPr>
                      <w:kern w:val="2"/>
                    </w:rPr>
                  </w:pPr>
                  <w:r>
                    <w:rPr>
                      <w:rFonts w:hint="eastAsia"/>
                      <w:kern w:val="2"/>
                    </w:rPr>
                    <w:t>3</w:t>
                  </w:r>
                </w:p>
              </w:tc>
              <w:tc>
                <w:tcPr>
                  <w:tcW w:w="2182" w:type="dxa"/>
                  <w:vAlign w:val="center"/>
                </w:tcPr>
                <w:p>
                  <w:pPr>
                    <w:pStyle w:val="50"/>
                    <w:jc w:val="center"/>
                    <w:rPr>
                      <w:kern w:val="2"/>
                    </w:rPr>
                  </w:pPr>
                  <w:r>
                    <w:rPr>
                      <w:rFonts w:hint="eastAsia"/>
                    </w:rPr>
                    <w:t>分选机</w:t>
                  </w:r>
                </w:p>
              </w:tc>
              <w:tc>
                <w:tcPr>
                  <w:tcW w:w="1984" w:type="dxa"/>
                  <w:vAlign w:val="center"/>
                </w:tcPr>
                <w:p>
                  <w:pPr>
                    <w:pStyle w:val="50"/>
                    <w:jc w:val="center"/>
                    <w:rPr>
                      <w:spacing w:val="6"/>
                    </w:rPr>
                  </w:pPr>
                  <w:r>
                    <w:rPr>
                      <w:rFonts w:hint="eastAsia"/>
                    </w:rPr>
                    <w:t>CXF750</w:t>
                  </w:r>
                </w:p>
              </w:tc>
              <w:tc>
                <w:tcPr>
                  <w:tcW w:w="873" w:type="dxa"/>
                  <w:vAlign w:val="center"/>
                </w:tcPr>
                <w:p>
                  <w:pPr>
                    <w:pStyle w:val="50"/>
                    <w:jc w:val="center"/>
                    <w:rPr>
                      <w:kern w:val="2"/>
                    </w:rPr>
                  </w:pPr>
                  <w:r>
                    <w:rPr>
                      <w:rFonts w:hint="eastAsia"/>
                      <w:kern w:val="2"/>
                    </w:rPr>
                    <w:t>1</w:t>
                  </w:r>
                </w:p>
              </w:tc>
              <w:tc>
                <w:tcPr>
                  <w:tcW w:w="2116" w:type="dxa"/>
                  <w:vAlign w:val="center"/>
                </w:tcPr>
                <w:p>
                  <w:pPr>
                    <w:pStyle w:val="50"/>
                    <w:jc w:val="center"/>
                  </w:pPr>
                  <w:r>
                    <w:rPr>
                      <w:rFonts w:hint="eastAsia"/>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28" w:type="dxa"/>
                  <w:bottom w:w="0" w:type="dxa"/>
                  <w:right w:w="28" w:type="dxa"/>
                </w:tblCellMar>
              </w:tblPrEx>
              <w:trPr>
                <w:trHeight w:val="454" w:hRule="atLeast"/>
                <w:jc w:val="center"/>
              </w:trPr>
              <w:tc>
                <w:tcPr>
                  <w:tcW w:w="780" w:type="dxa"/>
                  <w:vAlign w:val="center"/>
                </w:tcPr>
                <w:p>
                  <w:pPr>
                    <w:pStyle w:val="50"/>
                    <w:jc w:val="center"/>
                    <w:rPr>
                      <w:kern w:val="2"/>
                    </w:rPr>
                  </w:pPr>
                  <w:r>
                    <w:rPr>
                      <w:rFonts w:hint="eastAsia"/>
                      <w:kern w:val="2"/>
                    </w:rPr>
                    <w:t>4</w:t>
                  </w:r>
                </w:p>
              </w:tc>
              <w:tc>
                <w:tcPr>
                  <w:tcW w:w="2182" w:type="dxa"/>
                  <w:vAlign w:val="center"/>
                </w:tcPr>
                <w:p>
                  <w:pPr>
                    <w:pStyle w:val="50"/>
                    <w:jc w:val="center"/>
                  </w:pPr>
                  <w:r>
                    <w:rPr>
                      <w:rFonts w:hint="eastAsia"/>
                    </w:rPr>
                    <w:t>高细管磨机</w:t>
                  </w:r>
                </w:p>
              </w:tc>
              <w:tc>
                <w:tcPr>
                  <w:tcW w:w="1984" w:type="dxa"/>
                  <w:vAlign w:val="center"/>
                </w:tcPr>
                <w:p>
                  <w:pPr>
                    <w:pStyle w:val="50"/>
                    <w:jc w:val="center"/>
                  </w:pPr>
                  <w:r>
                    <w:rPr>
                      <w:spacing w:val="6"/>
                    </w:rPr>
                    <w:t>Φ</w:t>
                  </w:r>
                  <w:r>
                    <w:rPr>
                      <w:rFonts w:hint="eastAsia"/>
                    </w:rPr>
                    <w:t>2.2m</w:t>
                  </w:r>
                  <w:r>
                    <w:rPr>
                      <w:rFonts w:hint="eastAsia"/>
                      <w:spacing w:val="6"/>
                    </w:rPr>
                    <w:t>×</w:t>
                  </w:r>
                  <w:r>
                    <w:rPr>
                      <w:rFonts w:hint="eastAsia"/>
                    </w:rPr>
                    <w:t>12m</w:t>
                  </w:r>
                </w:p>
              </w:tc>
              <w:tc>
                <w:tcPr>
                  <w:tcW w:w="873" w:type="dxa"/>
                  <w:vAlign w:val="center"/>
                </w:tcPr>
                <w:p>
                  <w:pPr>
                    <w:pStyle w:val="50"/>
                    <w:jc w:val="center"/>
                    <w:rPr>
                      <w:kern w:val="2"/>
                    </w:rPr>
                  </w:pPr>
                  <w:r>
                    <w:rPr>
                      <w:rFonts w:hint="eastAsia"/>
                      <w:kern w:val="2"/>
                    </w:rPr>
                    <w:t>1</w:t>
                  </w:r>
                </w:p>
              </w:tc>
              <w:tc>
                <w:tcPr>
                  <w:tcW w:w="2116" w:type="dxa"/>
                  <w:vAlign w:val="center"/>
                </w:tcPr>
                <w:p>
                  <w:pPr>
                    <w:pStyle w:val="50"/>
                    <w:jc w:val="center"/>
                  </w:pPr>
                  <w:r>
                    <w:rPr>
                      <w:rFonts w:hint="eastAsia"/>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28" w:type="dxa"/>
                  <w:bottom w:w="0" w:type="dxa"/>
                  <w:right w:w="28" w:type="dxa"/>
                </w:tblCellMar>
              </w:tblPrEx>
              <w:trPr>
                <w:trHeight w:val="454" w:hRule="atLeast"/>
                <w:jc w:val="center"/>
              </w:trPr>
              <w:tc>
                <w:tcPr>
                  <w:tcW w:w="780" w:type="dxa"/>
                  <w:vAlign w:val="center"/>
                </w:tcPr>
                <w:p>
                  <w:pPr>
                    <w:pStyle w:val="50"/>
                    <w:jc w:val="center"/>
                    <w:rPr>
                      <w:kern w:val="2"/>
                    </w:rPr>
                  </w:pPr>
                  <w:r>
                    <w:rPr>
                      <w:rFonts w:hint="eastAsia"/>
                      <w:kern w:val="2"/>
                    </w:rPr>
                    <w:t>5</w:t>
                  </w:r>
                </w:p>
              </w:tc>
              <w:tc>
                <w:tcPr>
                  <w:tcW w:w="2182" w:type="dxa"/>
                  <w:vAlign w:val="center"/>
                </w:tcPr>
                <w:p>
                  <w:pPr>
                    <w:pStyle w:val="50"/>
                    <w:jc w:val="center"/>
                  </w:pPr>
                  <w:r>
                    <w:rPr>
                      <w:rFonts w:hint="eastAsia"/>
                    </w:rPr>
                    <w:t>散装机</w:t>
                  </w:r>
                </w:p>
              </w:tc>
              <w:tc>
                <w:tcPr>
                  <w:tcW w:w="1984" w:type="dxa"/>
                  <w:vAlign w:val="center"/>
                </w:tcPr>
                <w:p>
                  <w:pPr>
                    <w:pStyle w:val="50"/>
                    <w:jc w:val="center"/>
                  </w:pPr>
                  <w:r>
                    <w:rPr>
                      <w:rFonts w:hint="eastAsia"/>
                    </w:rPr>
                    <w:t>NT600</w:t>
                  </w:r>
                  <w:r>
                    <w:rPr>
                      <w:rFonts w:hint="eastAsia"/>
                      <w:spacing w:val="6"/>
                    </w:rPr>
                    <w:t>×</w:t>
                  </w:r>
                  <w:r>
                    <w:rPr>
                      <w:rFonts w:hint="eastAsia"/>
                    </w:rPr>
                    <w:t>l.8m</w:t>
                  </w:r>
                </w:p>
              </w:tc>
              <w:tc>
                <w:tcPr>
                  <w:tcW w:w="873" w:type="dxa"/>
                  <w:vAlign w:val="center"/>
                </w:tcPr>
                <w:p>
                  <w:pPr>
                    <w:pStyle w:val="50"/>
                    <w:jc w:val="center"/>
                    <w:rPr>
                      <w:kern w:val="2"/>
                    </w:rPr>
                  </w:pPr>
                  <w:r>
                    <w:rPr>
                      <w:rFonts w:hint="eastAsia"/>
                      <w:kern w:val="2"/>
                    </w:rPr>
                    <w:t>1</w:t>
                  </w:r>
                </w:p>
              </w:tc>
              <w:tc>
                <w:tcPr>
                  <w:tcW w:w="2116" w:type="dxa"/>
                  <w:vAlign w:val="center"/>
                </w:tcPr>
                <w:p>
                  <w:pPr>
                    <w:pStyle w:val="50"/>
                    <w:jc w:val="center"/>
                  </w:pPr>
                  <w:r>
                    <w:rPr>
                      <w:rFonts w:hint="eastAsia"/>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28" w:type="dxa"/>
                  <w:bottom w:w="0" w:type="dxa"/>
                  <w:right w:w="28" w:type="dxa"/>
                </w:tblCellMar>
              </w:tblPrEx>
              <w:trPr>
                <w:trHeight w:val="454" w:hRule="atLeast"/>
                <w:jc w:val="center"/>
              </w:trPr>
              <w:tc>
                <w:tcPr>
                  <w:tcW w:w="780" w:type="dxa"/>
                  <w:vAlign w:val="center"/>
                </w:tcPr>
                <w:p>
                  <w:pPr>
                    <w:pStyle w:val="50"/>
                    <w:jc w:val="center"/>
                    <w:rPr>
                      <w:kern w:val="2"/>
                    </w:rPr>
                  </w:pPr>
                  <w:r>
                    <w:rPr>
                      <w:rFonts w:hint="eastAsia"/>
                      <w:kern w:val="2"/>
                    </w:rPr>
                    <w:t>6</w:t>
                  </w:r>
                </w:p>
              </w:tc>
              <w:tc>
                <w:tcPr>
                  <w:tcW w:w="2182" w:type="dxa"/>
                  <w:vAlign w:val="center"/>
                </w:tcPr>
                <w:p>
                  <w:pPr>
                    <w:pStyle w:val="50"/>
                    <w:jc w:val="center"/>
                  </w:pPr>
                  <w:r>
                    <w:rPr>
                      <w:rFonts w:hint="eastAsia"/>
                    </w:rPr>
                    <w:t>螺旋计量称</w:t>
                  </w:r>
                </w:p>
              </w:tc>
              <w:tc>
                <w:tcPr>
                  <w:tcW w:w="1984" w:type="dxa"/>
                  <w:vAlign w:val="center"/>
                </w:tcPr>
                <w:p>
                  <w:pPr>
                    <w:pStyle w:val="50"/>
                    <w:jc w:val="center"/>
                  </w:pPr>
                  <w:r>
                    <w:rPr>
                      <w:spacing w:val="6"/>
                    </w:rPr>
                    <w:t>Φ</w:t>
                  </w:r>
                  <w:r>
                    <w:rPr>
                      <w:rFonts w:hint="eastAsia"/>
                    </w:rPr>
                    <w:t>425</w:t>
                  </w:r>
                  <w:r>
                    <w:rPr>
                      <w:rFonts w:hint="eastAsia"/>
                      <w:spacing w:val="6"/>
                    </w:rPr>
                    <w:t>×</w:t>
                  </w:r>
                  <w:r>
                    <w:rPr>
                      <w:rFonts w:hint="eastAsia"/>
                    </w:rPr>
                    <w:t>300-24</w:t>
                  </w:r>
                </w:p>
              </w:tc>
              <w:tc>
                <w:tcPr>
                  <w:tcW w:w="873" w:type="dxa"/>
                  <w:vAlign w:val="center"/>
                </w:tcPr>
                <w:p>
                  <w:pPr>
                    <w:pStyle w:val="50"/>
                    <w:jc w:val="center"/>
                    <w:rPr>
                      <w:kern w:val="2"/>
                    </w:rPr>
                  </w:pPr>
                  <w:r>
                    <w:rPr>
                      <w:rFonts w:hint="eastAsia"/>
                      <w:kern w:val="2"/>
                    </w:rPr>
                    <w:t>1</w:t>
                  </w:r>
                </w:p>
              </w:tc>
              <w:tc>
                <w:tcPr>
                  <w:tcW w:w="2116" w:type="dxa"/>
                  <w:vAlign w:val="center"/>
                </w:tcPr>
                <w:p>
                  <w:pPr>
                    <w:pStyle w:val="50"/>
                    <w:jc w:val="center"/>
                  </w:pPr>
                  <w:r>
                    <w:rPr>
                      <w:rFonts w:hint="eastAsia"/>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28" w:type="dxa"/>
                  <w:bottom w:w="0" w:type="dxa"/>
                  <w:right w:w="28" w:type="dxa"/>
                </w:tblCellMar>
              </w:tblPrEx>
              <w:trPr>
                <w:trHeight w:val="454" w:hRule="atLeast"/>
                <w:jc w:val="center"/>
              </w:trPr>
              <w:tc>
                <w:tcPr>
                  <w:tcW w:w="780" w:type="dxa"/>
                  <w:vAlign w:val="center"/>
                </w:tcPr>
                <w:p>
                  <w:pPr>
                    <w:pStyle w:val="50"/>
                    <w:jc w:val="center"/>
                    <w:rPr>
                      <w:kern w:val="2"/>
                    </w:rPr>
                  </w:pPr>
                  <w:r>
                    <w:rPr>
                      <w:rFonts w:hint="eastAsia"/>
                      <w:kern w:val="2"/>
                    </w:rPr>
                    <w:t>7</w:t>
                  </w:r>
                </w:p>
              </w:tc>
              <w:tc>
                <w:tcPr>
                  <w:tcW w:w="2182" w:type="dxa"/>
                  <w:vAlign w:val="center"/>
                </w:tcPr>
                <w:p>
                  <w:pPr>
                    <w:pStyle w:val="50"/>
                    <w:jc w:val="center"/>
                  </w:pPr>
                  <w:r>
                    <w:rPr>
                      <w:rFonts w:hint="eastAsia"/>
                    </w:rPr>
                    <w:t>气体输送机</w:t>
                  </w:r>
                </w:p>
                <w:p>
                  <w:pPr>
                    <w:pStyle w:val="50"/>
                    <w:jc w:val="center"/>
                  </w:pPr>
                  <w:r>
                    <w:rPr>
                      <w:rFonts w:hint="eastAsia"/>
                    </w:rPr>
                    <w:t>（原料</w:t>
                  </w:r>
                  <w:r>
                    <w:t>仓</w:t>
                  </w:r>
                  <w:r>
                    <w:rPr>
                      <w:rFonts w:hint="eastAsia"/>
                    </w:rPr>
                    <w:t>-提升机）</w:t>
                  </w:r>
                </w:p>
              </w:tc>
              <w:tc>
                <w:tcPr>
                  <w:tcW w:w="1984" w:type="dxa"/>
                  <w:vAlign w:val="center"/>
                </w:tcPr>
                <w:p>
                  <w:pPr>
                    <w:pStyle w:val="50"/>
                    <w:jc w:val="center"/>
                  </w:pPr>
                  <w:r>
                    <w:rPr>
                      <w:rFonts w:hint="eastAsia"/>
                    </w:rPr>
                    <w:t>HT400</w:t>
                  </w:r>
                  <w:r>
                    <w:rPr>
                      <w:rFonts w:hint="eastAsia"/>
                      <w:spacing w:val="6"/>
                    </w:rPr>
                    <w:t>×</w:t>
                  </w:r>
                  <w:r>
                    <w:rPr>
                      <w:rFonts w:hint="eastAsia"/>
                    </w:rPr>
                    <w:t>8m</w:t>
                  </w:r>
                </w:p>
              </w:tc>
              <w:tc>
                <w:tcPr>
                  <w:tcW w:w="873" w:type="dxa"/>
                  <w:vAlign w:val="center"/>
                </w:tcPr>
                <w:p>
                  <w:pPr>
                    <w:pStyle w:val="50"/>
                    <w:jc w:val="center"/>
                    <w:rPr>
                      <w:kern w:val="2"/>
                    </w:rPr>
                  </w:pPr>
                  <w:r>
                    <w:rPr>
                      <w:rFonts w:hint="eastAsia"/>
                      <w:kern w:val="2"/>
                    </w:rPr>
                    <w:t>1</w:t>
                  </w:r>
                </w:p>
              </w:tc>
              <w:tc>
                <w:tcPr>
                  <w:tcW w:w="2116" w:type="dxa"/>
                  <w:vAlign w:val="center"/>
                </w:tcPr>
                <w:p>
                  <w:pPr>
                    <w:pStyle w:val="50"/>
                    <w:jc w:val="center"/>
                  </w:pPr>
                  <w:r>
                    <w:rPr>
                      <w:rFonts w:hint="eastAsia"/>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28" w:type="dxa"/>
                  <w:bottom w:w="0" w:type="dxa"/>
                  <w:right w:w="28" w:type="dxa"/>
                </w:tblCellMar>
              </w:tblPrEx>
              <w:trPr>
                <w:trHeight w:val="454" w:hRule="atLeast"/>
                <w:jc w:val="center"/>
              </w:trPr>
              <w:tc>
                <w:tcPr>
                  <w:tcW w:w="780" w:type="dxa"/>
                  <w:vAlign w:val="center"/>
                </w:tcPr>
                <w:p>
                  <w:pPr>
                    <w:pStyle w:val="50"/>
                    <w:jc w:val="center"/>
                    <w:rPr>
                      <w:kern w:val="2"/>
                    </w:rPr>
                  </w:pPr>
                  <w:r>
                    <w:rPr>
                      <w:rFonts w:hint="eastAsia"/>
                      <w:kern w:val="2"/>
                    </w:rPr>
                    <w:t>8</w:t>
                  </w:r>
                </w:p>
              </w:tc>
              <w:tc>
                <w:tcPr>
                  <w:tcW w:w="2182" w:type="dxa"/>
                  <w:vAlign w:val="center"/>
                </w:tcPr>
                <w:p>
                  <w:pPr>
                    <w:pStyle w:val="50"/>
                    <w:jc w:val="center"/>
                  </w:pPr>
                  <w:r>
                    <w:rPr>
                      <w:rFonts w:hint="eastAsia"/>
                    </w:rPr>
                    <w:t>提升机</w:t>
                  </w:r>
                </w:p>
              </w:tc>
              <w:tc>
                <w:tcPr>
                  <w:tcW w:w="1984" w:type="dxa"/>
                  <w:vAlign w:val="center"/>
                </w:tcPr>
                <w:p>
                  <w:pPr>
                    <w:pStyle w:val="50"/>
                    <w:jc w:val="center"/>
                  </w:pPr>
                  <w:r>
                    <w:rPr>
                      <w:rFonts w:hint="eastAsia"/>
                    </w:rPr>
                    <w:t>NE100</w:t>
                  </w:r>
                  <w:r>
                    <w:rPr>
                      <w:rFonts w:hint="eastAsia"/>
                      <w:spacing w:val="6"/>
                    </w:rPr>
                    <w:t>×</w:t>
                  </w:r>
                  <w:r>
                    <w:rPr>
                      <w:rFonts w:hint="eastAsia"/>
                    </w:rPr>
                    <w:t>17m</w:t>
                  </w:r>
                </w:p>
              </w:tc>
              <w:tc>
                <w:tcPr>
                  <w:tcW w:w="873" w:type="dxa"/>
                  <w:vAlign w:val="center"/>
                </w:tcPr>
                <w:p>
                  <w:pPr>
                    <w:pStyle w:val="50"/>
                    <w:jc w:val="center"/>
                    <w:rPr>
                      <w:kern w:val="2"/>
                    </w:rPr>
                  </w:pPr>
                  <w:r>
                    <w:rPr>
                      <w:rFonts w:hint="eastAsia"/>
                      <w:kern w:val="2"/>
                    </w:rPr>
                    <w:t>1</w:t>
                  </w:r>
                </w:p>
              </w:tc>
              <w:tc>
                <w:tcPr>
                  <w:tcW w:w="2116" w:type="dxa"/>
                  <w:vAlign w:val="center"/>
                </w:tcPr>
                <w:p>
                  <w:pPr>
                    <w:pStyle w:val="50"/>
                    <w:jc w:val="center"/>
                  </w:pPr>
                  <w:r>
                    <w:rPr>
                      <w:rFonts w:hint="eastAsia"/>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28" w:type="dxa"/>
                  <w:bottom w:w="0" w:type="dxa"/>
                  <w:right w:w="28" w:type="dxa"/>
                </w:tblCellMar>
              </w:tblPrEx>
              <w:trPr>
                <w:trHeight w:val="454" w:hRule="atLeast"/>
                <w:jc w:val="center"/>
              </w:trPr>
              <w:tc>
                <w:tcPr>
                  <w:tcW w:w="780" w:type="dxa"/>
                  <w:vAlign w:val="center"/>
                </w:tcPr>
                <w:p>
                  <w:pPr>
                    <w:pStyle w:val="50"/>
                    <w:jc w:val="center"/>
                    <w:rPr>
                      <w:kern w:val="2"/>
                    </w:rPr>
                  </w:pPr>
                  <w:r>
                    <w:rPr>
                      <w:rFonts w:hint="eastAsia"/>
                      <w:kern w:val="2"/>
                    </w:rPr>
                    <w:t>9</w:t>
                  </w:r>
                </w:p>
              </w:tc>
              <w:tc>
                <w:tcPr>
                  <w:tcW w:w="2182" w:type="dxa"/>
                  <w:vAlign w:val="center"/>
                </w:tcPr>
                <w:p>
                  <w:pPr>
                    <w:pStyle w:val="50"/>
                    <w:jc w:val="center"/>
                  </w:pPr>
                  <w:r>
                    <w:rPr>
                      <w:rFonts w:hint="eastAsia"/>
                    </w:rPr>
                    <w:t>行吊</w:t>
                  </w:r>
                </w:p>
              </w:tc>
              <w:tc>
                <w:tcPr>
                  <w:tcW w:w="1984" w:type="dxa"/>
                  <w:vAlign w:val="center"/>
                </w:tcPr>
                <w:p>
                  <w:pPr>
                    <w:pStyle w:val="50"/>
                    <w:jc w:val="center"/>
                  </w:pPr>
                  <w:r>
                    <w:rPr>
                      <w:rFonts w:hint="eastAsia"/>
                    </w:rPr>
                    <w:t>5</w:t>
                  </w:r>
                  <w:r>
                    <w:t>t</w:t>
                  </w:r>
                </w:p>
              </w:tc>
              <w:tc>
                <w:tcPr>
                  <w:tcW w:w="873" w:type="dxa"/>
                  <w:vAlign w:val="center"/>
                </w:tcPr>
                <w:p>
                  <w:pPr>
                    <w:pStyle w:val="50"/>
                    <w:jc w:val="center"/>
                    <w:rPr>
                      <w:kern w:val="2"/>
                    </w:rPr>
                  </w:pPr>
                  <w:r>
                    <w:rPr>
                      <w:rFonts w:hint="eastAsia"/>
                      <w:kern w:val="2"/>
                    </w:rPr>
                    <w:t>1</w:t>
                  </w:r>
                </w:p>
              </w:tc>
              <w:tc>
                <w:tcPr>
                  <w:tcW w:w="2116" w:type="dxa"/>
                  <w:vAlign w:val="center"/>
                </w:tcPr>
                <w:p>
                  <w:pPr>
                    <w:pStyle w:val="50"/>
                    <w:jc w:val="center"/>
                  </w:pPr>
                  <w:r>
                    <w:rPr>
                      <w:rFonts w:hint="eastAsia"/>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28" w:type="dxa"/>
                  <w:bottom w:w="0" w:type="dxa"/>
                  <w:right w:w="28" w:type="dxa"/>
                </w:tblCellMar>
              </w:tblPrEx>
              <w:trPr>
                <w:trHeight w:val="454" w:hRule="atLeast"/>
                <w:jc w:val="center"/>
              </w:trPr>
              <w:tc>
                <w:tcPr>
                  <w:tcW w:w="780" w:type="dxa"/>
                  <w:vAlign w:val="center"/>
                </w:tcPr>
                <w:p>
                  <w:pPr>
                    <w:pStyle w:val="50"/>
                    <w:jc w:val="center"/>
                    <w:rPr>
                      <w:kern w:val="2"/>
                    </w:rPr>
                  </w:pPr>
                  <w:r>
                    <w:rPr>
                      <w:rFonts w:hint="eastAsia"/>
                      <w:kern w:val="2"/>
                    </w:rPr>
                    <w:t>10</w:t>
                  </w:r>
                </w:p>
              </w:tc>
              <w:tc>
                <w:tcPr>
                  <w:tcW w:w="2182" w:type="dxa"/>
                  <w:vAlign w:val="center"/>
                </w:tcPr>
                <w:p>
                  <w:pPr>
                    <w:pStyle w:val="50"/>
                    <w:jc w:val="center"/>
                  </w:pPr>
                  <w:r>
                    <w:rPr>
                      <w:rFonts w:hint="eastAsia"/>
                    </w:rPr>
                    <w:t>气体输送机</w:t>
                  </w:r>
                </w:p>
                <w:p>
                  <w:pPr>
                    <w:pStyle w:val="50"/>
                    <w:jc w:val="center"/>
                  </w:pPr>
                  <w:r>
                    <w:rPr>
                      <w:rFonts w:hint="eastAsia"/>
                    </w:rPr>
                    <w:t>（磨机</w:t>
                  </w:r>
                  <w:r>
                    <w:t>-</w:t>
                  </w:r>
                  <w:r>
                    <w:rPr>
                      <w:rFonts w:hint="eastAsia"/>
                    </w:rPr>
                    <w:t>分选机回流</w:t>
                  </w:r>
                  <w:r>
                    <w:t>段</w:t>
                  </w:r>
                  <w:r>
                    <w:rPr>
                      <w:rFonts w:hint="eastAsia"/>
                    </w:rPr>
                    <w:t>）</w:t>
                  </w:r>
                </w:p>
              </w:tc>
              <w:tc>
                <w:tcPr>
                  <w:tcW w:w="1984" w:type="dxa"/>
                  <w:vAlign w:val="center"/>
                </w:tcPr>
                <w:p>
                  <w:pPr>
                    <w:pStyle w:val="50"/>
                    <w:jc w:val="center"/>
                  </w:pPr>
                  <w:r>
                    <w:rPr>
                      <w:rFonts w:hint="eastAsia"/>
                    </w:rPr>
                    <w:t>HT400</w:t>
                  </w:r>
                  <w:r>
                    <w:rPr>
                      <w:rFonts w:hint="eastAsia"/>
                      <w:spacing w:val="6"/>
                    </w:rPr>
                    <w:t>×</w:t>
                  </w:r>
                  <w:r>
                    <w:rPr>
                      <w:rFonts w:hint="eastAsia"/>
                    </w:rPr>
                    <w:t>26m</w:t>
                  </w:r>
                </w:p>
              </w:tc>
              <w:tc>
                <w:tcPr>
                  <w:tcW w:w="873" w:type="dxa"/>
                  <w:vAlign w:val="center"/>
                </w:tcPr>
                <w:p>
                  <w:pPr>
                    <w:pStyle w:val="50"/>
                    <w:jc w:val="center"/>
                    <w:rPr>
                      <w:kern w:val="2"/>
                    </w:rPr>
                  </w:pPr>
                  <w:r>
                    <w:rPr>
                      <w:rFonts w:hint="eastAsia"/>
                      <w:kern w:val="2"/>
                    </w:rPr>
                    <w:t>1</w:t>
                  </w:r>
                </w:p>
              </w:tc>
              <w:tc>
                <w:tcPr>
                  <w:tcW w:w="2116" w:type="dxa"/>
                  <w:vAlign w:val="center"/>
                </w:tcPr>
                <w:p>
                  <w:pPr>
                    <w:pStyle w:val="50"/>
                    <w:jc w:val="center"/>
                  </w:pPr>
                  <w:r>
                    <w:rPr>
                      <w:rFonts w:hint="eastAsia"/>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28" w:type="dxa"/>
                  <w:bottom w:w="0" w:type="dxa"/>
                  <w:right w:w="28" w:type="dxa"/>
                </w:tblCellMar>
              </w:tblPrEx>
              <w:trPr>
                <w:trHeight w:val="454" w:hRule="atLeast"/>
                <w:jc w:val="center"/>
              </w:trPr>
              <w:tc>
                <w:tcPr>
                  <w:tcW w:w="780" w:type="dxa"/>
                  <w:vAlign w:val="center"/>
                </w:tcPr>
                <w:p>
                  <w:pPr>
                    <w:pStyle w:val="50"/>
                    <w:jc w:val="center"/>
                    <w:rPr>
                      <w:kern w:val="2"/>
                    </w:rPr>
                  </w:pPr>
                  <w:r>
                    <w:rPr>
                      <w:rFonts w:hint="eastAsia"/>
                      <w:kern w:val="2"/>
                    </w:rPr>
                    <w:t>11</w:t>
                  </w:r>
                </w:p>
              </w:tc>
              <w:tc>
                <w:tcPr>
                  <w:tcW w:w="2182" w:type="dxa"/>
                  <w:vAlign w:val="center"/>
                </w:tcPr>
                <w:p>
                  <w:pPr>
                    <w:pStyle w:val="50"/>
                    <w:jc w:val="center"/>
                  </w:pPr>
                  <w:r>
                    <w:rPr>
                      <w:rFonts w:hint="eastAsia"/>
                    </w:rPr>
                    <w:t>气体输送机</w:t>
                  </w:r>
                </w:p>
                <w:p>
                  <w:pPr>
                    <w:pStyle w:val="50"/>
                    <w:jc w:val="center"/>
                  </w:pPr>
                  <w:r>
                    <w:rPr>
                      <w:rFonts w:hint="eastAsia"/>
                    </w:rPr>
                    <w:t>（分选机</w:t>
                  </w:r>
                  <w:r>
                    <w:t>-磨机</w:t>
                  </w:r>
                  <w:r>
                    <w:rPr>
                      <w:rFonts w:hint="eastAsia"/>
                    </w:rPr>
                    <w:t>）</w:t>
                  </w:r>
                </w:p>
              </w:tc>
              <w:tc>
                <w:tcPr>
                  <w:tcW w:w="1984" w:type="dxa"/>
                  <w:vAlign w:val="center"/>
                </w:tcPr>
                <w:p>
                  <w:pPr>
                    <w:pStyle w:val="50"/>
                    <w:jc w:val="center"/>
                  </w:pPr>
                  <w:r>
                    <w:rPr>
                      <w:rFonts w:hint="eastAsia"/>
                    </w:rPr>
                    <w:t>HT400</w:t>
                  </w:r>
                  <w:r>
                    <w:rPr>
                      <w:rFonts w:hint="eastAsia"/>
                      <w:spacing w:val="6"/>
                    </w:rPr>
                    <w:t>×</w:t>
                  </w:r>
                  <w:r>
                    <w:rPr>
                      <w:rFonts w:hint="eastAsia"/>
                    </w:rPr>
                    <w:t>8m</w:t>
                  </w:r>
                </w:p>
              </w:tc>
              <w:tc>
                <w:tcPr>
                  <w:tcW w:w="873" w:type="dxa"/>
                  <w:vAlign w:val="center"/>
                </w:tcPr>
                <w:p>
                  <w:pPr>
                    <w:pStyle w:val="50"/>
                    <w:jc w:val="center"/>
                    <w:rPr>
                      <w:kern w:val="2"/>
                    </w:rPr>
                  </w:pPr>
                  <w:r>
                    <w:rPr>
                      <w:rFonts w:hint="eastAsia"/>
                      <w:kern w:val="2"/>
                    </w:rPr>
                    <w:t>1</w:t>
                  </w:r>
                </w:p>
              </w:tc>
              <w:tc>
                <w:tcPr>
                  <w:tcW w:w="2116" w:type="dxa"/>
                  <w:vAlign w:val="center"/>
                </w:tcPr>
                <w:p>
                  <w:pPr>
                    <w:pStyle w:val="50"/>
                    <w:jc w:val="center"/>
                  </w:pPr>
                  <w:r>
                    <w:rPr>
                      <w:rFonts w:hint="eastAsia"/>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28" w:type="dxa"/>
                  <w:bottom w:w="0" w:type="dxa"/>
                  <w:right w:w="28" w:type="dxa"/>
                </w:tblCellMar>
              </w:tblPrEx>
              <w:trPr>
                <w:trHeight w:val="350" w:hRule="atLeast"/>
                <w:jc w:val="center"/>
              </w:trPr>
              <w:tc>
                <w:tcPr>
                  <w:tcW w:w="780" w:type="dxa"/>
                  <w:vAlign w:val="center"/>
                </w:tcPr>
                <w:p>
                  <w:pPr>
                    <w:pStyle w:val="50"/>
                    <w:jc w:val="center"/>
                    <w:rPr>
                      <w:kern w:val="2"/>
                    </w:rPr>
                  </w:pPr>
                  <w:r>
                    <w:rPr>
                      <w:rFonts w:hint="eastAsia"/>
                      <w:kern w:val="2"/>
                    </w:rPr>
                    <w:t>12</w:t>
                  </w:r>
                </w:p>
              </w:tc>
              <w:tc>
                <w:tcPr>
                  <w:tcW w:w="2182" w:type="dxa"/>
                  <w:vAlign w:val="center"/>
                </w:tcPr>
                <w:p>
                  <w:pPr>
                    <w:pStyle w:val="50"/>
                    <w:jc w:val="center"/>
                  </w:pPr>
                  <w:r>
                    <w:rPr>
                      <w:rFonts w:hint="eastAsia"/>
                    </w:rPr>
                    <w:t>成品提升机</w:t>
                  </w:r>
                </w:p>
              </w:tc>
              <w:tc>
                <w:tcPr>
                  <w:tcW w:w="1984" w:type="dxa"/>
                  <w:vAlign w:val="center"/>
                </w:tcPr>
                <w:p>
                  <w:pPr>
                    <w:pStyle w:val="50"/>
                    <w:jc w:val="center"/>
                  </w:pPr>
                  <w:r>
                    <w:rPr>
                      <w:rFonts w:hint="eastAsia"/>
                    </w:rPr>
                    <w:t>NE100</w:t>
                  </w:r>
                  <w:r>
                    <w:rPr>
                      <w:rFonts w:hint="eastAsia"/>
                      <w:spacing w:val="6"/>
                    </w:rPr>
                    <w:t>×</w:t>
                  </w:r>
                  <w:r>
                    <w:rPr>
                      <w:rFonts w:hint="eastAsia"/>
                    </w:rPr>
                    <w:t>24m</w:t>
                  </w:r>
                </w:p>
              </w:tc>
              <w:tc>
                <w:tcPr>
                  <w:tcW w:w="873" w:type="dxa"/>
                  <w:vAlign w:val="center"/>
                </w:tcPr>
                <w:p>
                  <w:pPr>
                    <w:pStyle w:val="50"/>
                    <w:jc w:val="center"/>
                    <w:rPr>
                      <w:kern w:val="2"/>
                    </w:rPr>
                  </w:pPr>
                  <w:r>
                    <w:rPr>
                      <w:rFonts w:hint="eastAsia"/>
                      <w:kern w:val="2"/>
                    </w:rPr>
                    <w:t>1</w:t>
                  </w:r>
                </w:p>
              </w:tc>
              <w:tc>
                <w:tcPr>
                  <w:tcW w:w="2116" w:type="dxa"/>
                  <w:vAlign w:val="center"/>
                </w:tcPr>
                <w:p>
                  <w:pPr>
                    <w:pStyle w:val="50"/>
                    <w:jc w:val="center"/>
                  </w:pPr>
                  <w:r>
                    <w:rPr>
                      <w:rFonts w:hint="eastAsia"/>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28" w:type="dxa"/>
                  <w:bottom w:w="0" w:type="dxa"/>
                  <w:right w:w="28" w:type="dxa"/>
                </w:tblCellMar>
              </w:tblPrEx>
              <w:trPr>
                <w:trHeight w:val="454" w:hRule="atLeast"/>
                <w:jc w:val="center"/>
              </w:trPr>
              <w:tc>
                <w:tcPr>
                  <w:tcW w:w="780" w:type="dxa"/>
                  <w:vAlign w:val="center"/>
                </w:tcPr>
                <w:p>
                  <w:pPr>
                    <w:pStyle w:val="50"/>
                    <w:jc w:val="center"/>
                    <w:rPr>
                      <w:kern w:val="2"/>
                    </w:rPr>
                  </w:pPr>
                  <w:r>
                    <w:rPr>
                      <w:rFonts w:hint="eastAsia"/>
                      <w:kern w:val="2"/>
                    </w:rPr>
                    <w:t>13</w:t>
                  </w:r>
                </w:p>
              </w:tc>
              <w:tc>
                <w:tcPr>
                  <w:tcW w:w="2182" w:type="dxa"/>
                  <w:vAlign w:val="center"/>
                </w:tcPr>
                <w:p>
                  <w:pPr>
                    <w:pStyle w:val="50"/>
                    <w:jc w:val="center"/>
                  </w:pPr>
                  <w:r>
                    <w:rPr>
                      <w:rFonts w:hint="eastAsia"/>
                    </w:rPr>
                    <w:t>原料仓顶脉冲除尘器</w:t>
                  </w:r>
                </w:p>
              </w:tc>
              <w:tc>
                <w:tcPr>
                  <w:tcW w:w="1984" w:type="dxa"/>
                  <w:vAlign w:val="center"/>
                </w:tcPr>
                <w:p>
                  <w:pPr>
                    <w:jc w:val="center"/>
                  </w:pPr>
                  <w:r>
                    <w:rPr>
                      <w:rFonts w:hint="eastAsia"/>
                    </w:rPr>
                    <w:t>脉冲</w:t>
                  </w:r>
                  <w:r>
                    <w:t>袋式除尘器</w:t>
                  </w:r>
                </w:p>
              </w:tc>
              <w:tc>
                <w:tcPr>
                  <w:tcW w:w="873" w:type="dxa"/>
                  <w:vAlign w:val="center"/>
                </w:tcPr>
                <w:p>
                  <w:pPr>
                    <w:pStyle w:val="50"/>
                    <w:jc w:val="center"/>
                    <w:rPr>
                      <w:kern w:val="2"/>
                    </w:rPr>
                  </w:pPr>
                  <w:r>
                    <w:rPr>
                      <w:rFonts w:hint="eastAsia"/>
                      <w:kern w:val="2"/>
                    </w:rPr>
                    <w:t>1</w:t>
                  </w:r>
                </w:p>
              </w:tc>
              <w:tc>
                <w:tcPr>
                  <w:tcW w:w="2116" w:type="dxa"/>
                  <w:vAlign w:val="center"/>
                </w:tcPr>
                <w:p>
                  <w:pPr>
                    <w:pStyle w:val="50"/>
                    <w:jc w:val="center"/>
                  </w:pPr>
                  <w:r>
                    <w:rPr>
                      <w:rFonts w:hint="eastAsia"/>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28" w:type="dxa"/>
                  <w:bottom w:w="0" w:type="dxa"/>
                  <w:right w:w="28" w:type="dxa"/>
                </w:tblCellMar>
              </w:tblPrEx>
              <w:trPr>
                <w:trHeight w:val="454" w:hRule="atLeast"/>
                <w:jc w:val="center"/>
              </w:trPr>
              <w:tc>
                <w:tcPr>
                  <w:tcW w:w="780" w:type="dxa"/>
                  <w:vAlign w:val="center"/>
                </w:tcPr>
                <w:p>
                  <w:pPr>
                    <w:pStyle w:val="50"/>
                    <w:jc w:val="center"/>
                    <w:rPr>
                      <w:kern w:val="2"/>
                    </w:rPr>
                  </w:pPr>
                  <w:r>
                    <w:rPr>
                      <w:rFonts w:hint="eastAsia"/>
                      <w:kern w:val="2"/>
                    </w:rPr>
                    <w:t>14</w:t>
                  </w:r>
                </w:p>
              </w:tc>
              <w:tc>
                <w:tcPr>
                  <w:tcW w:w="2182" w:type="dxa"/>
                  <w:vAlign w:val="center"/>
                </w:tcPr>
                <w:p>
                  <w:pPr>
                    <w:pStyle w:val="50"/>
                    <w:jc w:val="center"/>
                  </w:pPr>
                  <w:r>
                    <w:rPr>
                      <w:rFonts w:hint="eastAsia"/>
                    </w:rPr>
                    <w:t>粉磨</w:t>
                  </w:r>
                  <w:r>
                    <w:t>机</w:t>
                  </w:r>
                  <w:r>
                    <w:rPr>
                      <w:rFonts w:hint="eastAsia"/>
                    </w:rPr>
                    <w:t>除尘器</w:t>
                  </w:r>
                </w:p>
              </w:tc>
              <w:tc>
                <w:tcPr>
                  <w:tcW w:w="1984" w:type="dxa"/>
                  <w:vAlign w:val="center"/>
                </w:tcPr>
                <w:p>
                  <w:pPr>
                    <w:pStyle w:val="50"/>
                    <w:jc w:val="center"/>
                  </w:pPr>
                  <w:r>
                    <w:rPr>
                      <w:rFonts w:hint="eastAsia"/>
                    </w:rPr>
                    <w:t>脉冲</w:t>
                  </w:r>
                  <w:r>
                    <w:t>袋式除尘器</w:t>
                  </w:r>
                </w:p>
              </w:tc>
              <w:tc>
                <w:tcPr>
                  <w:tcW w:w="873" w:type="dxa"/>
                  <w:vAlign w:val="center"/>
                </w:tcPr>
                <w:p>
                  <w:pPr>
                    <w:pStyle w:val="50"/>
                    <w:jc w:val="center"/>
                    <w:rPr>
                      <w:kern w:val="2"/>
                    </w:rPr>
                  </w:pPr>
                  <w:r>
                    <w:rPr>
                      <w:rFonts w:hint="eastAsia"/>
                      <w:kern w:val="2"/>
                    </w:rPr>
                    <w:t>1</w:t>
                  </w:r>
                </w:p>
              </w:tc>
              <w:tc>
                <w:tcPr>
                  <w:tcW w:w="2116" w:type="dxa"/>
                  <w:vAlign w:val="center"/>
                </w:tcPr>
                <w:p>
                  <w:pPr>
                    <w:pStyle w:val="50"/>
                    <w:jc w:val="center"/>
                  </w:pPr>
                  <w:r>
                    <w:rPr>
                      <w:rFonts w:hint="eastAsia"/>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28" w:type="dxa"/>
                  <w:bottom w:w="0" w:type="dxa"/>
                  <w:right w:w="28" w:type="dxa"/>
                </w:tblCellMar>
              </w:tblPrEx>
              <w:trPr>
                <w:trHeight w:val="454" w:hRule="atLeast"/>
                <w:jc w:val="center"/>
              </w:trPr>
              <w:tc>
                <w:tcPr>
                  <w:tcW w:w="780" w:type="dxa"/>
                  <w:vAlign w:val="center"/>
                </w:tcPr>
                <w:p>
                  <w:pPr>
                    <w:pStyle w:val="50"/>
                    <w:jc w:val="center"/>
                    <w:rPr>
                      <w:kern w:val="2"/>
                    </w:rPr>
                  </w:pPr>
                  <w:r>
                    <w:rPr>
                      <w:rFonts w:hint="eastAsia"/>
                      <w:kern w:val="2"/>
                    </w:rPr>
                    <w:t>15</w:t>
                  </w:r>
                </w:p>
              </w:tc>
              <w:tc>
                <w:tcPr>
                  <w:tcW w:w="2182" w:type="dxa"/>
                  <w:vAlign w:val="center"/>
                </w:tcPr>
                <w:p>
                  <w:pPr>
                    <w:pStyle w:val="50"/>
                    <w:jc w:val="center"/>
                  </w:pPr>
                  <w:r>
                    <w:rPr>
                      <w:rFonts w:hint="eastAsia"/>
                    </w:rPr>
                    <w:t>提升机除尘器</w:t>
                  </w:r>
                </w:p>
              </w:tc>
              <w:tc>
                <w:tcPr>
                  <w:tcW w:w="1984" w:type="dxa"/>
                  <w:vAlign w:val="center"/>
                </w:tcPr>
                <w:p>
                  <w:pPr>
                    <w:pStyle w:val="50"/>
                    <w:jc w:val="center"/>
                  </w:pPr>
                  <w:r>
                    <w:rPr>
                      <w:rFonts w:hint="eastAsia"/>
                    </w:rPr>
                    <w:t>脉冲</w:t>
                  </w:r>
                  <w:r>
                    <w:t>袋式除尘器</w:t>
                  </w:r>
                </w:p>
              </w:tc>
              <w:tc>
                <w:tcPr>
                  <w:tcW w:w="873" w:type="dxa"/>
                  <w:vAlign w:val="center"/>
                </w:tcPr>
                <w:p>
                  <w:pPr>
                    <w:pStyle w:val="50"/>
                    <w:jc w:val="center"/>
                    <w:rPr>
                      <w:kern w:val="2"/>
                    </w:rPr>
                  </w:pPr>
                  <w:r>
                    <w:rPr>
                      <w:rFonts w:hint="eastAsia"/>
                      <w:kern w:val="2"/>
                    </w:rPr>
                    <w:t>1</w:t>
                  </w:r>
                </w:p>
              </w:tc>
              <w:tc>
                <w:tcPr>
                  <w:tcW w:w="2116" w:type="dxa"/>
                  <w:vAlign w:val="center"/>
                </w:tcPr>
                <w:p>
                  <w:pPr>
                    <w:pStyle w:val="50"/>
                    <w:jc w:val="center"/>
                  </w:pPr>
                  <w:r>
                    <w:rPr>
                      <w:rFonts w:hint="eastAsia"/>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28" w:type="dxa"/>
                  <w:bottom w:w="0" w:type="dxa"/>
                  <w:right w:w="28" w:type="dxa"/>
                </w:tblCellMar>
              </w:tblPrEx>
              <w:trPr>
                <w:trHeight w:val="454" w:hRule="atLeast"/>
                <w:jc w:val="center"/>
              </w:trPr>
              <w:tc>
                <w:tcPr>
                  <w:tcW w:w="780" w:type="dxa"/>
                  <w:vAlign w:val="center"/>
                </w:tcPr>
                <w:p>
                  <w:pPr>
                    <w:pStyle w:val="50"/>
                    <w:jc w:val="center"/>
                    <w:rPr>
                      <w:kern w:val="2"/>
                    </w:rPr>
                  </w:pPr>
                  <w:r>
                    <w:rPr>
                      <w:rFonts w:hint="eastAsia"/>
                      <w:kern w:val="2"/>
                    </w:rPr>
                    <w:t>16</w:t>
                  </w:r>
                </w:p>
              </w:tc>
              <w:tc>
                <w:tcPr>
                  <w:tcW w:w="2182" w:type="dxa"/>
                  <w:vAlign w:val="center"/>
                </w:tcPr>
                <w:p>
                  <w:pPr>
                    <w:pStyle w:val="50"/>
                    <w:jc w:val="center"/>
                  </w:pPr>
                  <w:r>
                    <w:rPr>
                      <w:rFonts w:hint="eastAsia"/>
                    </w:rPr>
                    <w:t>成品库顶除尘器</w:t>
                  </w:r>
                </w:p>
              </w:tc>
              <w:tc>
                <w:tcPr>
                  <w:tcW w:w="1984" w:type="dxa"/>
                  <w:vAlign w:val="center"/>
                </w:tcPr>
                <w:p>
                  <w:pPr>
                    <w:pStyle w:val="50"/>
                    <w:jc w:val="center"/>
                  </w:pPr>
                  <w:r>
                    <w:rPr>
                      <w:rFonts w:hint="eastAsia"/>
                    </w:rPr>
                    <w:t>脉冲</w:t>
                  </w:r>
                  <w:r>
                    <w:t>袋式除尘器</w:t>
                  </w:r>
                </w:p>
              </w:tc>
              <w:tc>
                <w:tcPr>
                  <w:tcW w:w="873" w:type="dxa"/>
                  <w:vAlign w:val="center"/>
                </w:tcPr>
                <w:p>
                  <w:pPr>
                    <w:pStyle w:val="50"/>
                    <w:jc w:val="center"/>
                    <w:rPr>
                      <w:kern w:val="2"/>
                    </w:rPr>
                  </w:pPr>
                  <w:r>
                    <w:rPr>
                      <w:rFonts w:hint="eastAsia"/>
                      <w:kern w:val="2"/>
                    </w:rPr>
                    <w:t>1</w:t>
                  </w:r>
                </w:p>
              </w:tc>
              <w:tc>
                <w:tcPr>
                  <w:tcW w:w="2116" w:type="dxa"/>
                  <w:vAlign w:val="center"/>
                </w:tcPr>
                <w:p>
                  <w:pPr>
                    <w:pStyle w:val="50"/>
                    <w:jc w:val="center"/>
                  </w:pPr>
                  <w:r>
                    <w:rPr>
                      <w:rFonts w:hint="eastAsia"/>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28" w:type="dxa"/>
                  <w:bottom w:w="0" w:type="dxa"/>
                  <w:right w:w="28" w:type="dxa"/>
                </w:tblCellMar>
              </w:tblPrEx>
              <w:trPr>
                <w:trHeight w:val="454" w:hRule="atLeast"/>
                <w:jc w:val="center"/>
              </w:trPr>
              <w:tc>
                <w:tcPr>
                  <w:tcW w:w="780" w:type="dxa"/>
                  <w:vAlign w:val="center"/>
                </w:tcPr>
                <w:p>
                  <w:pPr>
                    <w:pStyle w:val="50"/>
                    <w:jc w:val="center"/>
                    <w:rPr>
                      <w:kern w:val="2"/>
                    </w:rPr>
                  </w:pPr>
                  <w:r>
                    <w:rPr>
                      <w:rFonts w:hint="eastAsia"/>
                      <w:kern w:val="2"/>
                    </w:rPr>
                    <w:t>17</w:t>
                  </w:r>
                </w:p>
              </w:tc>
              <w:tc>
                <w:tcPr>
                  <w:tcW w:w="2182" w:type="dxa"/>
                  <w:vAlign w:val="center"/>
                </w:tcPr>
                <w:p>
                  <w:pPr>
                    <w:pStyle w:val="50"/>
                    <w:jc w:val="center"/>
                  </w:pPr>
                  <w:r>
                    <w:rPr>
                      <w:rFonts w:hint="eastAsia"/>
                    </w:rPr>
                    <w:t>散装机除尘器</w:t>
                  </w:r>
                </w:p>
              </w:tc>
              <w:tc>
                <w:tcPr>
                  <w:tcW w:w="1984" w:type="dxa"/>
                  <w:vAlign w:val="center"/>
                </w:tcPr>
                <w:p>
                  <w:pPr>
                    <w:pStyle w:val="50"/>
                    <w:jc w:val="center"/>
                  </w:pPr>
                  <w:r>
                    <w:rPr>
                      <w:rFonts w:hint="eastAsia"/>
                    </w:rPr>
                    <w:t>脉冲</w:t>
                  </w:r>
                  <w:r>
                    <w:t>袋式除尘器</w:t>
                  </w:r>
                </w:p>
              </w:tc>
              <w:tc>
                <w:tcPr>
                  <w:tcW w:w="873" w:type="dxa"/>
                  <w:vAlign w:val="center"/>
                </w:tcPr>
                <w:p>
                  <w:pPr>
                    <w:pStyle w:val="50"/>
                    <w:jc w:val="center"/>
                    <w:rPr>
                      <w:kern w:val="2"/>
                    </w:rPr>
                  </w:pPr>
                  <w:r>
                    <w:rPr>
                      <w:rFonts w:hint="eastAsia"/>
                      <w:kern w:val="2"/>
                    </w:rPr>
                    <w:t>1</w:t>
                  </w:r>
                </w:p>
              </w:tc>
              <w:tc>
                <w:tcPr>
                  <w:tcW w:w="2116" w:type="dxa"/>
                  <w:vAlign w:val="center"/>
                </w:tcPr>
                <w:p>
                  <w:pPr>
                    <w:pStyle w:val="50"/>
                    <w:jc w:val="center"/>
                  </w:pPr>
                  <w:r>
                    <w:rPr>
                      <w:rFonts w:hint="eastAsia"/>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28" w:type="dxa"/>
                  <w:bottom w:w="0" w:type="dxa"/>
                  <w:right w:w="28" w:type="dxa"/>
                </w:tblCellMar>
              </w:tblPrEx>
              <w:trPr>
                <w:trHeight w:val="333" w:hRule="atLeast"/>
                <w:jc w:val="center"/>
              </w:trPr>
              <w:tc>
                <w:tcPr>
                  <w:tcW w:w="780" w:type="dxa"/>
                  <w:vAlign w:val="center"/>
                </w:tcPr>
                <w:p>
                  <w:pPr>
                    <w:pStyle w:val="50"/>
                    <w:jc w:val="center"/>
                    <w:rPr>
                      <w:kern w:val="2"/>
                    </w:rPr>
                  </w:pPr>
                  <w:r>
                    <w:rPr>
                      <w:rFonts w:hint="eastAsia"/>
                      <w:kern w:val="2"/>
                    </w:rPr>
                    <w:t>18</w:t>
                  </w:r>
                </w:p>
              </w:tc>
              <w:tc>
                <w:tcPr>
                  <w:tcW w:w="2182" w:type="dxa"/>
                  <w:vAlign w:val="center"/>
                </w:tcPr>
                <w:p>
                  <w:pPr>
                    <w:pStyle w:val="50"/>
                    <w:jc w:val="center"/>
                  </w:pPr>
                  <w:r>
                    <w:rPr>
                      <w:rFonts w:hint="eastAsia"/>
                    </w:rPr>
                    <w:t>风机</w:t>
                  </w:r>
                </w:p>
              </w:tc>
              <w:tc>
                <w:tcPr>
                  <w:tcW w:w="1984" w:type="dxa"/>
                  <w:vAlign w:val="center"/>
                </w:tcPr>
                <w:p>
                  <w:pPr>
                    <w:pStyle w:val="50"/>
                    <w:jc w:val="center"/>
                  </w:pPr>
                  <w:r>
                    <w:rPr>
                      <w:rFonts w:hint="eastAsia"/>
                    </w:rPr>
                    <w:t>/</w:t>
                  </w:r>
                </w:p>
              </w:tc>
              <w:tc>
                <w:tcPr>
                  <w:tcW w:w="873" w:type="dxa"/>
                  <w:vAlign w:val="center"/>
                </w:tcPr>
                <w:p>
                  <w:pPr>
                    <w:pStyle w:val="50"/>
                    <w:jc w:val="center"/>
                    <w:rPr>
                      <w:kern w:val="2"/>
                    </w:rPr>
                  </w:pPr>
                  <w:r>
                    <w:rPr>
                      <w:rFonts w:hint="eastAsia"/>
                      <w:kern w:val="2"/>
                    </w:rPr>
                    <w:t>5</w:t>
                  </w:r>
                </w:p>
              </w:tc>
              <w:tc>
                <w:tcPr>
                  <w:tcW w:w="2116" w:type="dxa"/>
                  <w:vAlign w:val="center"/>
                </w:tcPr>
                <w:p>
                  <w:pPr>
                    <w:pStyle w:val="50"/>
                    <w:jc w:val="center"/>
                  </w:pPr>
                  <w:r>
                    <w:rPr>
                      <w:rFonts w:hint="eastAsia"/>
                    </w:rPr>
                    <w:t>/</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28" w:type="dxa"/>
                  <w:bottom w:w="0" w:type="dxa"/>
                  <w:right w:w="28" w:type="dxa"/>
                </w:tblCellMar>
              </w:tblPrEx>
              <w:trPr>
                <w:trHeight w:val="454" w:hRule="atLeast"/>
                <w:jc w:val="center"/>
              </w:trPr>
              <w:tc>
                <w:tcPr>
                  <w:tcW w:w="780" w:type="dxa"/>
                  <w:vAlign w:val="center"/>
                </w:tcPr>
                <w:p>
                  <w:pPr>
                    <w:pStyle w:val="50"/>
                    <w:jc w:val="center"/>
                    <w:rPr>
                      <w:kern w:val="2"/>
                    </w:rPr>
                  </w:pPr>
                  <w:r>
                    <w:rPr>
                      <w:rFonts w:hint="eastAsia"/>
                      <w:kern w:val="2"/>
                    </w:rPr>
                    <w:t>1</w:t>
                  </w:r>
                  <w:r>
                    <w:rPr>
                      <w:kern w:val="2"/>
                    </w:rPr>
                    <w:t>8</w:t>
                  </w:r>
                </w:p>
              </w:tc>
              <w:tc>
                <w:tcPr>
                  <w:tcW w:w="2182" w:type="dxa"/>
                  <w:vAlign w:val="center"/>
                </w:tcPr>
                <w:p>
                  <w:pPr>
                    <w:pStyle w:val="50"/>
                    <w:jc w:val="center"/>
                  </w:pPr>
                  <w:r>
                    <w:rPr>
                      <w:rFonts w:hint="eastAsia"/>
                    </w:rPr>
                    <w:t>运输罐车</w:t>
                  </w:r>
                </w:p>
              </w:tc>
              <w:tc>
                <w:tcPr>
                  <w:tcW w:w="1984" w:type="dxa"/>
                  <w:vAlign w:val="center"/>
                </w:tcPr>
                <w:p>
                  <w:pPr>
                    <w:pStyle w:val="50"/>
                    <w:jc w:val="center"/>
                  </w:pPr>
                  <w:r>
                    <w:rPr>
                      <w:rFonts w:hint="eastAsia"/>
                    </w:rPr>
                    <w:t>载重5</w:t>
                  </w:r>
                  <w:r>
                    <w:t>2t</w:t>
                  </w:r>
                </w:p>
              </w:tc>
              <w:tc>
                <w:tcPr>
                  <w:tcW w:w="873" w:type="dxa"/>
                  <w:vAlign w:val="center"/>
                </w:tcPr>
                <w:p>
                  <w:pPr>
                    <w:pStyle w:val="50"/>
                    <w:jc w:val="center"/>
                    <w:rPr>
                      <w:kern w:val="2"/>
                    </w:rPr>
                  </w:pPr>
                  <w:r>
                    <w:rPr>
                      <w:rFonts w:hint="eastAsia"/>
                      <w:kern w:val="2"/>
                    </w:rPr>
                    <w:t>2</w:t>
                  </w:r>
                </w:p>
              </w:tc>
              <w:tc>
                <w:tcPr>
                  <w:tcW w:w="2116" w:type="dxa"/>
                  <w:vAlign w:val="center"/>
                </w:tcPr>
                <w:p>
                  <w:pPr>
                    <w:pStyle w:val="50"/>
                    <w:jc w:val="center"/>
                  </w:pPr>
                  <w:r>
                    <w:rPr>
                      <w:rFonts w:hint="eastAsia"/>
                    </w:rPr>
                    <w:t>/</w:t>
                  </w:r>
                </w:p>
              </w:tc>
            </w:tr>
          </w:tbl>
          <w:p>
            <w:pPr>
              <w:autoSpaceDE w:val="0"/>
              <w:autoSpaceDN w:val="0"/>
              <w:adjustRightInd w:val="0"/>
              <w:snapToGrid w:val="0"/>
              <w:spacing w:line="120" w:lineRule="exact"/>
              <w:ind w:firstLine="480" w:firstLineChars="200"/>
              <w:rPr>
                <w:rFonts w:cs="宋体"/>
                <w:kern w:val="0"/>
                <w:sz w:val="24"/>
              </w:rPr>
            </w:pPr>
          </w:p>
          <w:p>
            <w:pPr>
              <w:autoSpaceDE w:val="0"/>
              <w:autoSpaceDN w:val="0"/>
              <w:adjustRightInd w:val="0"/>
              <w:snapToGrid w:val="0"/>
              <w:spacing w:line="440" w:lineRule="exact"/>
              <w:ind w:firstLine="480" w:firstLineChars="200"/>
              <w:rPr>
                <w:rFonts w:cs="宋体"/>
                <w:kern w:val="0"/>
                <w:sz w:val="24"/>
              </w:rPr>
            </w:pPr>
            <w:r>
              <w:rPr>
                <w:rFonts w:hint="eastAsia" w:cs="宋体"/>
                <w:kern w:val="0"/>
                <w:sz w:val="24"/>
              </w:rPr>
              <w:t>（2）主要</w:t>
            </w:r>
            <w:r>
              <w:rPr>
                <w:rFonts w:cs="宋体"/>
                <w:kern w:val="0"/>
                <w:sz w:val="24"/>
              </w:rPr>
              <w:t>生产设备产能</w:t>
            </w:r>
            <w:r>
              <w:rPr>
                <w:rFonts w:hint="eastAsia" w:cs="宋体"/>
                <w:kern w:val="0"/>
                <w:sz w:val="24"/>
              </w:rPr>
              <w:t>核算</w:t>
            </w:r>
          </w:p>
          <w:p>
            <w:pPr>
              <w:pStyle w:val="74"/>
              <w:widowControl/>
              <w:spacing w:line="440" w:lineRule="exact"/>
              <w:ind w:firstLine="480"/>
              <w:rPr>
                <w:rFonts w:cs="宋体"/>
                <w:sz w:val="24"/>
              </w:rPr>
            </w:pPr>
            <w:r>
              <w:rPr>
                <w:rFonts w:hint="eastAsia" w:cs="宋体"/>
                <w:sz w:val="24"/>
              </w:rPr>
              <w:t>本项目设计产能为年产3万吨固废粉末罐装储存项目，产品采用散装形式，用罐车运输出厂，根据企业</w:t>
            </w:r>
            <w:r>
              <w:rPr>
                <w:rFonts w:cs="宋体"/>
                <w:sz w:val="24"/>
              </w:rPr>
              <w:t>提供资料，</w:t>
            </w:r>
            <w:r>
              <w:rPr>
                <w:rFonts w:hint="eastAsia" w:cs="宋体"/>
                <w:sz w:val="24"/>
              </w:rPr>
              <w:t>项目主要生产设备产能核算见表</w:t>
            </w:r>
            <w:r>
              <w:rPr>
                <w:rFonts w:cs="宋体"/>
                <w:sz w:val="24"/>
              </w:rPr>
              <w:t>12</w:t>
            </w:r>
            <w:r>
              <w:rPr>
                <w:rFonts w:hint="eastAsia" w:cs="宋体"/>
                <w:sz w:val="24"/>
              </w:rPr>
              <w:t>。</w:t>
            </w:r>
          </w:p>
          <w:p>
            <w:pPr>
              <w:autoSpaceDE w:val="0"/>
              <w:autoSpaceDN w:val="0"/>
              <w:adjustRightInd w:val="0"/>
              <w:snapToGrid w:val="0"/>
              <w:spacing w:line="400" w:lineRule="exact"/>
              <w:ind w:firstLine="720" w:firstLineChars="300"/>
              <w:rPr>
                <w:rFonts w:eastAsia="黑体"/>
                <w:sz w:val="24"/>
                <w:szCs w:val="22"/>
              </w:rPr>
            </w:pPr>
            <w:r>
              <w:rPr>
                <w:rFonts w:hint="eastAsia" w:eastAsia="黑体"/>
                <w:sz w:val="24"/>
                <w:szCs w:val="22"/>
              </w:rPr>
              <w:t>表</w:t>
            </w:r>
            <w:r>
              <w:rPr>
                <w:rFonts w:eastAsia="黑体"/>
                <w:sz w:val="24"/>
                <w:szCs w:val="22"/>
              </w:rPr>
              <w:t xml:space="preserve">12             </w:t>
            </w:r>
            <w:r>
              <w:rPr>
                <w:rFonts w:hint="eastAsia" w:eastAsia="黑体"/>
                <w:sz w:val="24"/>
                <w:szCs w:val="22"/>
              </w:rPr>
              <w:t>本项目主要设备一览表</w:t>
            </w:r>
          </w:p>
          <w:tbl>
            <w:tblPr>
              <w:tblStyle w:val="22"/>
              <w:tblW w:w="7935" w:type="dxa"/>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57" w:type="dxa"/>
                <w:bottom w:w="0" w:type="dxa"/>
                <w:right w:w="57" w:type="dxa"/>
              </w:tblCellMar>
            </w:tblPr>
            <w:tblGrid>
              <w:gridCol w:w="1141"/>
              <w:gridCol w:w="1276"/>
              <w:gridCol w:w="1984"/>
              <w:gridCol w:w="798"/>
              <w:gridCol w:w="2736"/>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57" w:type="dxa"/>
                  <w:bottom w:w="0" w:type="dxa"/>
                  <w:right w:w="57" w:type="dxa"/>
                </w:tblCellMar>
              </w:tblPrEx>
              <w:trPr>
                <w:trHeight w:val="454" w:hRule="atLeast"/>
                <w:jc w:val="center"/>
              </w:trPr>
              <w:tc>
                <w:tcPr>
                  <w:tcW w:w="1141" w:type="dxa"/>
                  <w:vAlign w:val="center"/>
                </w:tcPr>
                <w:p>
                  <w:pPr>
                    <w:widowControl/>
                    <w:spacing w:line="240" w:lineRule="exact"/>
                    <w:jc w:val="center"/>
                    <w:rPr>
                      <w:szCs w:val="21"/>
                    </w:rPr>
                  </w:pPr>
                  <w:r>
                    <w:rPr>
                      <w:rFonts w:hint="eastAsia"/>
                      <w:szCs w:val="21"/>
                    </w:rPr>
                    <w:t>工序</w:t>
                  </w:r>
                </w:p>
              </w:tc>
              <w:tc>
                <w:tcPr>
                  <w:tcW w:w="1276" w:type="dxa"/>
                  <w:vAlign w:val="center"/>
                </w:tcPr>
                <w:p>
                  <w:pPr>
                    <w:widowControl/>
                    <w:spacing w:line="240" w:lineRule="exact"/>
                    <w:jc w:val="center"/>
                    <w:rPr>
                      <w:szCs w:val="21"/>
                    </w:rPr>
                  </w:pPr>
                  <w:r>
                    <w:rPr>
                      <w:rFonts w:hint="eastAsia"/>
                      <w:szCs w:val="21"/>
                    </w:rPr>
                    <w:t>设备名称</w:t>
                  </w:r>
                </w:p>
              </w:tc>
              <w:tc>
                <w:tcPr>
                  <w:tcW w:w="1984" w:type="dxa"/>
                  <w:vAlign w:val="center"/>
                </w:tcPr>
                <w:p>
                  <w:pPr>
                    <w:widowControl/>
                    <w:spacing w:line="240" w:lineRule="exact"/>
                    <w:jc w:val="center"/>
                    <w:rPr>
                      <w:szCs w:val="21"/>
                    </w:rPr>
                  </w:pPr>
                  <w:r>
                    <w:rPr>
                      <w:rFonts w:hint="eastAsia"/>
                      <w:szCs w:val="21"/>
                    </w:rPr>
                    <w:t>型号</w:t>
                  </w:r>
                </w:p>
              </w:tc>
              <w:tc>
                <w:tcPr>
                  <w:tcW w:w="798" w:type="dxa"/>
                  <w:vAlign w:val="center"/>
                </w:tcPr>
                <w:p>
                  <w:pPr>
                    <w:widowControl/>
                    <w:spacing w:line="240" w:lineRule="exact"/>
                    <w:jc w:val="center"/>
                    <w:rPr>
                      <w:szCs w:val="21"/>
                    </w:rPr>
                  </w:pPr>
                  <w:r>
                    <w:rPr>
                      <w:rFonts w:hint="eastAsia"/>
                      <w:szCs w:val="21"/>
                    </w:rPr>
                    <w:t>数量（台）</w:t>
                  </w:r>
                </w:p>
              </w:tc>
              <w:tc>
                <w:tcPr>
                  <w:tcW w:w="2736" w:type="dxa"/>
                  <w:vAlign w:val="center"/>
                </w:tcPr>
                <w:p>
                  <w:pPr>
                    <w:pStyle w:val="50"/>
                    <w:jc w:val="center"/>
                    <w:rPr>
                      <w:kern w:val="2"/>
                    </w:rPr>
                  </w:pPr>
                  <w:r>
                    <w:rPr>
                      <w:rFonts w:hint="eastAsia"/>
                    </w:rPr>
                    <w:t>生产能力</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57" w:type="dxa"/>
                  <w:bottom w:w="0" w:type="dxa"/>
                  <w:right w:w="57" w:type="dxa"/>
                </w:tblCellMar>
              </w:tblPrEx>
              <w:trPr>
                <w:trHeight w:val="454" w:hRule="atLeast"/>
                <w:jc w:val="center"/>
              </w:trPr>
              <w:tc>
                <w:tcPr>
                  <w:tcW w:w="1141" w:type="dxa"/>
                  <w:vMerge w:val="restart"/>
                  <w:vAlign w:val="center"/>
                </w:tcPr>
                <w:p>
                  <w:pPr>
                    <w:pStyle w:val="50"/>
                    <w:jc w:val="center"/>
                    <w:rPr>
                      <w:kern w:val="2"/>
                    </w:rPr>
                  </w:pPr>
                  <w:r>
                    <w:rPr>
                      <w:rFonts w:hint="eastAsia"/>
                      <w:kern w:val="2"/>
                    </w:rPr>
                    <w:t>生产</w:t>
                  </w:r>
                  <w:r>
                    <w:rPr>
                      <w:kern w:val="2"/>
                    </w:rPr>
                    <w:t>工序</w:t>
                  </w:r>
                </w:p>
              </w:tc>
              <w:tc>
                <w:tcPr>
                  <w:tcW w:w="1276" w:type="dxa"/>
                  <w:vAlign w:val="center"/>
                </w:tcPr>
                <w:p>
                  <w:pPr>
                    <w:pStyle w:val="50"/>
                    <w:jc w:val="center"/>
                    <w:rPr>
                      <w:kern w:val="2"/>
                    </w:rPr>
                  </w:pPr>
                  <w:r>
                    <w:rPr>
                      <w:rFonts w:hint="eastAsia"/>
                      <w:kern w:val="2"/>
                    </w:rPr>
                    <w:t>分选机</w:t>
                  </w:r>
                </w:p>
              </w:tc>
              <w:tc>
                <w:tcPr>
                  <w:tcW w:w="1984" w:type="dxa"/>
                  <w:vAlign w:val="center"/>
                </w:tcPr>
                <w:p>
                  <w:pPr>
                    <w:pStyle w:val="50"/>
                    <w:jc w:val="center"/>
                    <w:rPr>
                      <w:kern w:val="2"/>
                    </w:rPr>
                  </w:pPr>
                  <w:r>
                    <w:rPr>
                      <w:rFonts w:hint="eastAsia"/>
                      <w:kern w:val="2"/>
                    </w:rPr>
                    <w:t>CXF750</w:t>
                  </w:r>
                </w:p>
              </w:tc>
              <w:tc>
                <w:tcPr>
                  <w:tcW w:w="798" w:type="dxa"/>
                  <w:vAlign w:val="center"/>
                </w:tcPr>
                <w:p>
                  <w:pPr>
                    <w:pStyle w:val="50"/>
                    <w:jc w:val="center"/>
                    <w:rPr>
                      <w:kern w:val="2"/>
                    </w:rPr>
                  </w:pPr>
                  <w:r>
                    <w:rPr>
                      <w:rFonts w:hint="eastAsia"/>
                      <w:kern w:val="2"/>
                    </w:rPr>
                    <w:t>1</w:t>
                  </w:r>
                </w:p>
              </w:tc>
              <w:tc>
                <w:tcPr>
                  <w:tcW w:w="2736" w:type="dxa"/>
                  <w:vAlign w:val="center"/>
                </w:tcPr>
                <w:p>
                  <w:pPr>
                    <w:pStyle w:val="50"/>
                    <w:jc w:val="left"/>
                    <w:rPr>
                      <w:kern w:val="2"/>
                    </w:rPr>
                  </w:pPr>
                  <w:r>
                    <w:rPr>
                      <w:rFonts w:hint="eastAsia"/>
                      <w:kern w:val="2"/>
                    </w:rPr>
                    <w:t>设计生产能力为</w:t>
                  </w:r>
                  <w:r>
                    <w:rPr>
                      <w:kern w:val="2"/>
                    </w:rPr>
                    <w:t>25~40t/h</w:t>
                  </w:r>
                  <w:r>
                    <w:rPr>
                      <w:rFonts w:hint="eastAsia"/>
                      <w:kern w:val="2"/>
                    </w:rPr>
                    <w:t>，运行时间</w:t>
                  </w:r>
                  <w:r>
                    <w:rPr>
                      <w:kern w:val="2"/>
                    </w:rPr>
                    <w:t>2000h/a</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57" w:type="dxa"/>
                  <w:bottom w:w="0" w:type="dxa"/>
                  <w:right w:w="57" w:type="dxa"/>
                </w:tblCellMar>
              </w:tblPrEx>
              <w:trPr>
                <w:trHeight w:val="454" w:hRule="atLeast"/>
                <w:jc w:val="center"/>
              </w:trPr>
              <w:tc>
                <w:tcPr>
                  <w:tcW w:w="1141" w:type="dxa"/>
                  <w:vMerge w:val="continue"/>
                  <w:vAlign w:val="center"/>
                </w:tcPr>
                <w:p>
                  <w:pPr>
                    <w:pStyle w:val="50"/>
                    <w:jc w:val="center"/>
                    <w:rPr>
                      <w:kern w:val="2"/>
                    </w:rPr>
                  </w:pPr>
                </w:p>
              </w:tc>
              <w:tc>
                <w:tcPr>
                  <w:tcW w:w="1276" w:type="dxa"/>
                  <w:vAlign w:val="center"/>
                </w:tcPr>
                <w:p>
                  <w:pPr>
                    <w:pStyle w:val="50"/>
                    <w:jc w:val="center"/>
                    <w:rPr>
                      <w:kern w:val="2"/>
                    </w:rPr>
                  </w:pPr>
                  <w:r>
                    <w:rPr>
                      <w:rFonts w:hint="eastAsia"/>
                      <w:kern w:val="2"/>
                    </w:rPr>
                    <w:t>高细管磨机</w:t>
                  </w:r>
                </w:p>
              </w:tc>
              <w:tc>
                <w:tcPr>
                  <w:tcW w:w="1984" w:type="dxa"/>
                  <w:vAlign w:val="center"/>
                </w:tcPr>
                <w:p>
                  <w:pPr>
                    <w:pStyle w:val="50"/>
                    <w:jc w:val="center"/>
                    <w:rPr>
                      <w:kern w:val="2"/>
                    </w:rPr>
                  </w:pPr>
                  <w:r>
                    <w:rPr>
                      <w:kern w:val="2"/>
                    </w:rPr>
                    <w:t>Φ</w:t>
                  </w:r>
                  <w:r>
                    <w:rPr>
                      <w:rFonts w:hint="eastAsia"/>
                      <w:kern w:val="2"/>
                    </w:rPr>
                    <w:t>2.2m×12m</w:t>
                  </w:r>
                </w:p>
              </w:tc>
              <w:tc>
                <w:tcPr>
                  <w:tcW w:w="798" w:type="dxa"/>
                  <w:vAlign w:val="center"/>
                </w:tcPr>
                <w:p>
                  <w:pPr>
                    <w:pStyle w:val="50"/>
                    <w:jc w:val="center"/>
                    <w:rPr>
                      <w:kern w:val="2"/>
                    </w:rPr>
                  </w:pPr>
                  <w:r>
                    <w:rPr>
                      <w:rFonts w:hint="eastAsia"/>
                      <w:kern w:val="2"/>
                    </w:rPr>
                    <w:t>1</w:t>
                  </w:r>
                </w:p>
              </w:tc>
              <w:tc>
                <w:tcPr>
                  <w:tcW w:w="2736" w:type="dxa"/>
                  <w:vAlign w:val="center"/>
                </w:tcPr>
                <w:p>
                  <w:pPr>
                    <w:pStyle w:val="50"/>
                    <w:jc w:val="left"/>
                    <w:rPr>
                      <w:kern w:val="2"/>
                    </w:rPr>
                  </w:pPr>
                  <w:r>
                    <w:rPr>
                      <w:rFonts w:hint="eastAsia"/>
                      <w:kern w:val="2"/>
                    </w:rPr>
                    <w:t>设计生产能</w:t>
                  </w:r>
                  <w:r>
                    <w:rPr>
                      <w:rFonts w:hint="eastAsia"/>
                      <w:kern w:val="2"/>
                      <w:sz w:val="20"/>
                      <w:szCs w:val="20"/>
                    </w:rPr>
                    <w:t>力为</w:t>
                  </w:r>
                  <w:r>
                    <w:rPr>
                      <w:kern w:val="2"/>
                    </w:rPr>
                    <w:t>15~30t/h</w:t>
                  </w:r>
                  <w:r>
                    <w:rPr>
                      <w:rFonts w:hint="eastAsia"/>
                      <w:kern w:val="2"/>
                    </w:rPr>
                    <w:t>，运行时间</w:t>
                  </w:r>
                  <w:r>
                    <w:rPr>
                      <w:kern w:val="2"/>
                    </w:rPr>
                    <w:t>2000h/a</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57" w:type="dxa"/>
                  <w:bottom w:w="0" w:type="dxa"/>
                  <w:right w:w="57" w:type="dxa"/>
                </w:tblCellMar>
              </w:tblPrEx>
              <w:trPr>
                <w:trHeight w:val="454" w:hRule="atLeast"/>
                <w:jc w:val="center"/>
              </w:trPr>
              <w:tc>
                <w:tcPr>
                  <w:tcW w:w="1141" w:type="dxa"/>
                  <w:vMerge w:val="continue"/>
                  <w:vAlign w:val="center"/>
                </w:tcPr>
                <w:p>
                  <w:pPr>
                    <w:pStyle w:val="50"/>
                    <w:jc w:val="center"/>
                    <w:rPr>
                      <w:kern w:val="2"/>
                    </w:rPr>
                  </w:pPr>
                </w:p>
              </w:tc>
              <w:tc>
                <w:tcPr>
                  <w:tcW w:w="1276" w:type="dxa"/>
                  <w:vAlign w:val="center"/>
                </w:tcPr>
                <w:p>
                  <w:pPr>
                    <w:pStyle w:val="50"/>
                    <w:jc w:val="center"/>
                    <w:rPr>
                      <w:kern w:val="2"/>
                    </w:rPr>
                  </w:pPr>
                  <w:r>
                    <w:rPr>
                      <w:rFonts w:hint="eastAsia"/>
                      <w:kern w:val="2"/>
                    </w:rPr>
                    <w:t>提升机</w:t>
                  </w:r>
                </w:p>
              </w:tc>
              <w:tc>
                <w:tcPr>
                  <w:tcW w:w="1984" w:type="dxa"/>
                  <w:vAlign w:val="center"/>
                </w:tcPr>
                <w:p>
                  <w:pPr>
                    <w:pStyle w:val="50"/>
                    <w:jc w:val="center"/>
                    <w:rPr>
                      <w:kern w:val="2"/>
                    </w:rPr>
                  </w:pPr>
                  <w:r>
                    <w:rPr>
                      <w:rFonts w:hint="eastAsia"/>
                      <w:kern w:val="2"/>
                    </w:rPr>
                    <w:t>NE</w:t>
                  </w:r>
                  <w:r>
                    <w:rPr>
                      <w:kern w:val="2"/>
                    </w:rPr>
                    <w:t>100</w:t>
                  </w:r>
                </w:p>
              </w:tc>
              <w:tc>
                <w:tcPr>
                  <w:tcW w:w="798" w:type="dxa"/>
                  <w:vAlign w:val="center"/>
                </w:tcPr>
                <w:p>
                  <w:pPr>
                    <w:pStyle w:val="50"/>
                    <w:jc w:val="center"/>
                    <w:rPr>
                      <w:kern w:val="2"/>
                    </w:rPr>
                  </w:pPr>
                  <w:r>
                    <w:rPr>
                      <w:rFonts w:hint="eastAsia"/>
                      <w:kern w:val="2"/>
                    </w:rPr>
                    <w:t>2</w:t>
                  </w:r>
                </w:p>
              </w:tc>
              <w:tc>
                <w:tcPr>
                  <w:tcW w:w="2736" w:type="dxa"/>
                  <w:vAlign w:val="center"/>
                </w:tcPr>
                <w:p>
                  <w:pPr>
                    <w:pStyle w:val="50"/>
                    <w:jc w:val="left"/>
                    <w:rPr>
                      <w:kern w:val="2"/>
                    </w:rPr>
                  </w:pPr>
                  <w:r>
                    <w:rPr>
                      <w:rFonts w:hint="eastAsia"/>
                      <w:kern w:val="2"/>
                    </w:rPr>
                    <w:t>运行时间</w:t>
                  </w:r>
                  <w:r>
                    <w:rPr>
                      <w:kern w:val="2"/>
                    </w:rPr>
                    <w:t>2000h/a</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57" w:type="dxa"/>
                  <w:bottom w:w="0" w:type="dxa"/>
                  <w:right w:w="57" w:type="dxa"/>
                </w:tblCellMar>
              </w:tblPrEx>
              <w:trPr>
                <w:trHeight w:val="454" w:hRule="atLeast"/>
                <w:jc w:val="center"/>
              </w:trPr>
              <w:tc>
                <w:tcPr>
                  <w:tcW w:w="1141" w:type="dxa"/>
                  <w:vMerge w:val="continue"/>
                  <w:vAlign w:val="center"/>
                </w:tcPr>
                <w:p>
                  <w:pPr>
                    <w:pStyle w:val="50"/>
                    <w:jc w:val="center"/>
                    <w:rPr>
                      <w:kern w:val="2"/>
                    </w:rPr>
                  </w:pPr>
                </w:p>
              </w:tc>
              <w:tc>
                <w:tcPr>
                  <w:tcW w:w="1276" w:type="dxa"/>
                  <w:vAlign w:val="center"/>
                </w:tcPr>
                <w:p>
                  <w:pPr>
                    <w:pStyle w:val="50"/>
                    <w:jc w:val="center"/>
                    <w:rPr>
                      <w:kern w:val="2"/>
                    </w:rPr>
                  </w:pPr>
                  <w:r>
                    <w:rPr>
                      <w:rFonts w:hint="eastAsia"/>
                      <w:kern w:val="2"/>
                    </w:rPr>
                    <w:t>散装机</w:t>
                  </w:r>
                </w:p>
              </w:tc>
              <w:tc>
                <w:tcPr>
                  <w:tcW w:w="1984" w:type="dxa"/>
                  <w:vAlign w:val="center"/>
                </w:tcPr>
                <w:p>
                  <w:pPr>
                    <w:pStyle w:val="50"/>
                    <w:jc w:val="center"/>
                  </w:pPr>
                  <w:r>
                    <w:rPr>
                      <w:rFonts w:hint="eastAsia"/>
                    </w:rPr>
                    <w:t>NT600</w:t>
                  </w:r>
                  <w:r>
                    <w:rPr>
                      <w:rFonts w:hint="eastAsia"/>
                      <w:spacing w:val="6"/>
                    </w:rPr>
                    <w:t>×</w:t>
                  </w:r>
                  <w:r>
                    <w:rPr>
                      <w:rFonts w:hint="eastAsia"/>
                    </w:rPr>
                    <w:t>l.8m</w:t>
                  </w:r>
                </w:p>
              </w:tc>
              <w:tc>
                <w:tcPr>
                  <w:tcW w:w="798" w:type="dxa"/>
                  <w:vAlign w:val="center"/>
                </w:tcPr>
                <w:p>
                  <w:pPr>
                    <w:pStyle w:val="50"/>
                    <w:jc w:val="center"/>
                    <w:rPr>
                      <w:kern w:val="2"/>
                    </w:rPr>
                  </w:pPr>
                  <w:r>
                    <w:rPr>
                      <w:rFonts w:hint="eastAsia"/>
                      <w:kern w:val="2"/>
                    </w:rPr>
                    <w:t>1</w:t>
                  </w:r>
                </w:p>
              </w:tc>
              <w:tc>
                <w:tcPr>
                  <w:tcW w:w="2736" w:type="dxa"/>
                  <w:vAlign w:val="center"/>
                </w:tcPr>
                <w:p>
                  <w:pPr>
                    <w:pStyle w:val="50"/>
                    <w:jc w:val="left"/>
                    <w:rPr>
                      <w:kern w:val="2"/>
                    </w:rPr>
                  </w:pPr>
                  <w:r>
                    <w:rPr>
                      <w:rFonts w:hint="eastAsia"/>
                      <w:kern w:val="2"/>
                    </w:rPr>
                    <w:t>设计生产能力为</w:t>
                  </w:r>
                  <w:r>
                    <w:rPr>
                      <w:kern w:val="2"/>
                    </w:rPr>
                    <w:t>100t/h</w:t>
                  </w:r>
                  <w:r>
                    <w:rPr>
                      <w:rFonts w:hint="eastAsia"/>
                      <w:kern w:val="2"/>
                    </w:rPr>
                    <w:t>，运行时间</w:t>
                  </w:r>
                  <w:r>
                    <w:rPr>
                      <w:kern w:val="2"/>
                    </w:rPr>
                    <w:t>300h/a</w:t>
                  </w:r>
                </w:p>
              </w:tc>
            </w:tr>
          </w:tbl>
          <w:p>
            <w:pPr>
              <w:autoSpaceDE w:val="0"/>
              <w:autoSpaceDN w:val="0"/>
              <w:adjustRightInd w:val="0"/>
              <w:snapToGrid w:val="0"/>
              <w:spacing w:line="120" w:lineRule="exact"/>
              <w:ind w:firstLine="480" w:firstLineChars="200"/>
              <w:rPr>
                <w:rFonts w:cs="宋体"/>
                <w:kern w:val="0"/>
                <w:sz w:val="24"/>
              </w:rPr>
            </w:pPr>
          </w:p>
          <w:p>
            <w:pPr>
              <w:autoSpaceDE w:val="0"/>
              <w:autoSpaceDN w:val="0"/>
              <w:adjustRightInd w:val="0"/>
              <w:snapToGrid w:val="0"/>
              <w:spacing w:before="120" w:beforeLines="50" w:line="360" w:lineRule="auto"/>
              <w:ind w:firstLine="482" w:firstLineChars="200"/>
              <w:rPr>
                <w:rFonts w:cs="宋体"/>
                <w:b/>
                <w:bCs/>
                <w:kern w:val="0"/>
                <w:sz w:val="24"/>
              </w:rPr>
            </w:pPr>
            <w:r>
              <w:rPr>
                <w:rFonts w:hint="eastAsia" w:cs="宋体"/>
                <w:b/>
                <w:bCs/>
                <w:kern w:val="0"/>
                <w:sz w:val="24"/>
              </w:rPr>
              <w:t>4、主要原辅材料及能源消耗</w:t>
            </w:r>
          </w:p>
          <w:p>
            <w:pPr>
              <w:autoSpaceDE w:val="0"/>
              <w:autoSpaceDN w:val="0"/>
              <w:adjustRightInd w:val="0"/>
              <w:snapToGrid w:val="0"/>
              <w:spacing w:line="360" w:lineRule="auto"/>
              <w:ind w:firstLine="480" w:firstLineChars="200"/>
              <w:rPr>
                <w:rFonts w:cs="宋体"/>
                <w:kern w:val="0"/>
                <w:sz w:val="24"/>
              </w:rPr>
            </w:pPr>
            <w:r>
              <w:rPr>
                <w:rFonts w:hint="eastAsia" w:cs="宋体"/>
                <w:kern w:val="0"/>
                <w:sz w:val="24"/>
              </w:rPr>
              <w:t>本项目原辅材料及能源消耗情况见表</w:t>
            </w:r>
            <w:r>
              <w:rPr>
                <w:rFonts w:cs="宋体"/>
                <w:kern w:val="0"/>
                <w:sz w:val="24"/>
              </w:rPr>
              <w:t>13</w:t>
            </w:r>
            <w:r>
              <w:rPr>
                <w:rFonts w:hint="eastAsia" w:cs="宋体"/>
                <w:kern w:val="0"/>
                <w:sz w:val="24"/>
              </w:rPr>
              <w:t>。</w:t>
            </w:r>
          </w:p>
          <w:p>
            <w:pPr>
              <w:autoSpaceDE w:val="0"/>
              <w:autoSpaceDN w:val="0"/>
              <w:adjustRightInd w:val="0"/>
              <w:snapToGrid w:val="0"/>
              <w:spacing w:line="400" w:lineRule="exact"/>
              <w:ind w:firstLine="720" w:firstLineChars="300"/>
              <w:rPr>
                <w:rFonts w:eastAsia="黑体"/>
                <w:sz w:val="24"/>
                <w:szCs w:val="22"/>
              </w:rPr>
            </w:pPr>
            <w:r>
              <w:rPr>
                <w:rFonts w:hint="eastAsia" w:eastAsia="黑体"/>
                <w:sz w:val="24"/>
                <w:szCs w:val="22"/>
              </w:rPr>
              <w:t>表</w:t>
            </w:r>
            <w:r>
              <w:rPr>
                <w:rFonts w:eastAsia="黑体"/>
                <w:sz w:val="24"/>
                <w:szCs w:val="22"/>
              </w:rPr>
              <w:t>13</w:t>
            </w:r>
            <w:r>
              <w:rPr>
                <w:rFonts w:hint="eastAsia" w:eastAsia="黑体"/>
                <w:sz w:val="24"/>
                <w:szCs w:val="22"/>
              </w:rPr>
              <w:t xml:space="preserve">  </w:t>
            </w:r>
            <w:r>
              <w:rPr>
                <w:rFonts w:eastAsia="黑体"/>
                <w:sz w:val="24"/>
                <w:szCs w:val="22"/>
              </w:rPr>
              <w:t xml:space="preserve">  </w:t>
            </w:r>
            <w:r>
              <w:rPr>
                <w:rFonts w:hint="eastAsia" w:eastAsia="黑体"/>
                <w:sz w:val="24"/>
                <w:szCs w:val="22"/>
              </w:rPr>
              <w:t xml:space="preserve"> 项目原辅材料及能源消耗情况一览表</w:t>
            </w:r>
          </w:p>
          <w:tbl>
            <w:tblPr>
              <w:tblStyle w:val="22"/>
              <w:tblW w:w="79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5"/>
              <w:gridCol w:w="3166"/>
              <w:gridCol w:w="1694"/>
              <w:gridCol w:w="23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5" w:type="dxa"/>
                  <w:tcBorders>
                    <w:top w:val="single" w:color="auto" w:sz="12" w:space="0"/>
                    <w:left w:val="nil"/>
                    <w:bottom w:val="single" w:color="auto" w:sz="6" w:space="0"/>
                    <w:right w:val="single" w:color="auto" w:sz="6" w:space="0"/>
                  </w:tcBorders>
                  <w:vAlign w:val="center"/>
                </w:tcPr>
                <w:p>
                  <w:pPr>
                    <w:pStyle w:val="59"/>
                    <w:spacing w:line="240" w:lineRule="auto"/>
                    <w:rPr>
                      <w:bCs/>
                      <w:kern w:val="2"/>
                    </w:rPr>
                  </w:pPr>
                  <w:r>
                    <w:rPr>
                      <w:bCs/>
                      <w:kern w:val="2"/>
                    </w:rPr>
                    <w:t>序号</w:t>
                  </w:r>
                </w:p>
              </w:tc>
              <w:tc>
                <w:tcPr>
                  <w:tcW w:w="3166" w:type="dxa"/>
                  <w:tcBorders>
                    <w:top w:val="single" w:color="auto" w:sz="12" w:space="0"/>
                    <w:left w:val="single" w:color="auto" w:sz="6" w:space="0"/>
                    <w:bottom w:val="single" w:color="auto" w:sz="6" w:space="0"/>
                    <w:right w:val="single" w:color="auto" w:sz="6" w:space="0"/>
                  </w:tcBorders>
                  <w:vAlign w:val="center"/>
                </w:tcPr>
                <w:p>
                  <w:pPr>
                    <w:pStyle w:val="59"/>
                    <w:spacing w:line="240" w:lineRule="auto"/>
                    <w:rPr>
                      <w:bCs/>
                      <w:kern w:val="2"/>
                    </w:rPr>
                  </w:pPr>
                  <w:r>
                    <w:rPr>
                      <w:bCs/>
                      <w:kern w:val="2"/>
                    </w:rPr>
                    <w:t>名称</w:t>
                  </w:r>
                </w:p>
              </w:tc>
              <w:tc>
                <w:tcPr>
                  <w:tcW w:w="1694" w:type="dxa"/>
                  <w:tcBorders>
                    <w:top w:val="single" w:color="auto" w:sz="12" w:space="0"/>
                    <w:left w:val="single" w:color="auto" w:sz="6" w:space="0"/>
                    <w:bottom w:val="single" w:color="auto" w:sz="6" w:space="0"/>
                    <w:right w:val="single" w:color="auto" w:sz="6" w:space="0"/>
                  </w:tcBorders>
                  <w:vAlign w:val="center"/>
                </w:tcPr>
                <w:p>
                  <w:pPr>
                    <w:pStyle w:val="59"/>
                    <w:spacing w:line="240" w:lineRule="auto"/>
                    <w:rPr>
                      <w:bCs/>
                      <w:kern w:val="2"/>
                    </w:rPr>
                  </w:pPr>
                  <w:r>
                    <w:rPr>
                      <w:bCs/>
                      <w:kern w:val="2"/>
                    </w:rPr>
                    <w:t>年消耗量(t/a)</w:t>
                  </w:r>
                </w:p>
              </w:tc>
              <w:tc>
                <w:tcPr>
                  <w:tcW w:w="2300" w:type="dxa"/>
                  <w:tcBorders>
                    <w:top w:val="single" w:color="auto" w:sz="12" w:space="0"/>
                    <w:left w:val="single" w:color="auto" w:sz="6" w:space="0"/>
                    <w:bottom w:val="single" w:color="auto" w:sz="6" w:space="0"/>
                    <w:right w:val="nil"/>
                  </w:tcBorders>
                  <w:vAlign w:val="center"/>
                </w:tcPr>
                <w:p>
                  <w:pPr>
                    <w:pStyle w:val="59"/>
                    <w:spacing w:line="240" w:lineRule="auto"/>
                    <w:rPr>
                      <w:bCs/>
                      <w:kern w:val="2"/>
                    </w:rPr>
                  </w:pPr>
                  <w:r>
                    <w:rPr>
                      <w:rFonts w:hint="eastAsia"/>
                      <w:bCs/>
                      <w:kern w:val="2"/>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5" w:type="dxa"/>
                  <w:tcBorders>
                    <w:top w:val="single" w:color="auto" w:sz="6" w:space="0"/>
                    <w:left w:val="nil"/>
                    <w:bottom w:val="single" w:color="auto" w:sz="6" w:space="0"/>
                    <w:right w:val="single" w:color="auto" w:sz="6" w:space="0"/>
                  </w:tcBorders>
                  <w:vAlign w:val="center"/>
                </w:tcPr>
                <w:p>
                  <w:pPr>
                    <w:pStyle w:val="10"/>
                    <w:spacing w:before="0" w:after="0" w:line="240" w:lineRule="auto"/>
                    <w:ind w:right="0"/>
                    <w:jc w:val="center"/>
                    <w:rPr>
                      <w:sz w:val="21"/>
                      <w:szCs w:val="21"/>
                    </w:rPr>
                  </w:pPr>
                  <w:r>
                    <w:rPr>
                      <w:rFonts w:hint="eastAsia"/>
                      <w:sz w:val="21"/>
                      <w:szCs w:val="21"/>
                    </w:rPr>
                    <w:t>1</w:t>
                  </w:r>
                </w:p>
              </w:tc>
              <w:tc>
                <w:tcPr>
                  <w:tcW w:w="3166"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rPr>
                      <w:szCs w:val="21"/>
                    </w:rPr>
                  </w:pPr>
                  <w:r>
                    <w:rPr>
                      <w:rFonts w:hint="eastAsia"/>
                    </w:rPr>
                    <w:t>粉煤灰</w:t>
                  </w:r>
                </w:p>
              </w:tc>
              <w:tc>
                <w:tcPr>
                  <w:tcW w:w="1694" w:type="dxa"/>
                  <w:tcBorders>
                    <w:top w:val="single" w:color="auto" w:sz="6" w:space="0"/>
                    <w:left w:val="single" w:color="auto" w:sz="6" w:space="0"/>
                    <w:bottom w:val="single" w:color="auto" w:sz="6" w:space="0"/>
                    <w:right w:val="single" w:color="auto" w:sz="6" w:space="0"/>
                  </w:tcBorders>
                  <w:vAlign w:val="center"/>
                </w:tcPr>
                <w:p>
                  <w:pPr>
                    <w:pStyle w:val="59"/>
                    <w:spacing w:line="240" w:lineRule="auto"/>
                    <w:rPr>
                      <w:bCs/>
                      <w:kern w:val="2"/>
                    </w:rPr>
                  </w:pPr>
                  <w:r>
                    <w:rPr>
                      <w:bCs/>
                      <w:kern w:val="2"/>
                    </w:rPr>
                    <w:t>30000.82</w:t>
                  </w:r>
                </w:p>
              </w:tc>
              <w:tc>
                <w:tcPr>
                  <w:tcW w:w="2300" w:type="dxa"/>
                  <w:tcBorders>
                    <w:top w:val="single" w:color="auto" w:sz="6" w:space="0"/>
                    <w:left w:val="single" w:color="auto" w:sz="6" w:space="0"/>
                    <w:bottom w:val="single" w:color="auto" w:sz="6" w:space="0"/>
                    <w:right w:val="nil"/>
                  </w:tcBorders>
                  <w:vAlign w:val="center"/>
                </w:tcPr>
                <w:p>
                  <w:pPr>
                    <w:pStyle w:val="59"/>
                    <w:spacing w:line="240" w:lineRule="auto"/>
                    <w:rPr>
                      <w:kern w:val="2"/>
                    </w:rPr>
                  </w:pPr>
                  <w:r>
                    <w:rPr>
                      <w:rFonts w:hint="eastAsia"/>
                      <w:kern w:val="2"/>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5" w:type="dxa"/>
                  <w:tcBorders>
                    <w:top w:val="single" w:color="auto" w:sz="6" w:space="0"/>
                    <w:left w:val="nil"/>
                    <w:bottom w:val="single" w:color="auto" w:sz="6" w:space="0"/>
                    <w:right w:val="single" w:color="auto" w:sz="6" w:space="0"/>
                  </w:tcBorders>
                  <w:vAlign w:val="center"/>
                </w:tcPr>
                <w:p>
                  <w:pPr>
                    <w:pStyle w:val="10"/>
                    <w:spacing w:before="0" w:after="0" w:line="240" w:lineRule="auto"/>
                    <w:ind w:right="0"/>
                    <w:jc w:val="center"/>
                    <w:rPr>
                      <w:sz w:val="21"/>
                      <w:szCs w:val="21"/>
                    </w:rPr>
                  </w:pPr>
                  <w:r>
                    <w:rPr>
                      <w:rFonts w:hint="eastAsia"/>
                      <w:sz w:val="21"/>
                      <w:szCs w:val="21"/>
                    </w:rPr>
                    <w:t>2</w:t>
                  </w:r>
                </w:p>
              </w:tc>
              <w:tc>
                <w:tcPr>
                  <w:tcW w:w="3166"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pPr>
                  <w:r>
                    <w:rPr>
                      <w:rFonts w:hint="eastAsia"/>
                    </w:rPr>
                    <w:t>润滑油</w:t>
                  </w:r>
                </w:p>
              </w:tc>
              <w:tc>
                <w:tcPr>
                  <w:tcW w:w="1694" w:type="dxa"/>
                  <w:tcBorders>
                    <w:top w:val="single" w:color="auto" w:sz="6" w:space="0"/>
                    <w:left w:val="single" w:color="auto" w:sz="6" w:space="0"/>
                    <w:bottom w:val="single" w:color="auto" w:sz="6" w:space="0"/>
                    <w:right w:val="single" w:color="auto" w:sz="6" w:space="0"/>
                  </w:tcBorders>
                  <w:vAlign w:val="center"/>
                </w:tcPr>
                <w:p>
                  <w:pPr>
                    <w:pStyle w:val="59"/>
                    <w:spacing w:line="240" w:lineRule="auto"/>
                    <w:rPr>
                      <w:bCs/>
                      <w:kern w:val="2"/>
                    </w:rPr>
                  </w:pPr>
                  <w:r>
                    <w:rPr>
                      <w:rFonts w:hint="eastAsia"/>
                      <w:bCs/>
                      <w:kern w:val="2"/>
                    </w:rPr>
                    <w:t>0.1</w:t>
                  </w:r>
                </w:p>
              </w:tc>
              <w:tc>
                <w:tcPr>
                  <w:tcW w:w="2300" w:type="dxa"/>
                  <w:tcBorders>
                    <w:top w:val="single" w:color="auto" w:sz="6" w:space="0"/>
                    <w:left w:val="single" w:color="auto" w:sz="6" w:space="0"/>
                    <w:bottom w:val="single" w:color="auto" w:sz="6" w:space="0"/>
                    <w:right w:val="nil"/>
                  </w:tcBorders>
                  <w:vAlign w:val="center"/>
                </w:tcPr>
                <w:p>
                  <w:pPr>
                    <w:pStyle w:val="59"/>
                    <w:spacing w:line="240" w:lineRule="auto"/>
                    <w:rPr>
                      <w:kern w:val="2"/>
                    </w:rPr>
                  </w:pPr>
                  <w:r>
                    <w:rPr>
                      <w:rFonts w:hint="eastAsia"/>
                      <w:kern w:val="2"/>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5" w:type="dxa"/>
                  <w:tcBorders>
                    <w:top w:val="single" w:color="auto" w:sz="6" w:space="0"/>
                    <w:left w:val="nil"/>
                    <w:bottom w:val="single" w:color="auto" w:sz="6" w:space="0"/>
                    <w:right w:val="single" w:color="auto" w:sz="6" w:space="0"/>
                  </w:tcBorders>
                  <w:vAlign w:val="center"/>
                </w:tcPr>
                <w:p>
                  <w:pPr>
                    <w:pStyle w:val="10"/>
                    <w:spacing w:before="0" w:after="0" w:line="240" w:lineRule="auto"/>
                    <w:ind w:right="0"/>
                    <w:jc w:val="center"/>
                    <w:rPr>
                      <w:sz w:val="21"/>
                      <w:szCs w:val="21"/>
                    </w:rPr>
                  </w:pPr>
                  <w:r>
                    <w:rPr>
                      <w:sz w:val="21"/>
                      <w:szCs w:val="21"/>
                    </w:rPr>
                    <w:t>3</w:t>
                  </w:r>
                </w:p>
              </w:tc>
              <w:tc>
                <w:tcPr>
                  <w:tcW w:w="3166" w:type="dxa"/>
                  <w:tcBorders>
                    <w:top w:val="single" w:color="auto" w:sz="6" w:space="0"/>
                    <w:left w:val="single" w:color="auto" w:sz="6" w:space="0"/>
                    <w:bottom w:val="single" w:color="auto" w:sz="6" w:space="0"/>
                    <w:right w:val="single" w:color="auto" w:sz="6" w:space="0"/>
                  </w:tcBorders>
                  <w:vAlign w:val="center"/>
                </w:tcPr>
                <w:p>
                  <w:pPr>
                    <w:adjustRightInd w:val="0"/>
                    <w:snapToGrid w:val="0"/>
                    <w:jc w:val="center"/>
                  </w:pPr>
                  <w:r>
                    <w:rPr>
                      <w:rFonts w:hint="eastAsia"/>
                    </w:rPr>
                    <w:t>钢球</w:t>
                  </w:r>
                </w:p>
              </w:tc>
              <w:tc>
                <w:tcPr>
                  <w:tcW w:w="1694" w:type="dxa"/>
                  <w:tcBorders>
                    <w:top w:val="single" w:color="auto" w:sz="6" w:space="0"/>
                    <w:left w:val="single" w:color="auto" w:sz="6" w:space="0"/>
                    <w:bottom w:val="single" w:color="auto" w:sz="6" w:space="0"/>
                    <w:right w:val="single" w:color="auto" w:sz="6" w:space="0"/>
                  </w:tcBorders>
                  <w:vAlign w:val="center"/>
                </w:tcPr>
                <w:p>
                  <w:pPr>
                    <w:pStyle w:val="59"/>
                    <w:spacing w:line="240" w:lineRule="auto"/>
                    <w:rPr>
                      <w:bCs/>
                      <w:kern w:val="2"/>
                    </w:rPr>
                  </w:pPr>
                  <w:r>
                    <w:rPr>
                      <w:rFonts w:hint="eastAsia"/>
                      <w:bCs/>
                      <w:kern w:val="2"/>
                    </w:rPr>
                    <w:t>6</w:t>
                  </w:r>
                  <w:r>
                    <w:rPr>
                      <w:bCs/>
                      <w:kern w:val="2"/>
                    </w:rPr>
                    <w:t>3</w:t>
                  </w:r>
                </w:p>
              </w:tc>
              <w:tc>
                <w:tcPr>
                  <w:tcW w:w="2300" w:type="dxa"/>
                  <w:tcBorders>
                    <w:top w:val="single" w:color="auto" w:sz="6" w:space="0"/>
                    <w:left w:val="single" w:color="auto" w:sz="6" w:space="0"/>
                    <w:bottom w:val="single" w:color="auto" w:sz="6" w:space="0"/>
                    <w:right w:val="nil"/>
                  </w:tcBorders>
                  <w:vAlign w:val="center"/>
                </w:tcPr>
                <w:p>
                  <w:pPr>
                    <w:pStyle w:val="59"/>
                    <w:spacing w:line="240" w:lineRule="auto"/>
                    <w:rPr>
                      <w:kern w:val="2"/>
                    </w:rPr>
                  </w:pPr>
                  <w:r>
                    <w:rPr>
                      <w:rFonts w:hint="eastAsia"/>
                      <w:kern w:val="2"/>
                    </w:rPr>
                    <w:t>外购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5" w:type="dxa"/>
                  <w:tcBorders>
                    <w:top w:val="single" w:color="auto" w:sz="6" w:space="0"/>
                    <w:left w:val="nil"/>
                    <w:bottom w:val="single" w:color="auto" w:sz="6" w:space="0"/>
                    <w:right w:val="single" w:color="auto" w:sz="6" w:space="0"/>
                  </w:tcBorders>
                  <w:vAlign w:val="center"/>
                </w:tcPr>
                <w:p>
                  <w:pPr>
                    <w:pStyle w:val="10"/>
                    <w:spacing w:before="0" w:after="0" w:line="240" w:lineRule="auto"/>
                    <w:ind w:right="0"/>
                    <w:jc w:val="center"/>
                    <w:rPr>
                      <w:sz w:val="21"/>
                      <w:szCs w:val="21"/>
                    </w:rPr>
                  </w:pPr>
                  <w:r>
                    <w:rPr>
                      <w:sz w:val="21"/>
                      <w:szCs w:val="21"/>
                    </w:rPr>
                    <w:t>4</w:t>
                  </w:r>
                </w:p>
              </w:tc>
              <w:tc>
                <w:tcPr>
                  <w:tcW w:w="3166" w:type="dxa"/>
                  <w:tcBorders>
                    <w:top w:val="single" w:color="auto" w:sz="6" w:space="0"/>
                    <w:left w:val="single" w:color="auto" w:sz="6" w:space="0"/>
                    <w:bottom w:val="single" w:color="auto" w:sz="6" w:space="0"/>
                    <w:right w:val="single" w:color="auto" w:sz="6" w:space="0"/>
                  </w:tcBorders>
                  <w:vAlign w:val="center"/>
                </w:tcPr>
                <w:p>
                  <w:pPr>
                    <w:pStyle w:val="59"/>
                    <w:spacing w:line="240" w:lineRule="auto"/>
                    <w:rPr>
                      <w:kern w:val="2"/>
                    </w:rPr>
                  </w:pPr>
                  <w:r>
                    <w:rPr>
                      <w:kern w:val="2"/>
                    </w:rPr>
                    <w:t>水</w:t>
                  </w:r>
                </w:p>
              </w:tc>
              <w:tc>
                <w:tcPr>
                  <w:tcW w:w="1694" w:type="dxa"/>
                  <w:tcBorders>
                    <w:top w:val="single" w:color="auto" w:sz="6" w:space="0"/>
                    <w:left w:val="single" w:color="auto" w:sz="6" w:space="0"/>
                    <w:bottom w:val="single" w:color="auto" w:sz="6" w:space="0"/>
                    <w:right w:val="single" w:color="auto" w:sz="6" w:space="0"/>
                  </w:tcBorders>
                  <w:vAlign w:val="center"/>
                </w:tcPr>
                <w:p>
                  <w:pPr>
                    <w:pStyle w:val="59"/>
                    <w:spacing w:line="240" w:lineRule="auto"/>
                    <w:rPr>
                      <w:bCs/>
                      <w:kern w:val="2"/>
                      <w:highlight w:val="yellow"/>
                    </w:rPr>
                  </w:pPr>
                  <w:r>
                    <w:rPr>
                      <w:bCs/>
                      <w:kern w:val="2"/>
                    </w:rPr>
                    <w:t>330m</w:t>
                  </w:r>
                  <w:r>
                    <w:rPr>
                      <w:bCs/>
                      <w:kern w:val="2"/>
                      <w:vertAlign w:val="superscript"/>
                    </w:rPr>
                    <w:t>3</w:t>
                  </w:r>
                  <w:r>
                    <w:rPr>
                      <w:bCs/>
                      <w:kern w:val="2"/>
                    </w:rPr>
                    <w:t>/a</w:t>
                  </w:r>
                </w:p>
              </w:tc>
              <w:tc>
                <w:tcPr>
                  <w:tcW w:w="2300" w:type="dxa"/>
                  <w:tcBorders>
                    <w:top w:val="single" w:color="auto" w:sz="6" w:space="0"/>
                    <w:left w:val="single" w:color="auto" w:sz="6" w:space="0"/>
                    <w:bottom w:val="single" w:color="auto" w:sz="6" w:space="0"/>
                    <w:right w:val="nil"/>
                  </w:tcBorders>
                  <w:vAlign w:val="center"/>
                </w:tcPr>
                <w:p>
                  <w:pPr>
                    <w:pStyle w:val="45"/>
                    <w:spacing w:line="240" w:lineRule="auto"/>
                    <w:rPr>
                      <w:rFonts w:hAnsi="Times New Roman"/>
                      <w:color w:val="auto"/>
                      <w:kern w:val="2"/>
                      <w:highlight w:val="yellow"/>
                    </w:rPr>
                  </w:pPr>
                  <w:r>
                    <w:rPr>
                      <w:rFonts w:hint="eastAsia" w:hAnsi="Times New Roman"/>
                      <w:color w:val="auto"/>
                    </w:rPr>
                    <w:t>利用原有</w:t>
                  </w:r>
                  <w:r>
                    <w:rPr>
                      <w:rFonts w:hAnsi="Times New Roman"/>
                      <w:color w:val="auto"/>
                    </w:rPr>
                    <w:t>自备水井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5" w:type="dxa"/>
                  <w:tcBorders>
                    <w:top w:val="single" w:color="auto" w:sz="6" w:space="0"/>
                    <w:left w:val="nil"/>
                    <w:bottom w:val="single" w:color="auto" w:sz="12" w:space="0"/>
                    <w:right w:val="single" w:color="auto" w:sz="6" w:space="0"/>
                  </w:tcBorders>
                  <w:vAlign w:val="center"/>
                </w:tcPr>
                <w:p>
                  <w:pPr>
                    <w:pStyle w:val="10"/>
                    <w:spacing w:before="0" w:after="0" w:line="240" w:lineRule="auto"/>
                    <w:ind w:right="0"/>
                    <w:jc w:val="center"/>
                    <w:rPr>
                      <w:sz w:val="21"/>
                      <w:szCs w:val="21"/>
                    </w:rPr>
                  </w:pPr>
                  <w:r>
                    <w:rPr>
                      <w:rFonts w:hint="eastAsia"/>
                      <w:sz w:val="21"/>
                      <w:szCs w:val="21"/>
                    </w:rPr>
                    <w:t>5</w:t>
                  </w:r>
                </w:p>
              </w:tc>
              <w:tc>
                <w:tcPr>
                  <w:tcW w:w="3166" w:type="dxa"/>
                  <w:tcBorders>
                    <w:top w:val="single" w:color="auto" w:sz="6" w:space="0"/>
                    <w:left w:val="single" w:color="auto" w:sz="6" w:space="0"/>
                    <w:bottom w:val="single" w:color="auto" w:sz="12" w:space="0"/>
                    <w:right w:val="single" w:color="auto" w:sz="6" w:space="0"/>
                  </w:tcBorders>
                  <w:vAlign w:val="center"/>
                </w:tcPr>
                <w:p>
                  <w:pPr>
                    <w:adjustRightInd w:val="0"/>
                    <w:snapToGrid w:val="0"/>
                    <w:jc w:val="center"/>
                    <w:rPr>
                      <w:szCs w:val="21"/>
                    </w:rPr>
                  </w:pPr>
                  <w:r>
                    <w:rPr>
                      <w:szCs w:val="21"/>
                    </w:rPr>
                    <w:t>电</w:t>
                  </w:r>
                </w:p>
              </w:tc>
              <w:tc>
                <w:tcPr>
                  <w:tcW w:w="1694" w:type="dxa"/>
                  <w:tcBorders>
                    <w:top w:val="single" w:color="auto" w:sz="6" w:space="0"/>
                    <w:left w:val="single" w:color="auto" w:sz="6" w:space="0"/>
                    <w:bottom w:val="single" w:color="auto" w:sz="12" w:space="0"/>
                    <w:right w:val="single" w:color="auto" w:sz="6" w:space="0"/>
                  </w:tcBorders>
                  <w:vAlign w:val="center"/>
                </w:tcPr>
                <w:p>
                  <w:pPr>
                    <w:pStyle w:val="59"/>
                    <w:spacing w:line="240" w:lineRule="auto"/>
                    <w:rPr>
                      <w:kern w:val="2"/>
                    </w:rPr>
                  </w:pPr>
                  <w:r>
                    <w:rPr>
                      <w:kern w:val="2"/>
                    </w:rPr>
                    <w:t>7</w:t>
                  </w:r>
                  <w:r>
                    <w:rPr>
                      <w:rFonts w:hint="eastAsia"/>
                      <w:kern w:val="2"/>
                    </w:rPr>
                    <w:t>5</w:t>
                  </w:r>
                  <w:r>
                    <w:rPr>
                      <w:kern w:val="2"/>
                    </w:rPr>
                    <w:t>万kw·h/a</w:t>
                  </w:r>
                </w:p>
              </w:tc>
              <w:tc>
                <w:tcPr>
                  <w:tcW w:w="2300" w:type="dxa"/>
                  <w:tcBorders>
                    <w:top w:val="single" w:color="auto" w:sz="6" w:space="0"/>
                    <w:left w:val="single" w:color="auto" w:sz="6" w:space="0"/>
                    <w:bottom w:val="single" w:color="auto" w:sz="12" w:space="0"/>
                    <w:right w:val="nil"/>
                  </w:tcBorders>
                  <w:vAlign w:val="center"/>
                </w:tcPr>
                <w:p>
                  <w:pPr>
                    <w:pStyle w:val="59"/>
                    <w:spacing w:line="240" w:lineRule="auto"/>
                    <w:rPr>
                      <w:kern w:val="2"/>
                    </w:rPr>
                  </w:pPr>
                  <w:r>
                    <w:rPr>
                      <w:rFonts w:hint="eastAsia"/>
                      <w:kern w:val="2"/>
                    </w:rPr>
                    <w:t>市政供电</w:t>
                  </w:r>
                </w:p>
              </w:tc>
            </w:tr>
          </w:tbl>
          <w:p>
            <w:pPr>
              <w:autoSpaceDE w:val="0"/>
              <w:autoSpaceDN w:val="0"/>
              <w:adjustRightInd w:val="0"/>
              <w:snapToGrid w:val="0"/>
              <w:spacing w:line="120" w:lineRule="exact"/>
              <w:ind w:firstLine="482" w:firstLineChars="200"/>
              <w:rPr>
                <w:rFonts w:cs="宋体"/>
                <w:b/>
                <w:bCs/>
                <w:kern w:val="0"/>
                <w:sz w:val="24"/>
              </w:rPr>
            </w:pPr>
          </w:p>
          <w:p>
            <w:pPr>
              <w:widowControl/>
              <w:spacing w:line="440" w:lineRule="exact"/>
              <w:ind w:firstLine="480" w:firstLineChars="200"/>
              <w:rPr>
                <w:sz w:val="24"/>
              </w:rPr>
            </w:pPr>
            <w:r>
              <w:rPr>
                <w:rFonts w:hint="eastAsia"/>
                <w:sz w:val="24"/>
              </w:rPr>
              <w:t>粉煤灰：粉煤灰是燃煤火电厂燃煤后收集的颗粒物</w:t>
            </w:r>
            <w:r>
              <w:rPr>
                <w:sz w:val="24"/>
              </w:rPr>
              <w:t>(</w:t>
            </w:r>
            <w:r>
              <w:rPr>
                <w:rFonts w:hint="eastAsia"/>
                <w:sz w:val="24"/>
              </w:rPr>
              <w:t>其中</w:t>
            </w:r>
            <w:r>
              <w:rPr>
                <w:sz w:val="24"/>
              </w:rPr>
              <w:t xml:space="preserve"> 80%</w:t>
            </w:r>
            <w:r>
              <w:rPr>
                <w:rFonts w:hint="eastAsia"/>
                <w:sz w:val="24"/>
              </w:rPr>
              <w:t>～</w:t>
            </w:r>
            <w:r>
              <w:rPr>
                <w:sz w:val="24"/>
              </w:rPr>
              <w:t>90%</w:t>
            </w:r>
            <w:r>
              <w:rPr>
                <w:rFonts w:hint="eastAsia"/>
                <w:sz w:val="24"/>
              </w:rPr>
              <w:t>为飞灰，</w:t>
            </w:r>
            <w:r>
              <w:rPr>
                <w:sz w:val="24"/>
              </w:rPr>
              <w:t>10%</w:t>
            </w:r>
            <w:r>
              <w:rPr>
                <w:rFonts w:hint="eastAsia"/>
                <w:sz w:val="24"/>
              </w:rPr>
              <w:t>～</w:t>
            </w:r>
            <w:r>
              <w:rPr>
                <w:sz w:val="24"/>
              </w:rPr>
              <w:t>20%</w:t>
            </w:r>
            <w:r>
              <w:rPr>
                <w:rFonts w:hint="eastAsia"/>
                <w:sz w:val="24"/>
              </w:rPr>
              <w:t>为炉底灰</w:t>
            </w:r>
            <w:r>
              <w:rPr>
                <w:sz w:val="24"/>
              </w:rPr>
              <w:t>)</w:t>
            </w:r>
            <w:r>
              <w:rPr>
                <w:rFonts w:hint="eastAsia"/>
                <w:sz w:val="24"/>
              </w:rPr>
              <w:t>，主要成分为</w:t>
            </w:r>
            <w:r>
              <w:rPr>
                <w:sz w:val="24"/>
              </w:rPr>
              <w:t>SiO</w:t>
            </w:r>
            <w:r>
              <w:rPr>
                <w:sz w:val="24"/>
                <w:vertAlign w:val="subscript"/>
              </w:rPr>
              <w:t>2</w:t>
            </w:r>
            <w:r>
              <w:rPr>
                <w:rFonts w:hint="eastAsia"/>
                <w:sz w:val="24"/>
              </w:rPr>
              <w:t>和</w:t>
            </w:r>
            <w:r>
              <w:rPr>
                <w:sz w:val="24"/>
              </w:rPr>
              <w:t>A1</w:t>
            </w:r>
            <w:r>
              <w:rPr>
                <w:sz w:val="24"/>
                <w:vertAlign w:val="subscript"/>
              </w:rPr>
              <w:t>2</w:t>
            </w:r>
            <w:r>
              <w:rPr>
                <w:sz w:val="24"/>
              </w:rPr>
              <w:t>O</w:t>
            </w:r>
            <w:r>
              <w:rPr>
                <w:sz w:val="24"/>
                <w:vertAlign w:val="subscript"/>
              </w:rPr>
              <w:t>3</w:t>
            </w:r>
            <w:r>
              <w:rPr>
                <w:rFonts w:hint="eastAsia"/>
                <w:sz w:val="24"/>
              </w:rPr>
              <w:t>，</w:t>
            </w:r>
            <w:r>
              <w:rPr>
                <w:rFonts w:hint="eastAsia"/>
                <w:b/>
                <w:bCs/>
                <w:sz w:val="24"/>
                <w:u w:val="single"/>
              </w:rPr>
              <w:t>属于第I类一般工业固体废物。</w:t>
            </w:r>
            <w:r>
              <w:rPr>
                <w:rFonts w:hint="eastAsia"/>
                <w:sz w:val="24"/>
              </w:rPr>
              <w:t>粉煤灰的活性主要来自活性</w:t>
            </w:r>
            <w:r>
              <w:rPr>
                <w:sz w:val="24"/>
              </w:rPr>
              <w:t>SiO</w:t>
            </w:r>
            <w:r>
              <w:rPr>
                <w:sz w:val="24"/>
                <w:vertAlign w:val="subscript"/>
              </w:rPr>
              <w:t>2</w:t>
            </w:r>
            <w:r>
              <w:rPr>
                <w:sz w:val="24"/>
              </w:rPr>
              <w:t>(</w:t>
            </w:r>
            <w:r>
              <w:rPr>
                <w:rFonts w:hint="eastAsia"/>
                <w:sz w:val="24"/>
              </w:rPr>
              <w:t>玻璃体</w:t>
            </w:r>
            <w:r>
              <w:rPr>
                <w:sz w:val="24"/>
              </w:rPr>
              <w:t>SiO</w:t>
            </w:r>
            <w:r>
              <w:rPr>
                <w:sz w:val="24"/>
                <w:vertAlign w:val="subscript"/>
              </w:rPr>
              <w:t>2</w:t>
            </w:r>
            <w:r>
              <w:rPr>
                <w:sz w:val="24"/>
              </w:rPr>
              <w:t>)</w:t>
            </w:r>
            <w:r>
              <w:rPr>
                <w:rFonts w:hint="eastAsia"/>
                <w:sz w:val="24"/>
              </w:rPr>
              <w:t>和活性</w:t>
            </w:r>
            <w:r>
              <w:rPr>
                <w:sz w:val="24"/>
              </w:rPr>
              <w:t>A1</w:t>
            </w:r>
            <w:r>
              <w:rPr>
                <w:sz w:val="24"/>
                <w:vertAlign w:val="subscript"/>
              </w:rPr>
              <w:t>2</w:t>
            </w:r>
            <w:r>
              <w:rPr>
                <w:sz w:val="24"/>
              </w:rPr>
              <w:t>O</w:t>
            </w:r>
            <w:r>
              <w:rPr>
                <w:sz w:val="24"/>
                <w:vertAlign w:val="subscript"/>
              </w:rPr>
              <w:t>3</w:t>
            </w:r>
            <w:r>
              <w:rPr>
                <w:sz w:val="24"/>
              </w:rPr>
              <w:t>(</w:t>
            </w:r>
            <w:r>
              <w:rPr>
                <w:rFonts w:hint="eastAsia"/>
                <w:sz w:val="24"/>
              </w:rPr>
              <w:t>玻璃体</w:t>
            </w:r>
            <w:r>
              <w:rPr>
                <w:sz w:val="24"/>
              </w:rPr>
              <w:t>A1</w:t>
            </w:r>
            <w:r>
              <w:rPr>
                <w:sz w:val="24"/>
                <w:vertAlign w:val="subscript"/>
              </w:rPr>
              <w:t>2</w:t>
            </w:r>
            <w:r>
              <w:rPr>
                <w:sz w:val="24"/>
              </w:rPr>
              <w:t>O</w:t>
            </w:r>
            <w:r>
              <w:rPr>
                <w:sz w:val="24"/>
                <w:vertAlign w:val="subscript"/>
              </w:rPr>
              <w:t>3</w:t>
            </w:r>
            <w:r>
              <w:rPr>
                <w:sz w:val="24"/>
              </w:rPr>
              <w:t>)</w:t>
            </w:r>
            <w:r>
              <w:rPr>
                <w:rFonts w:hint="eastAsia"/>
                <w:sz w:val="24"/>
              </w:rPr>
              <w:t>在一定碱性条件下的水化作用。当其以粉状及水存在时，能在常温，特别是在水热处理</w:t>
            </w:r>
            <w:r>
              <w:rPr>
                <w:sz w:val="24"/>
              </w:rPr>
              <w:t>(</w:t>
            </w:r>
            <w:r>
              <w:rPr>
                <w:rFonts w:hint="eastAsia"/>
                <w:sz w:val="24"/>
              </w:rPr>
              <w:t>蒸汽养护</w:t>
            </w:r>
            <w:r>
              <w:rPr>
                <w:sz w:val="24"/>
              </w:rPr>
              <w:t>)</w:t>
            </w:r>
            <w:r>
              <w:rPr>
                <w:rFonts w:hint="eastAsia"/>
                <w:sz w:val="24"/>
              </w:rPr>
              <w:t>条件下，与氢氧化钙或其他碱土金属氢氧化物发生化学反应，生成具有水硬胶凝性能的化合物，成为一种增加强度和耐久性的材料，故广泛应用于水泥、混凝土、轻质墙体建材的生产中。</w:t>
            </w:r>
          </w:p>
          <w:p>
            <w:pPr>
              <w:autoSpaceDE w:val="0"/>
              <w:autoSpaceDN w:val="0"/>
              <w:adjustRightInd w:val="0"/>
              <w:snapToGrid w:val="0"/>
              <w:spacing w:line="440" w:lineRule="exact"/>
              <w:ind w:firstLine="482" w:firstLineChars="200"/>
              <w:rPr>
                <w:rFonts w:cs="宋体"/>
                <w:b/>
                <w:bCs/>
                <w:kern w:val="0"/>
                <w:sz w:val="24"/>
              </w:rPr>
            </w:pPr>
            <w:r>
              <w:rPr>
                <w:rFonts w:hint="eastAsia" w:cs="宋体"/>
                <w:b/>
                <w:bCs/>
                <w:kern w:val="0"/>
                <w:sz w:val="24"/>
              </w:rPr>
              <w:t>5、平面布置</w:t>
            </w:r>
          </w:p>
          <w:p>
            <w:pPr>
              <w:autoSpaceDE w:val="0"/>
              <w:autoSpaceDN w:val="0"/>
              <w:adjustRightInd w:val="0"/>
              <w:snapToGrid w:val="0"/>
              <w:spacing w:line="440" w:lineRule="exact"/>
              <w:ind w:firstLine="480" w:firstLineChars="200"/>
              <w:rPr>
                <w:rFonts w:cs="宋体"/>
                <w:kern w:val="0"/>
                <w:sz w:val="24"/>
              </w:rPr>
            </w:pPr>
            <w:r>
              <w:rPr>
                <w:rFonts w:hint="eastAsia" w:cs="宋体"/>
                <w:kern w:val="0"/>
                <w:sz w:val="24"/>
              </w:rPr>
              <w:t>本项目位于鲁山县辛集乡曲店村三组，租用远宏炭素公司空地进行建设，租用</w:t>
            </w:r>
            <w:r>
              <w:rPr>
                <w:rFonts w:cs="宋体"/>
                <w:kern w:val="0"/>
                <w:sz w:val="24"/>
              </w:rPr>
              <w:t>面积为</w:t>
            </w:r>
            <w:r>
              <w:rPr>
                <w:rFonts w:hint="eastAsia" w:cs="宋体"/>
                <w:kern w:val="0"/>
                <w:sz w:val="24"/>
              </w:rPr>
              <w:t>3000</w:t>
            </w:r>
            <w:r>
              <w:rPr>
                <w:rFonts w:cs="宋体"/>
                <w:kern w:val="0"/>
                <w:sz w:val="24"/>
              </w:rPr>
              <w:t>m</w:t>
            </w:r>
            <w:r>
              <w:rPr>
                <w:rFonts w:cs="宋体"/>
                <w:kern w:val="0"/>
                <w:sz w:val="24"/>
                <w:vertAlign w:val="superscript"/>
              </w:rPr>
              <w:t>2</w:t>
            </w:r>
            <w:r>
              <w:rPr>
                <w:rFonts w:hint="eastAsia" w:cs="宋体"/>
                <w:kern w:val="0"/>
                <w:sz w:val="24"/>
              </w:rPr>
              <w:t>，厂区</w:t>
            </w:r>
            <w:r>
              <w:rPr>
                <w:rFonts w:cs="宋体"/>
                <w:kern w:val="0"/>
                <w:sz w:val="24"/>
              </w:rPr>
              <w:t>整体分为生产区和办公区两部分，</w:t>
            </w:r>
            <w:r>
              <w:rPr>
                <w:rFonts w:hint="eastAsia" w:cs="宋体"/>
                <w:kern w:val="0"/>
                <w:sz w:val="24"/>
              </w:rPr>
              <w:t>按</w:t>
            </w:r>
            <w:r>
              <w:rPr>
                <w:rFonts w:cs="宋体"/>
                <w:kern w:val="0"/>
                <w:sz w:val="24"/>
              </w:rPr>
              <w:t>地势分</w:t>
            </w:r>
            <w:r>
              <w:rPr>
                <w:rFonts w:hint="eastAsia" w:cs="宋体"/>
                <w:kern w:val="0"/>
                <w:sz w:val="24"/>
              </w:rPr>
              <w:t>二级</w:t>
            </w:r>
            <w:r>
              <w:rPr>
                <w:rFonts w:cs="宋体"/>
                <w:kern w:val="0"/>
                <w:sz w:val="24"/>
              </w:rPr>
              <w:t>台阶布置</w:t>
            </w:r>
            <w:r>
              <w:rPr>
                <w:rFonts w:hint="eastAsia" w:cs="宋体"/>
                <w:kern w:val="0"/>
                <w:sz w:val="24"/>
              </w:rPr>
              <w:t>，一级</w:t>
            </w:r>
            <w:r>
              <w:rPr>
                <w:rFonts w:cs="宋体"/>
                <w:kern w:val="0"/>
                <w:sz w:val="24"/>
              </w:rPr>
              <w:t>台阶布置</w:t>
            </w:r>
            <w:r>
              <w:rPr>
                <w:rFonts w:hint="eastAsia" w:cs="宋体"/>
                <w:kern w:val="0"/>
                <w:sz w:val="24"/>
              </w:rPr>
              <w:t>的</w:t>
            </w:r>
            <w:r>
              <w:rPr>
                <w:rFonts w:cs="宋体"/>
                <w:kern w:val="0"/>
                <w:sz w:val="24"/>
              </w:rPr>
              <w:t>办公区</w:t>
            </w:r>
            <w:r>
              <w:rPr>
                <w:rFonts w:hint="eastAsia" w:cs="宋体"/>
                <w:kern w:val="0"/>
                <w:sz w:val="24"/>
              </w:rPr>
              <w:t>和</w:t>
            </w:r>
            <w:r>
              <w:rPr>
                <w:rFonts w:cs="宋体"/>
                <w:kern w:val="0"/>
                <w:sz w:val="24"/>
              </w:rPr>
              <w:t>原料仓，</w:t>
            </w:r>
            <w:r>
              <w:rPr>
                <w:rFonts w:hint="eastAsia" w:cs="宋体"/>
                <w:kern w:val="0"/>
                <w:sz w:val="24"/>
              </w:rPr>
              <w:t>位于</w:t>
            </w:r>
            <w:r>
              <w:rPr>
                <w:rFonts w:cs="宋体"/>
                <w:kern w:val="0"/>
                <w:sz w:val="24"/>
              </w:rPr>
              <w:t>厂区东侧</w:t>
            </w:r>
            <w:r>
              <w:rPr>
                <w:rFonts w:hint="eastAsia" w:cs="宋体"/>
                <w:kern w:val="0"/>
                <w:sz w:val="24"/>
              </w:rPr>
              <w:t>；</w:t>
            </w:r>
            <w:r>
              <w:rPr>
                <w:rFonts w:cs="宋体"/>
                <w:kern w:val="0"/>
                <w:sz w:val="24"/>
              </w:rPr>
              <w:t>二级台阶</w:t>
            </w:r>
            <w:r>
              <w:rPr>
                <w:rFonts w:hint="eastAsia" w:cs="宋体"/>
                <w:kern w:val="0"/>
                <w:sz w:val="24"/>
              </w:rPr>
              <w:t>主要</w:t>
            </w:r>
            <w:r>
              <w:rPr>
                <w:rFonts w:cs="宋体"/>
                <w:kern w:val="0"/>
                <w:sz w:val="24"/>
              </w:rPr>
              <w:t>布置</w:t>
            </w:r>
            <w:r>
              <w:rPr>
                <w:rFonts w:hint="eastAsia" w:cs="宋体"/>
                <w:kern w:val="0"/>
                <w:sz w:val="24"/>
              </w:rPr>
              <w:t>分选粉磨</w:t>
            </w:r>
            <w:r>
              <w:rPr>
                <w:rFonts w:cs="宋体"/>
                <w:kern w:val="0"/>
                <w:sz w:val="24"/>
              </w:rPr>
              <w:t>车间、成品</w:t>
            </w:r>
            <w:r>
              <w:rPr>
                <w:rFonts w:hint="eastAsia" w:cs="宋体"/>
                <w:kern w:val="0"/>
                <w:sz w:val="24"/>
              </w:rPr>
              <w:t>仓、装车</w:t>
            </w:r>
            <w:r>
              <w:rPr>
                <w:rFonts w:cs="宋体"/>
                <w:kern w:val="0"/>
                <w:sz w:val="24"/>
              </w:rPr>
              <w:t>通道</w:t>
            </w:r>
            <w:r>
              <w:rPr>
                <w:rFonts w:hint="eastAsia" w:cs="宋体"/>
                <w:kern w:val="0"/>
                <w:sz w:val="24"/>
              </w:rPr>
              <w:t>；各生产单元布局紧凑，道路</w:t>
            </w:r>
            <w:r>
              <w:rPr>
                <w:rFonts w:cs="宋体"/>
                <w:kern w:val="0"/>
                <w:sz w:val="24"/>
              </w:rPr>
              <w:t>依</w:t>
            </w:r>
            <w:r>
              <w:rPr>
                <w:rFonts w:hint="eastAsia" w:cs="宋体"/>
                <w:kern w:val="0"/>
                <w:sz w:val="24"/>
              </w:rPr>
              <w:t>生产区呈</w:t>
            </w:r>
            <w:r>
              <w:rPr>
                <w:rFonts w:cs="宋体"/>
                <w:kern w:val="0"/>
                <w:sz w:val="24"/>
              </w:rPr>
              <w:t>环形</w:t>
            </w:r>
            <w:r>
              <w:rPr>
                <w:rFonts w:hint="eastAsia" w:cs="宋体"/>
                <w:kern w:val="0"/>
                <w:sz w:val="24"/>
              </w:rPr>
              <w:t>铺设</w:t>
            </w:r>
            <w:r>
              <w:rPr>
                <w:rFonts w:cs="宋体"/>
                <w:kern w:val="0"/>
                <w:sz w:val="24"/>
              </w:rPr>
              <w:t>，厂区大门设置在东北角，</w:t>
            </w:r>
            <w:r>
              <w:rPr>
                <w:rFonts w:hint="eastAsia" w:cs="宋体"/>
                <w:kern w:val="0"/>
                <w:sz w:val="24"/>
              </w:rPr>
              <w:t>连接远宏</w:t>
            </w:r>
            <w:r>
              <w:rPr>
                <w:rFonts w:hint="eastAsia"/>
                <w:szCs w:val="21"/>
              </w:rPr>
              <w:t>炭素</w:t>
            </w:r>
            <w:r>
              <w:rPr>
                <w:rFonts w:hint="eastAsia" w:cs="宋体"/>
                <w:kern w:val="0"/>
                <w:sz w:val="24"/>
              </w:rPr>
              <w:t>厂区现有道路，方便运输物料车辆进出厂区。</w:t>
            </w:r>
          </w:p>
          <w:p>
            <w:pPr>
              <w:autoSpaceDE w:val="0"/>
              <w:autoSpaceDN w:val="0"/>
              <w:adjustRightInd w:val="0"/>
              <w:snapToGrid w:val="0"/>
              <w:spacing w:line="440" w:lineRule="exact"/>
              <w:ind w:firstLine="480" w:firstLineChars="200"/>
              <w:rPr>
                <w:rFonts w:cs="宋体"/>
                <w:kern w:val="0"/>
                <w:sz w:val="24"/>
              </w:rPr>
            </w:pPr>
            <w:r>
              <w:rPr>
                <w:rFonts w:hint="eastAsia" w:cs="宋体"/>
                <w:kern w:val="0"/>
                <w:sz w:val="24"/>
              </w:rPr>
              <w:t>本项目总平面布置情况见附图六。</w:t>
            </w:r>
          </w:p>
          <w:p>
            <w:pPr>
              <w:autoSpaceDE w:val="0"/>
              <w:autoSpaceDN w:val="0"/>
              <w:adjustRightInd w:val="0"/>
              <w:snapToGrid w:val="0"/>
              <w:spacing w:line="440" w:lineRule="exact"/>
              <w:ind w:firstLine="482" w:firstLineChars="200"/>
              <w:rPr>
                <w:rFonts w:cs="宋体"/>
                <w:b/>
                <w:bCs/>
                <w:kern w:val="0"/>
                <w:sz w:val="24"/>
              </w:rPr>
            </w:pPr>
            <w:r>
              <w:rPr>
                <w:rFonts w:hint="eastAsia" w:cs="宋体"/>
                <w:b/>
                <w:bCs/>
                <w:kern w:val="0"/>
                <w:sz w:val="24"/>
              </w:rPr>
              <w:t>6、劳动定员及工作制度</w:t>
            </w:r>
          </w:p>
          <w:p>
            <w:pPr>
              <w:autoSpaceDE w:val="0"/>
              <w:autoSpaceDN w:val="0"/>
              <w:adjustRightInd w:val="0"/>
              <w:snapToGrid w:val="0"/>
              <w:spacing w:line="440" w:lineRule="exact"/>
              <w:ind w:firstLine="480" w:firstLineChars="200"/>
              <w:rPr>
                <w:rFonts w:cs="宋体"/>
                <w:kern w:val="0"/>
                <w:sz w:val="24"/>
              </w:rPr>
            </w:pPr>
            <w:r>
              <w:rPr>
                <w:rFonts w:hint="eastAsia" w:cs="宋体"/>
                <w:kern w:val="0"/>
                <w:sz w:val="24"/>
              </w:rPr>
              <w:t>本项目劳动定员为</w:t>
            </w:r>
            <w:r>
              <w:rPr>
                <w:rFonts w:cs="宋体"/>
                <w:kern w:val="0"/>
                <w:sz w:val="24"/>
              </w:rPr>
              <w:t>4</w:t>
            </w:r>
            <w:r>
              <w:rPr>
                <w:rFonts w:hint="eastAsia" w:cs="宋体"/>
                <w:kern w:val="0"/>
                <w:sz w:val="24"/>
              </w:rPr>
              <w:t>人，均为附近</w:t>
            </w:r>
            <w:r>
              <w:rPr>
                <w:rFonts w:cs="宋体"/>
                <w:kern w:val="0"/>
                <w:sz w:val="24"/>
              </w:rPr>
              <w:t>村民，不在</w:t>
            </w:r>
            <w:r>
              <w:rPr>
                <w:rFonts w:hint="eastAsia" w:cs="宋体"/>
                <w:kern w:val="0"/>
                <w:sz w:val="24"/>
              </w:rPr>
              <w:t>厂区食宿，实行单班制，每班工作时间8h，</w:t>
            </w:r>
            <w:r>
              <w:rPr>
                <w:sz w:val="24"/>
              </w:rPr>
              <w:t>年</w:t>
            </w:r>
            <w:r>
              <w:rPr>
                <w:rFonts w:hint="eastAsia"/>
                <w:sz w:val="24"/>
              </w:rPr>
              <w:t>工作</w:t>
            </w:r>
            <w:r>
              <w:rPr>
                <w:sz w:val="24"/>
              </w:rPr>
              <w:t>2</w:t>
            </w:r>
            <w:r>
              <w:rPr>
                <w:rFonts w:hint="eastAsia"/>
                <w:sz w:val="24"/>
              </w:rPr>
              <w:t>50</w:t>
            </w:r>
            <w:r>
              <w:rPr>
                <w:sz w:val="24"/>
              </w:rPr>
              <w:t>天。</w:t>
            </w:r>
          </w:p>
          <w:p>
            <w:pPr>
              <w:autoSpaceDE w:val="0"/>
              <w:autoSpaceDN w:val="0"/>
              <w:adjustRightInd w:val="0"/>
              <w:snapToGrid w:val="0"/>
              <w:spacing w:line="440" w:lineRule="exact"/>
              <w:ind w:firstLine="482" w:firstLineChars="200"/>
              <w:rPr>
                <w:rFonts w:cs="宋体"/>
                <w:b/>
                <w:bCs/>
                <w:kern w:val="0"/>
                <w:sz w:val="24"/>
              </w:rPr>
            </w:pPr>
            <w:r>
              <w:rPr>
                <w:rFonts w:hint="eastAsia" w:cs="宋体"/>
                <w:b/>
                <w:bCs/>
                <w:kern w:val="0"/>
                <w:sz w:val="24"/>
              </w:rPr>
              <w:t>7、公用工程</w:t>
            </w:r>
          </w:p>
          <w:p>
            <w:pPr>
              <w:autoSpaceDE w:val="0"/>
              <w:autoSpaceDN w:val="0"/>
              <w:adjustRightInd w:val="0"/>
              <w:snapToGrid w:val="0"/>
              <w:spacing w:line="440" w:lineRule="exact"/>
              <w:ind w:firstLine="480" w:firstLineChars="200"/>
              <w:rPr>
                <w:rFonts w:cs="宋体"/>
                <w:kern w:val="0"/>
                <w:sz w:val="24"/>
              </w:rPr>
            </w:pPr>
            <w:r>
              <w:rPr>
                <w:rFonts w:hint="eastAsia" w:cs="宋体"/>
                <w:kern w:val="0"/>
                <w:sz w:val="24"/>
              </w:rPr>
              <w:t>（1）供排水</w:t>
            </w:r>
          </w:p>
          <w:p>
            <w:pPr>
              <w:widowControl/>
              <w:spacing w:line="440" w:lineRule="exact"/>
              <w:ind w:firstLine="480" w:firstLineChars="200"/>
              <w:rPr>
                <w:sz w:val="24"/>
              </w:rPr>
            </w:pPr>
            <w:r>
              <w:rPr>
                <w:rFonts w:hint="eastAsia"/>
                <w:sz w:val="24"/>
              </w:rPr>
              <w:t>本项目用水主要为运输车辆的清洗用水、厂区抑尘洒水以及生活用水，由</w:t>
            </w:r>
            <w:r>
              <w:rPr>
                <w:sz w:val="24"/>
              </w:rPr>
              <w:t>厂区现有</w:t>
            </w:r>
            <w:r>
              <w:rPr>
                <w:rFonts w:hint="eastAsia"/>
                <w:sz w:val="24"/>
              </w:rPr>
              <w:t>自备井供给。</w:t>
            </w:r>
          </w:p>
          <w:p>
            <w:pPr>
              <w:pStyle w:val="70"/>
              <w:numPr>
                <w:ilvl w:val="0"/>
                <w:numId w:val="1"/>
              </w:numPr>
              <w:spacing w:line="480" w:lineRule="exact"/>
              <w:ind w:firstLineChars="0"/>
              <w:rPr>
                <w:snapToGrid w:val="0"/>
                <w:kern w:val="0"/>
                <w:sz w:val="24"/>
              </w:rPr>
            </w:pPr>
            <w:r>
              <w:rPr>
                <w:rFonts w:hint="eastAsia"/>
                <w:snapToGrid w:val="0"/>
                <w:kern w:val="0"/>
                <w:sz w:val="24"/>
              </w:rPr>
              <w:t>厂区洒水降尘</w:t>
            </w:r>
          </w:p>
          <w:p>
            <w:pPr>
              <w:spacing w:line="520" w:lineRule="exact"/>
              <w:ind w:firstLine="480" w:firstLineChars="200"/>
              <w:rPr>
                <w:snapToGrid w:val="0"/>
                <w:kern w:val="0"/>
                <w:sz w:val="24"/>
              </w:rPr>
            </w:pPr>
            <w:r>
              <w:rPr>
                <w:rFonts w:hint="eastAsia"/>
                <w:snapToGrid w:val="0"/>
                <w:kern w:val="0"/>
                <w:sz w:val="24"/>
              </w:rPr>
              <w:t>厂区道路及硬化面积约</w:t>
            </w:r>
            <w:r>
              <w:rPr>
                <w:snapToGrid w:val="0"/>
                <w:kern w:val="0"/>
                <w:sz w:val="24"/>
              </w:rPr>
              <w:t>为1000m</w:t>
            </w:r>
            <w:r>
              <w:rPr>
                <w:snapToGrid w:val="0"/>
                <w:kern w:val="0"/>
                <w:sz w:val="24"/>
                <w:vertAlign w:val="superscript"/>
              </w:rPr>
              <w:t>2</w:t>
            </w:r>
            <w:r>
              <w:rPr>
                <w:rFonts w:hint="eastAsia"/>
                <w:snapToGrid w:val="0"/>
                <w:kern w:val="0"/>
                <w:sz w:val="24"/>
              </w:rPr>
              <w:t>，按照每天每平方米</w:t>
            </w:r>
            <w:r>
              <w:rPr>
                <w:snapToGrid w:val="0"/>
                <w:kern w:val="0"/>
                <w:sz w:val="24"/>
              </w:rPr>
              <w:t>0.001m</w:t>
            </w:r>
            <w:r>
              <w:rPr>
                <w:snapToGrid w:val="0"/>
                <w:kern w:val="0"/>
                <w:sz w:val="24"/>
                <w:vertAlign w:val="superscript"/>
              </w:rPr>
              <w:t>3</w:t>
            </w:r>
            <w:r>
              <w:rPr>
                <w:rFonts w:hint="eastAsia"/>
                <w:snapToGrid w:val="0"/>
                <w:kern w:val="0"/>
                <w:sz w:val="24"/>
              </w:rPr>
              <w:t>洒水量计算，则厂区洒水量为</w:t>
            </w:r>
            <w:r>
              <w:rPr>
                <w:snapToGrid w:val="0"/>
                <w:kern w:val="0"/>
                <w:sz w:val="24"/>
              </w:rPr>
              <w:t>1m</w:t>
            </w:r>
            <w:r>
              <w:rPr>
                <w:snapToGrid w:val="0"/>
                <w:kern w:val="0"/>
                <w:sz w:val="24"/>
                <w:vertAlign w:val="superscript"/>
              </w:rPr>
              <w:t>3</w:t>
            </w:r>
            <w:r>
              <w:rPr>
                <w:snapToGrid w:val="0"/>
                <w:kern w:val="0"/>
                <w:sz w:val="24"/>
              </w:rPr>
              <w:t>/d</w:t>
            </w:r>
            <w:r>
              <w:rPr>
                <w:rFonts w:hint="eastAsia"/>
                <w:snapToGrid w:val="0"/>
                <w:kern w:val="0"/>
                <w:sz w:val="24"/>
              </w:rPr>
              <w:t>（合计</w:t>
            </w:r>
            <w:r>
              <w:rPr>
                <w:snapToGrid w:val="0"/>
                <w:kern w:val="0"/>
                <w:sz w:val="24"/>
              </w:rPr>
              <w:t>250m</w:t>
            </w:r>
            <w:r>
              <w:rPr>
                <w:snapToGrid w:val="0"/>
                <w:kern w:val="0"/>
                <w:sz w:val="24"/>
                <w:vertAlign w:val="superscript"/>
              </w:rPr>
              <w:t>3</w:t>
            </w:r>
            <w:r>
              <w:rPr>
                <w:snapToGrid w:val="0"/>
                <w:kern w:val="0"/>
                <w:sz w:val="24"/>
              </w:rPr>
              <w:t>/a</w:t>
            </w:r>
            <w:r>
              <w:rPr>
                <w:rFonts w:hint="eastAsia"/>
                <w:snapToGrid w:val="0"/>
                <w:kern w:val="0"/>
                <w:sz w:val="24"/>
              </w:rPr>
              <w:t>），全部自然挥发，无废水产生。</w:t>
            </w:r>
          </w:p>
          <w:p>
            <w:pPr>
              <w:spacing w:line="520" w:lineRule="exact"/>
              <w:ind w:firstLine="480" w:firstLineChars="200"/>
              <w:rPr>
                <w:snapToGrid w:val="0"/>
                <w:kern w:val="0"/>
                <w:sz w:val="24"/>
              </w:rPr>
            </w:pPr>
            <w:r>
              <w:rPr>
                <w:snapToGrid w:val="0"/>
                <w:kern w:val="0"/>
                <w:sz w:val="24"/>
              </w:rPr>
              <w:fldChar w:fldCharType="begin"/>
            </w:r>
            <w:r>
              <w:rPr>
                <w:snapToGrid w:val="0"/>
                <w:kern w:val="0"/>
                <w:sz w:val="24"/>
              </w:rPr>
              <w:instrText xml:space="preserve"> </w:instrText>
            </w:r>
            <w:r>
              <w:rPr>
                <w:rFonts w:hint="eastAsia"/>
                <w:snapToGrid w:val="0"/>
                <w:kern w:val="0"/>
                <w:sz w:val="24"/>
              </w:rPr>
              <w:instrText xml:space="preserve">= 2 \* GB3</w:instrText>
            </w:r>
            <w:r>
              <w:rPr>
                <w:snapToGrid w:val="0"/>
                <w:kern w:val="0"/>
                <w:sz w:val="24"/>
              </w:rPr>
              <w:instrText xml:space="preserve"> </w:instrText>
            </w:r>
            <w:r>
              <w:rPr>
                <w:snapToGrid w:val="0"/>
                <w:kern w:val="0"/>
                <w:sz w:val="24"/>
              </w:rPr>
              <w:fldChar w:fldCharType="separate"/>
            </w:r>
            <w:r>
              <w:rPr>
                <w:rFonts w:hint="eastAsia"/>
                <w:snapToGrid w:val="0"/>
                <w:kern w:val="0"/>
                <w:sz w:val="24"/>
              </w:rPr>
              <w:t>②</w:t>
            </w:r>
            <w:r>
              <w:rPr>
                <w:snapToGrid w:val="0"/>
                <w:kern w:val="0"/>
                <w:sz w:val="24"/>
              </w:rPr>
              <w:fldChar w:fldCharType="end"/>
            </w:r>
            <w:r>
              <w:rPr>
                <w:snapToGrid w:val="0"/>
                <w:kern w:val="0"/>
                <w:sz w:val="24"/>
              </w:rPr>
              <w:t xml:space="preserve"> </w:t>
            </w:r>
            <w:r>
              <w:rPr>
                <w:rFonts w:hint="eastAsia"/>
                <w:snapToGrid w:val="0"/>
                <w:kern w:val="0"/>
                <w:sz w:val="24"/>
              </w:rPr>
              <w:t>喷雾</w:t>
            </w:r>
            <w:r>
              <w:rPr>
                <w:snapToGrid w:val="0"/>
                <w:kern w:val="0"/>
                <w:sz w:val="24"/>
              </w:rPr>
              <w:t>用水</w:t>
            </w:r>
          </w:p>
          <w:p>
            <w:pPr>
              <w:spacing w:line="520" w:lineRule="exact"/>
              <w:ind w:firstLine="480" w:firstLineChars="200"/>
              <w:rPr>
                <w:snapToGrid w:val="0"/>
                <w:kern w:val="0"/>
                <w:sz w:val="24"/>
              </w:rPr>
            </w:pPr>
            <w:r>
              <w:rPr>
                <w:rFonts w:hint="eastAsia"/>
                <w:snapToGrid w:val="0"/>
                <w:kern w:val="0"/>
                <w:sz w:val="24"/>
              </w:rPr>
              <w:t>本项目车间设置干雾抑尘装置以达到降尘目的，经类比分析，单个喷头喷雾耗</w:t>
            </w:r>
            <w:r>
              <w:rPr>
                <w:snapToGrid w:val="0"/>
                <w:kern w:val="0"/>
                <w:sz w:val="24"/>
              </w:rPr>
              <w:t>水</w:t>
            </w:r>
            <w:r>
              <w:rPr>
                <w:rFonts w:hint="eastAsia"/>
                <w:snapToGrid w:val="0"/>
                <w:kern w:val="0"/>
                <w:sz w:val="24"/>
              </w:rPr>
              <w:t>量为</w:t>
            </w:r>
            <w:r>
              <w:rPr>
                <w:snapToGrid w:val="0"/>
                <w:kern w:val="0"/>
                <w:sz w:val="24"/>
              </w:rPr>
              <w:t>0.1</w:t>
            </w:r>
            <w:r>
              <w:rPr>
                <w:rFonts w:hint="eastAsia"/>
                <w:snapToGrid w:val="0"/>
                <w:kern w:val="0"/>
                <w:sz w:val="24"/>
              </w:rPr>
              <w:t>~</w:t>
            </w:r>
            <w:r>
              <w:rPr>
                <w:snapToGrid w:val="0"/>
                <w:kern w:val="0"/>
                <w:sz w:val="24"/>
              </w:rPr>
              <w:t>0.2L</w:t>
            </w:r>
            <w:r>
              <w:rPr>
                <w:rFonts w:hint="eastAsia"/>
                <w:snapToGrid w:val="0"/>
                <w:kern w:val="0"/>
                <w:sz w:val="24"/>
              </w:rPr>
              <w:t>/</w:t>
            </w:r>
            <w:r>
              <w:rPr>
                <w:snapToGrid w:val="0"/>
                <w:kern w:val="0"/>
                <w:sz w:val="24"/>
              </w:rPr>
              <w:t>min</w:t>
            </w:r>
            <w:r>
              <w:rPr>
                <w:rFonts w:hint="eastAsia"/>
                <w:snapToGrid w:val="0"/>
                <w:kern w:val="0"/>
                <w:sz w:val="24"/>
              </w:rPr>
              <w:t>，本次评价取</w:t>
            </w:r>
            <w:r>
              <w:rPr>
                <w:snapToGrid w:val="0"/>
                <w:kern w:val="0"/>
                <w:sz w:val="24"/>
              </w:rPr>
              <w:t>0.2L</w:t>
            </w:r>
            <w:r>
              <w:rPr>
                <w:rFonts w:hint="eastAsia"/>
                <w:snapToGrid w:val="0"/>
                <w:kern w:val="0"/>
                <w:sz w:val="24"/>
              </w:rPr>
              <w:t>/</w:t>
            </w:r>
            <w:r>
              <w:rPr>
                <w:snapToGrid w:val="0"/>
                <w:kern w:val="0"/>
                <w:sz w:val="24"/>
              </w:rPr>
              <w:t>min</w:t>
            </w:r>
            <w:r>
              <w:rPr>
                <w:rFonts w:hint="eastAsia"/>
                <w:snapToGrid w:val="0"/>
                <w:kern w:val="0"/>
                <w:sz w:val="24"/>
              </w:rPr>
              <w:t>，每天喷雾时间约为</w:t>
            </w:r>
            <w:r>
              <w:rPr>
                <w:snapToGrid w:val="0"/>
                <w:kern w:val="0"/>
                <w:sz w:val="24"/>
              </w:rPr>
              <w:t>24</w:t>
            </w:r>
            <w:r>
              <w:rPr>
                <w:rFonts w:hint="eastAsia"/>
                <w:snapToGrid w:val="0"/>
                <w:kern w:val="0"/>
                <w:sz w:val="24"/>
              </w:rPr>
              <w:t>0min，按12个</w:t>
            </w:r>
            <w:r>
              <w:rPr>
                <w:snapToGrid w:val="0"/>
                <w:kern w:val="0"/>
                <w:sz w:val="24"/>
              </w:rPr>
              <w:t>喷头</w:t>
            </w:r>
            <w:r>
              <w:rPr>
                <w:rFonts w:hint="eastAsia"/>
                <w:snapToGrid w:val="0"/>
                <w:kern w:val="0"/>
                <w:sz w:val="24"/>
              </w:rPr>
              <w:t>计算</w:t>
            </w:r>
            <w:r>
              <w:rPr>
                <w:snapToGrid w:val="0"/>
                <w:kern w:val="0"/>
                <w:sz w:val="24"/>
              </w:rPr>
              <w:t>，则</w:t>
            </w:r>
            <w:r>
              <w:rPr>
                <w:rFonts w:hint="eastAsia"/>
                <w:snapToGrid w:val="0"/>
                <w:kern w:val="0"/>
                <w:sz w:val="24"/>
              </w:rPr>
              <w:t>干雾</w:t>
            </w:r>
            <w:r>
              <w:rPr>
                <w:snapToGrid w:val="0"/>
                <w:kern w:val="0"/>
                <w:sz w:val="24"/>
              </w:rPr>
              <w:t>抑尘耗</w:t>
            </w:r>
            <w:r>
              <w:rPr>
                <w:rFonts w:hint="eastAsia"/>
                <w:snapToGrid w:val="0"/>
                <w:kern w:val="0"/>
                <w:sz w:val="24"/>
              </w:rPr>
              <w:t>水量约为</w:t>
            </w:r>
            <w:r>
              <w:rPr>
                <w:snapToGrid w:val="0"/>
                <w:kern w:val="0"/>
                <w:sz w:val="24"/>
              </w:rPr>
              <w:t>0.58</w:t>
            </w:r>
            <w:r>
              <w:rPr>
                <w:rFonts w:hint="eastAsia"/>
                <w:snapToGrid w:val="0"/>
                <w:kern w:val="0"/>
                <w:sz w:val="24"/>
              </w:rPr>
              <w:t>m</w:t>
            </w:r>
            <w:r>
              <w:rPr>
                <w:rFonts w:hint="eastAsia"/>
                <w:snapToGrid w:val="0"/>
                <w:kern w:val="0"/>
                <w:sz w:val="24"/>
                <w:vertAlign w:val="superscript"/>
              </w:rPr>
              <w:t>3</w:t>
            </w:r>
            <w:r>
              <w:rPr>
                <w:rFonts w:hint="eastAsia"/>
                <w:snapToGrid w:val="0"/>
                <w:kern w:val="0"/>
                <w:sz w:val="24"/>
              </w:rPr>
              <w:t>/d（</w:t>
            </w:r>
            <w:r>
              <w:rPr>
                <w:snapToGrid w:val="0"/>
                <w:kern w:val="0"/>
                <w:sz w:val="24"/>
              </w:rPr>
              <w:t>145</w:t>
            </w:r>
            <w:r>
              <w:rPr>
                <w:rFonts w:hint="eastAsia"/>
                <w:snapToGrid w:val="0"/>
                <w:kern w:val="0"/>
                <w:sz w:val="24"/>
              </w:rPr>
              <w:t>m</w:t>
            </w:r>
            <w:r>
              <w:rPr>
                <w:rFonts w:hint="eastAsia"/>
                <w:snapToGrid w:val="0"/>
                <w:kern w:val="0"/>
                <w:sz w:val="24"/>
                <w:vertAlign w:val="superscript"/>
              </w:rPr>
              <w:t>3</w:t>
            </w:r>
            <w:r>
              <w:rPr>
                <w:rFonts w:hint="eastAsia"/>
                <w:snapToGrid w:val="0"/>
                <w:kern w:val="0"/>
                <w:sz w:val="24"/>
              </w:rPr>
              <w:t>/a），此部分水自然蒸发，无废水排放。</w:t>
            </w:r>
          </w:p>
          <w:p>
            <w:pPr>
              <w:spacing w:line="480" w:lineRule="exact"/>
              <w:ind w:firstLine="600" w:firstLineChars="250"/>
              <w:rPr>
                <w:snapToGrid w:val="0"/>
                <w:kern w:val="0"/>
                <w:sz w:val="24"/>
              </w:rPr>
            </w:pPr>
            <w:r>
              <w:rPr>
                <w:sz w:val="24"/>
              </w:rPr>
              <w:fldChar w:fldCharType="begin"/>
            </w:r>
            <w:r>
              <w:rPr>
                <w:sz w:val="24"/>
              </w:rPr>
              <w:instrText xml:space="preserve"> </w:instrText>
            </w:r>
            <w:r>
              <w:rPr>
                <w:rFonts w:hint="eastAsia"/>
                <w:sz w:val="24"/>
              </w:rPr>
              <w:instrText xml:space="preserve">= 3 \* GB3</w:instrText>
            </w:r>
            <w:r>
              <w:rPr>
                <w:sz w:val="24"/>
              </w:rPr>
              <w:instrText xml:space="preserve"> </w:instrText>
            </w:r>
            <w:r>
              <w:rPr>
                <w:sz w:val="24"/>
              </w:rPr>
              <w:fldChar w:fldCharType="separate"/>
            </w:r>
            <w:r>
              <w:rPr>
                <w:rFonts w:hint="eastAsia"/>
                <w:sz w:val="24"/>
              </w:rPr>
              <w:t>③</w:t>
            </w:r>
            <w:r>
              <w:rPr>
                <w:sz w:val="24"/>
              </w:rPr>
              <w:fldChar w:fldCharType="end"/>
            </w:r>
            <w:r>
              <w:rPr>
                <w:sz w:val="24"/>
              </w:rPr>
              <w:t xml:space="preserve"> </w:t>
            </w:r>
            <w:r>
              <w:rPr>
                <w:rFonts w:hint="eastAsia"/>
                <w:sz w:val="24"/>
              </w:rPr>
              <w:t>车辆清洗废水</w:t>
            </w:r>
          </w:p>
          <w:p>
            <w:pPr>
              <w:spacing w:line="480" w:lineRule="exact"/>
              <w:ind w:firstLine="360" w:firstLineChars="150"/>
              <w:rPr>
                <w:sz w:val="24"/>
              </w:rPr>
            </w:pPr>
            <w:r>
              <w:rPr>
                <w:rFonts w:hint="eastAsia"/>
                <w:sz w:val="24"/>
              </w:rPr>
              <w:t>项目生产规模为</w:t>
            </w:r>
            <w:r>
              <w:rPr>
                <w:sz w:val="24"/>
              </w:rPr>
              <w:t>3</w:t>
            </w:r>
            <w:r>
              <w:rPr>
                <w:rFonts w:hint="eastAsia"/>
                <w:sz w:val="24"/>
              </w:rPr>
              <w:t>万</w:t>
            </w:r>
            <w:r>
              <w:rPr>
                <w:sz w:val="24"/>
              </w:rPr>
              <w:t xml:space="preserve"> t/a</w:t>
            </w:r>
            <w:r>
              <w:rPr>
                <w:rFonts w:hint="eastAsia"/>
                <w:sz w:val="24"/>
              </w:rPr>
              <w:t>，项目年工作</w:t>
            </w:r>
            <w:r>
              <w:rPr>
                <w:sz w:val="24"/>
              </w:rPr>
              <w:t>250</w:t>
            </w:r>
            <w:r>
              <w:rPr>
                <w:rFonts w:hint="eastAsia"/>
                <w:sz w:val="24"/>
              </w:rPr>
              <w:t>天，</w:t>
            </w:r>
            <w:r>
              <w:rPr>
                <w:rFonts w:hint="eastAsia"/>
                <w:snapToGrid w:val="0"/>
                <w:kern w:val="0"/>
                <w:sz w:val="24"/>
              </w:rPr>
              <w:t>则项目运输量平均为</w:t>
            </w:r>
            <w:r>
              <w:rPr>
                <w:snapToGrid w:val="0"/>
                <w:kern w:val="0"/>
                <w:sz w:val="24"/>
              </w:rPr>
              <w:t>120t/d</w:t>
            </w:r>
            <w:r>
              <w:rPr>
                <w:rFonts w:hint="eastAsia"/>
                <w:snapToGrid w:val="0"/>
                <w:kern w:val="0"/>
                <w:sz w:val="24"/>
              </w:rPr>
              <w:t>，单车标载量</w:t>
            </w:r>
            <w:r>
              <w:rPr>
                <w:snapToGrid w:val="0"/>
                <w:kern w:val="0"/>
                <w:sz w:val="24"/>
              </w:rPr>
              <w:t>为</w:t>
            </w:r>
            <w:r>
              <w:rPr>
                <w:rFonts w:hint="eastAsia"/>
                <w:snapToGrid w:val="0"/>
                <w:kern w:val="0"/>
                <w:sz w:val="24"/>
              </w:rPr>
              <w:t>52</w:t>
            </w:r>
            <w:r>
              <w:rPr>
                <w:snapToGrid w:val="0"/>
                <w:kern w:val="0"/>
                <w:sz w:val="24"/>
              </w:rPr>
              <w:t>t</w:t>
            </w:r>
            <w:r>
              <w:rPr>
                <w:sz w:val="24"/>
              </w:rPr>
              <w:t>/</w:t>
            </w:r>
            <w:r>
              <w:rPr>
                <w:rFonts w:hint="eastAsia"/>
                <w:sz w:val="24"/>
              </w:rPr>
              <w:t>车次</w:t>
            </w:r>
            <w:r>
              <w:rPr>
                <w:snapToGrid w:val="0"/>
                <w:kern w:val="0"/>
                <w:sz w:val="24"/>
              </w:rPr>
              <w:t>，</w:t>
            </w:r>
            <w:r>
              <w:rPr>
                <w:rFonts w:hint="eastAsia"/>
                <w:snapToGrid w:val="0"/>
                <w:kern w:val="0"/>
                <w:sz w:val="24"/>
              </w:rPr>
              <w:t>每次最大</w:t>
            </w:r>
            <w:r>
              <w:rPr>
                <w:rFonts w:hint="eastAsia"/>
                <w:sz w:val="24"/>
              </w:rPr>
              <w:t>运输量为</w:t>
            </w:r>
            <w:r>
              <w:rPr>
                <w:sz w:val="24"/>
              </w:rPr>
              <w:t xml:space="preserve"> 30t/</w:t>
            </w:r>
            <w:r>
              <w:rPr>
                <w:rFonts w:hint="eastAsia"/>
                <w:sz w:val="24"/>
              </w:rPr>
              <w:t>车次，原料</w:t>
            </w:r>
            <w:r>
              <w:rPr>
                <w:sz w:val="24"/>
              </w:rPr>
              <w:t>及产品</w:t>
            </w:r>
            <w:r>
              <w:rPr>
                <w:rFonts w:hint="eastAsia"/>
                <w:sz w:val="24"/>
              </w:rPr>
              <w:t>需运输约</w:t>
            </w:r>
            <w:r>
              <w:rPr>
                <w:sz w:val="24"/>
              </w:rPr>
              <w:t>8</w:t>
            </w:r>
            <w:r>
              <w:rPr>
                <w:rFonts w:hint="eastAsia"/>
                <w:sz w:val="24"/>
              </w:rPr>
              <w:t>车次</w:t>
            </w:r>
            <w:r>
              <w:rPr>
                <w:sz w:val="24"/>
              </w:rPr>
              <w:t>/d</w:t>
            </w:r>
            <w:r>
              <w:rPr>
                <w:rFonts w:hint="eastAsia"/>
                <w:sz w:val="24"/>
              </w:rPr>
              <w:t>（合2000车次</w:t>
            </w:r>
            <w:r>
              <w:rPr>
                <w:sz w:val="24"/>
              </w:rPr>
              <w:t>/a</w:t>
            </w:r>
            <w:r>
              <w:rPr>
                <w:rFonts w:hint="eastAsia"/>
                <w:sz w:val="24"/>
              </w:rPr>
              <w:t>），经</w:t>
            </w:r>
            <w:r>
              <w:rPr>
                <w:sz w:val="24"/>
              </w:rPr>
              <w:t>类比</w:t>
            </w:r>
            <w:r>
              <w:rPr>
                <w:rFonts w:hint="eastAsia"/>
                <w:sz w:val="24"/>
              </w:rPr>
              <w:t>，</w:t>
            </w:r>
            <w:r>
              <w:rPr>
                <w:rFonts w:hint="eastAsia"/>
                <w:spacing w:val="-6"/>
                <w:sz w:val="24"/>
              </w:rPr>
              <w:t>清洗装置出水量约为</w:t>
            </w:r>
            <w:r>
              <w:rPr>
                <w:spacing w:val="-6"/>
                <w:sz w:val="24"/>
              </w:rPr>
              <w:t xml:space="preserve"> 0.2m</w:t>
            </w:r>
            <w:r>
              <w:rPr>
                <w:spacing w:val="-6"/>
                <w:sz w:val="24"/>
                <w:vertAlign w:val="superscript"/>
              </w:rPr>
              <w:t>3</w:t>
            </w:r>
            <w:r>
              <w:rPr>
                <w:spacing w:val="-6"/>
                <w:sz w:val="24"/>
              </w:rPr>
              <w:t>/</w:t>
            </w:r>
            <w:r>
              <w:rPr>
                <w:rFonts w:hint="eastAsia"/>
                <w:spacing w:val="-6"/>
                <w:sz w:val="24"/>
              </w:rPr>
              <w:t>辆车，则冲洗用水量约为</w:t>
            </w:r>
            <w:r>
              <w:rPr>
                <w:spacing w:val="-6"/>
                <w:sz w:val="24"/>
              </w:rPr>
              <w:t>1.6m</w:t>
            </w:r>
            <w:r>
              <w:rPr>
                <w:spacing w:val="-6"/>
                <w:sz w:val="24"/>
                <w:vertAlign w:val="superscript"/>
              </w:rPr>
              <w:t>3</w:t>
            </w:r>
            <w:r>
              <w:rPr>
                <w:spacing w:val="-6"/>
                <w:sz w:val="24"/>
              </w:rPr>
              <w:t>/d</w:t>
            </w:r>
            <w:r>
              <w:rPr>
                <w:rFonts w:hint="eastAsia"/>
                <w:spacing w:val="-6"/>
                <w:sz w:val="24"/>
              </w:rPr>
              <w:t>，即</w:t>
            </w:r>
            <w:r>
              <w:rPr>
                <w:spacing w:val="-6"/>
                <w:sz w:val="24"/>
              </w:rPr>
              <w:t>400m</w:t>
            </w:r>
            <w:r>
              <w:rPr>
                <w:spacing w:val="-6"/>
                <w:sz w:val="24"/>
                <w:vertAlign w:val="superscript"/>
              </w:rPr>
              <w:t>3</w:t>
            </w:r>
            <w:r>
              <w:rPr>
                <w:spacing w:val="-6"/>
                <w:sz w:val="24"/>
              </w:rPr>
              <w:t>/a</w:t>
            </w:r>
            <w:r>
              <w:rPr>
                <w:rFonts w:hint="eastAsia"/>
                <w:spacing w:val="-6"/>
                <w:sz w:val="24"/>
              </w:rPr>
              <w:t>。这部分冲洗废水进入厂区门口配套的沉淀池，经</w:t>
            </w:r>
            <w:r>
              <w:rPr>
                <w:spacing w:val="-6"/>
                <w:sz w:val="24"/>
              </w:rPr>
              <w:t xml:space="preserve"> 18m</w:t>
            </w:r>
            <w:r>
              <w:rPr>
                <w:spacing w:val="-6"/>
                <w:sz w:val="24"/>
                <w:vertAlign w:val="superscript"/>
              </w:rPr>
              <w:t>3</w:t>
            </w:r>
            <w:r>
              <w:rPr>
                <w:rFonts w:hint="eastAsia"/>
                <w:spacing w:val="-6"/>
                <w:sz w:val="24"/>
              </w:rPr>
              <w:t>沉淀池沉淀后回用于运输车辆清洗</w:t>
            </w:r>
            <w:r>
              <w:rPr>
                <w:spacing w:val="-6"/>
                <w:sz w:val="24"/>
              </w:rPr>
              <w:t>(</w:t>
            </w:r>
            <w:r>
              <w:rPr>
                <w:rFonts w:hint="eastAsia"/>
                <w:spacing w:val="-6"/>
                <w:sz w:val="24"/>
              </w:rPr>
              <w:t>重复利用</w:t>
            </w:r>
            <w:r>
              <w:rPr>
                <w:spacing w:val="-6"/>
                <w:sz w:val="24"/>
              </w:rPr>
              <w:t>)</w:t>
            </w:r>
            <w:r>
              <w:rPr>
                <w:rFonts w:hint="eastAsia"/>
                <w:spacing w:val="-6"/>
                <w:sz w:val="24"/>
              </w:rPr>
              <w:t>，不外排，</w:t>
            </w:r>
            <w:r>
              <w:rPr>
                <w:spacing w:val="-6"/>
                <w:sz w:val="24"/>
              </w:rPr>
              <w:t>仅</w:t>
            </w:r>
            <w:r>
              <w:rPr>
                <w:rFonts w:hint="eastAsia"/>
                <w:spacing w:val="-6"/>
                <w:sz w:val="24"/>
              </w:rPr>
              <w:t>定期</w:t>
            </w:r>
            <w:r>
              <w:rPr>
                <w:spacing w:val="-6"/>
                <w:sz w:val="24"/>
              </w:rPr>
              <w:t>补充</w:t>
            </w:r>
            <w:r>
              <w:rPr>
                <w:rFonts w:hint="eastAsia"/>
                <w:spacing w:val="-6"/>
                <w:sz w:val="24"/>
              </w:rPr>
              <w:t>，本次清洗废水耗散系数以</w:t>
            </w:r>
            <w:r>
              <w:rPr>
                <w:spacing w:val="-6"/>
                <w:sz w:val="24"/>
              </w:rPr>
              <w:t xml:space="preserve"> 10%</w:t>
            </w:r>
            <w:r>
              <w:rPr>
                <w:rFonts w:hint="eastAsia"/>
                <w:spacing w:val="-6"/>
                <w:sz w:val="24"/>
              </w:rPr>
              <w:t>计，</w:t>
            </w:r>
            <w:r>
              <w:rPr>
                <w:iCs/>
                <w:sz w:val="24"/>
              </w:rPr>
              <w:t>经核算定期补充量为0.16</w:t>
            </w:r>
            <w:r>
              <w:rPr>
                <w:rFonts w:hint="eastAsia"/>
                <w:iCs/>
                <w:sz w:val="24"/>
              </w:rPr>
              <w:t>m</w:t>
            </w:r>
            <w:r>
              <w:rPr>
                <w:rFonts w:hint="eastAsia"/>
                <w:iCs/>
                <w:sz w:val="24"/>
                <w:vertAlign w:val="superscript"/>
              </w:rPr>
              <w:t>3</w:t>
            </w:r>
            <w:r>
              <w:rPr>
                <w:rFonts w:hint="eastAsia"/>
                <w:iCs/>
                <w:sz w:val="24"/>
              </w:rPr>
              <w:t>/d（合</w:t>
            </w:r>
            <w:r>
              <w:rPr>
                <w:iCs/>
                <w:sz w:val="24"/>
              </w:rPr>
              <w:t>40</w:t>
            </w:r>
            <w:r>
              <w:rPr>
                <w:rFonts w:hint="eastAsia"/>
                <w:iCs/>
                <w:sz w:val="24"/>
              </w:rPr>
              <w:t>m</w:t>
            </w:r>
            <w:r>
              <w:rPr>
                <w:rFonts w:hint="eastAsia"/>
                <w:iCs/>
                <w:sz w:val="24"/>
                <w:vertAlign w:val="superscript"/>
              </w:rPr>
              <w:t>3</w:t>
            </w:r>
            <w:r>
              <w:rPr>
                <w:rFonts w:hint="eastAsia"/>
                <w:iCs/>
                <w:sz w:val="24"/>
              </w:rPr>
              <w:t>/a）</w:t>
            </w:r>
            <w:r>
              <w:rPr>
                <w:rFonts w:hint="eastAsia"/>
                <w:spacing w:val="-6"/>
                <w:sz w:val="24"/>
              </w:rPr>
              <w:t>。</w:t>
            </w:r>
          </w:p>
          <w:p>
            <w:pPr>
              <w:widowControl/>
              <w:spacing w:line="440" w:lineRule="exact"/>
              <w:ind w:firstLine="360" w:firstLineChars="150"/>
              <w:rPr>
                <w:sz w:val="24"/>
              </w:rPr>
            </w:pPr>
            <w:r>
              <w:rPr>
                <w:sz w:val="24"/>
              </w:rPr>
              <w:fldChar w:fldCharType="begin"/>
            </w:r>
            <w:r>
              <w:rPr>
                <w:sz w:val="24"/>
              </w:rPr>
              <w:instrText xml:space="preserve"> </w:instrText>
            </w:r>
            <w:r>
              <w:rPr>
                <w:rFonts w:hint="eastAsia"/>
                <w:sz w:val="24"/>
              </w:rPr>
              <w:instrText xml:space="preserve">= 4 \* GB3</w:instrText>
            </w:r>
            <w:r>
              <w:rPr>
                <w:sz w:val="24"/>
              </w:rPr>
              <w:instrText xml:space="preserve"> </w:instrText>
            </w:r>
            <w:r>
              <w:rPr>
                <w:sz w:val="24"/>
              </w:rPr>
              <w:fldChar w:fldCharType="separate"/>
            </w:r>
            <w:r>
              <w:rPr>
                <w:rFonts w:hint="eastAsia"/>
                <w:sz w:val="24"/>
              </w:rPr>
              <w:t>④</w:t>
            </w:r>
            <w:r>
              <w:rPr>
                <w:sz w:val="24"/>
              </w:rPr>
              <w:fldChar w:fldCharType="end"/>
            </w:r>
            <w:r>
              <w:rPr>
                <w:sz w:val="24"/>
              </w:rPr>
              <w:t xml:space="preserve"> </w:t>
            </w:r>
            <w:r>
              <w:rPr>
                <w:rFonts w:hint="eastAsia"/>
                <w:sz w:val="24"/>
              </w:rPr>
              <w:t>生活污水</w:t>
            </w:r>
          </w:p>
          <w:p>
            <w:pPr>
              <w:widowControl/>
              <w:tabs>
                <w:tab w:val="left" w:pos="463"/>
              </w:tabs>
              <w:spacing w:line="440" w:lineRule="exact"/>
              <w:ind w:firstLine="480" w:firstLineChars="200"/>
              <w:jc w:val="left"/>
              <w:rPr>
                <w:kern w:val="0"/>
                <w:sz w:val="24"/>
                <w:lang w:bidi="ar"/>
              </w:rPr>
            </w:pPr>
            <w:r>
              <w:rPr>
                <w:rFonts w:hint="eastAsia"/>
                <w:sz w:val="24"/>
              </w:rPr>
              <w:t>本项目预计员工人数为</w:t>
            </w:r>
            <w:r>
              <w:rPr>
                <w:sz w:val="24"/>
              </w:rPr>
              <w:t>4</w:t>
            </w:r>
            <w:r>
              <w:rPr>
                <w:rFonts w:hint="eastAsia"/>
                <w:sz w:val="24"/>
              </w:rPr>
              <w:t>人（含管理人员），全部不在厂区住宿，</w:t>
            </w:r>
            <w:r>
              <w:rPr>
                <w:sz w:val="24"/>
              </w:rPr>
              <w:t>厂区设置旱厕</w:t>
            </w:r>
            <w:r>
              <w:rPr>
                <w:rFonts w:hint="eastAsia"/>
                <w:sz w:val="24"/>
              </w:rPr>
              <w:t>。结合河南省地方标准《工业与城镇生活用水定额》（</w:t>
            </w:r>
            <w:r>
              <w:rPr>
                <w:sz w:val="24"/>
              </w:rPr>
              <w:t>DB41/T385-2020</w:t>
            </w:r>
            <w:r>
              <w:rPr>
                <w:rFonts w:hint="eastAsia"/>
                <w:sz w:val="24"/>
              </w:rPr>
              <w:t>），本次</w:t>
            </w:r>
            <w:r>
              <w:rPr>
                <w:rFonts w:hint="eastAsia"/>
                <w:snapToGrid w:val="0"/>
                <w:kern w:val="0"/>
                <w:sz w:val="24"/>
              </w:rPr>
              <w:t>生活污水定额按</w:t>
            </w:r>
            <w:r>
              <w:rPr>
                <w:snapToGrid w:val="0"/>
                <w:kern w:val="0"/>
                <w:sz w:val="24"/>
              </w:rPr>
              <w:t>40</w:t>
            </w:r>
            <w:r>
              <w:rPr>
                <w:sz w:val="24"/>
              </w:rPr>
              <w:t>L/</w:t>
            </w:r>
            <w:r>
              <w:rPr>
                <w:rFonts w:hint="eastAsia"/>
                <w:sz w:val="24"/>
              </w:rPr>
              <w:t>人·</w:t>
            </w:r>
            <w:r>
              <w:rPr>
                <w:sz w:val="24"/>
              </w:rPr>
              <w:t>d</w:t>
            </w:r>
            <w:r>
              <w:rPr>
                <w:rFonts w:hint="eastAsia"/>
                <w:sz w:val="24"/>
              </w:rPr>
              <w:t>（</w:t>
            </w:r>
            <w:r>
              <w:rPr>
                <w:rFonts w:hint="eastAsia"/>
                <w:snapToGrid w:val="0"/>
                <w:kern w:val="0"/>
                <w:sz w:val="24"/>
              </w:rPr>
              <w:t>不食宿</w:t>
            </w:r>
            <w:r>
              <w:rPr>
                <w:rFonts w:hint="eastAsia"/>
                <w:sz w:val="24"/>
              </w:rPr>
              <w:t>），</w:t>
            </w:r>
            <w:r>
              <w:rPr>
                <w:rFonts w:hint="eastAsia"/>
                <w:snapToGrid w:val="0"/>
                <w:kern w:val="0"/>
                <w:sz w:val="24"/>
              </w:rPr>
              <w:t>则项目</w:t>
            </w:r>
            <w:r>
              <w:rPr>
                <w:rFonts w:hint="eastAsia"/>
                <w:sz w:val="24"/>
              </w:rPr>
              <w:t>生活用水量为</w:t>
            </w:r>
            <w:r>
              <w:rPr>
                <w:sz w:val="24"/>
              </w:rPr>
              <w:t>0.16m</w:t>
            </w:r>
            <w:r>
              <w:rPr>
                <w:sz w:val="24"/>
                <w:vertAlign w:val="superscript"/>
              </w:rPr>
              <w:t>3</w:t>
            </w:r>
            <w:r>
              <w:rPr>
                <w:sz w:val="24"/>
              </w:rPr>
              <w:t>/d</w:t>
            </w:r>
            <w:r>
              <w:rPr>
                <w:rFonts w:hint="eastAsia"/>
                <w:sz w:val="24"/>
              </w:rPr>
              <w:t>（合计</w:t>
            </w:r>
            <w:r>
              <w:rPr>
                <w:sz w:val="24"/>
              </w:rPr>
              <w:t>40m</w:t>
            </w:r>
            <w:r>
              <w:rPr>
                <w:sz w:val="24"/>
                <w:vertAlign w:val="superscript"/>
              </w:rPr>
              <w:t>3</w:t>
            </w:r>
            <w:r>
              <w:rPr>
                <w:sz w:val="24"/>
              </w:rPr>
              <w:t>/a</w:t>
            </w:r>
            <w:r>
              <w:rPr>
                <w:rFonts w:hint="eastAsia"/>
                <w:sz w:val="24"/>
              </w:rPr>
              <w:t>），按排污系数以</w:t>
            </w:r>
            <w:r>
              <w:rPr>
                <w:sz w:val="24"/>
              </w:rPr>
              <w:t>0.8</w:t>
            </w:r>
            <w:r>
              <w:rPr>
                <w:rFonts w:hint="eastAsia"/>
                <w:sz w:val="24"/>
              </w:rPr>
              <w:t>计，则生活污水排放量为</w:t>
            </w:r>
            <w:r>
              <w:rPr>
                <w:sz w:val="24"/>
              </w:rPr>
              <w:t>0.128m</w:t>
            </w:r>
            <w:r>
              <w:rPr>
                <w:sz w:val="24"/>
                <w:vertAlign w:val="superscript"/>
              </w:rPr>
              <w:t>3</w:t>
            </w:r>
            <w:r>
              <w:rPr>
                <w:sz w:val="24"/>
              </w:rPr>
              <w:t>/d</w:t>
            </w:r>
            <w:r>
              <w:rPr>
                <w:rFonts w:hint="eastAsia"/>
                <w:sz w:val="24"/>
              </w:rPr>
              <w:t>（合计32</w:t>
            </w:r>
            <w:r>
              <w:rPr>
                <w:sz w:val="24"/>
              </w:rPr>
              <w:t>m</w:t>
            </w:r>
            <w:r>
              <w:rPr>
                <w:sz w:val="24"/>
                <w:vertAlign w:val="superscript"/>
              </w:rPr>
              <w:t>3</w:t>
            </w:r>
            <w:r>
              <w:rPr>
                <w:sz w:val="24"/>
              </w:rPr>
              <w:t>/a</w:t>
            </w:r>
            <w:r>
              <w:rPr>
                <w:rFonts w:hint="eastAsia"/>
                <w:sz w:val="24"/>
              </w:rPr>
              <w:t>），项目新建</w:t>
            </w:r>
            <w:r>
              <w:rPr>
                <w:sz w:val="24"/>
              </w:rPr>
              <w:t>一个</w:t>
            </w:r>
            <w:r>
              <w:rPr>
                <w:rFonts w:hint="eastAsia"/>
                <w:sz w:val="24"/>
              </w:rPr>
              <w:t>6</w:t>
            </w:r>
            <w:r>
              <w:rPr>
                <w:sz w:val="24"/>
              </w:rPr>
              <w:t>m</w:t>
            </w:r>
            <w:r>
              <w:rPr>
                <w:sz w:val="24"/>
                <w:vertAlign w:val="superscript"/>
              </w:rPr>
              <w:t>3</w:t>
            </w:r>
            <w:r>
              <w:rPr>
                <w:sz w:val="24"/>
              </w:rPr>
              <w:t>化粪池，</w:t>
            </w:r>
            <w:r>
              <w:rPr>
                <w:rFonts w:hint="eastAsia"/>
                <w:sz w:val="24"/>
              </w:rPr>
              <w:t>粪污水</w:t>
            </w:r>
            <w:r>
              <w:rPr>
                <w:kern w:val="0"/>
                <w:sz w:val="24"/>
                <w:lang w:bidi="ar"/>
              </w:rPr>
              <w:t>经化粪</w:t>
            </w:r>
            <w:r>
              <w:rPr>
                <w:rFonts w:hint="eastAsia"/>
                <w:kern w:val="0"/>
                <w:sz w:val="24"/>
                <w:lang w:bidi="ar"/>
              </w:rPr>
              <w:t>池</w:t>
            </w:r>
            <w:r>
              <w:rPr>
                <w:kern w:val="0"/>
                <w:sz w:val="24"/>
                <w:lang w:bidi="ar"/>
              </w:rPr>
              <w:t>沉淀后定期清掏，用作周边农田肥田，不外排。</w:t>
            </w:r>
          </w:p>
          <w:p>
            <w:pPr>
              <w:autoSpaceDE w:val="0"/>
              <w:autoSpaceDN w:val="0"/>
              <w:adjustRightInd w:val="0"/>
              <w:snapToGrid w:val="0"/>
              <w:spacing w:line="400" w:lineRule="exact"/>
              <w:ind w:firstLine="960" w:firstLineChars="400"/>
              <w:rPr>
                <w:rFonts w:eastAsia="黑体"/>
                <w:sz w:val="24"/>
                <w:szCs w:val="22"/>
              </w:rPr>
            </w:pPr>
            <w:r>
              <w:rPr>
                <w:rFonts w:hint="eastAsia" w:eastAsia="黑体"/>
                <w:sz w:val="24"/>
                <w:szCs w:val="22"/>
              </w:rPr>
              <w:t>表</w:t>
            </w:r>
            <w:r>
              <w:rPr>
                <w:rFonts w:eastAsia="黑体"/>
                <w:sz w:val="24"/>
                <w:szCs w:val="22"/>
              </w:rPr>
              <w:t xml:space="preserve">14          </w:t>
            </w:r>
            <w:r>
              <w:rPr>
                <w:rFonts w:hint="eastAsia" w:eastAsia="黑体"/>
                <w:sz w:val="24"/>
                <w:szCs w:val="22"/>
              </w:rPr>
              <w:t>本项目用排水情况一览表</w:t>
            </w:r>
          </w:p>
          <w:tbl>
            <w:tblPr>
              <w:tblStyle w:val="22"/>
              <w:tblW w:w="7832" w:type="dxa"/>
              <w:tblInd w:w="147"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57" w:type="dxa"/>
                <w:left w:w="57" w:type="dxa"/>
                <w:bottom w:w="57" w:type="dxa"/>
                <w:right w:w="57" w:type="dxa"/>
              </w:tblCellMar>
            </w:tblPr>
            <w:tblGrid>
              <w:gridCol w:w="1469"/>
              <w:gridCol w:w="1061"/>
              <w:gridCol w:w="884"/>
              <w:gridCol w:w="1268"/>
              <w:gridCol w:w="886"/>
              <w:gridCol w:w="2264"/>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57" w:type="dxa"/>
                  <w:left w:w="57" w:type="dxa"/>
                  <w:bottom w:w="57" w:type="dxa"/>
                  <w:right w:w="57" w:type="dxa"/>
                </w:tblCellMar>
              </w:tblPrEx>
              <w:trPr>
                <w:trHeight w:val="369" w:hRule="atLeast"/>
              </w:trPr>
              <w:tc>
                <w:tcPr>
                  <w:tcW w:w="1469" w:type="dxa"/>
                  <w:vAlign w:val="center"/>
                </w:tcPr>
                <w:p>
                  <w:pPr>
                    <w:spacing w:line="240" w:lineRule="exact"/>
                    <w:jc w:val="center"/>
                    <w:rPr>
                      <w:szCs w:val="21"/>
                    </w:rPr>
                  </w:pPr>
                  <w:r>
                    <w:rPr>
                      <w:rFonts w:hint="eastAsia"/>
                      <w:szCs w:val="21"/>
                    </w:rPr>
                    <w:t>工序</w:t>
                  </w:r>
                </w:p>
              </w:tc>
              <w:tc>
                <w:tcPr>
                  <w:tcW w:w="1061" w:type="dxa"/>
                  <w:vAlign w:val="center"/>
                </w:tcPr>
                <w:p>
                  <w:pPr>
                    <w:spacing w:line="240" w:lineRule="exact"/>
                    <w:jc w:val="center"/>
                    <w:rPr>
                      <w:szCs w:val="21"/>
                    </w:rPr>
                  </w:pPr>
                  <w:r>
                    <w:rPr>
                      <w:rFonts w:hint="eastAsia"/>
                      <w:szCs w:val="21"/>
                    </w:rPr>
                    <w:t>新鲜水量</w:t>
                  </w:r>
                </w:p>
                <w:p>
                  <w:pPr>
                    <w:spacing w:line="240" w:lineRule="exact"/>
                    <w:jc w:val="center"/>
                    <w:rPr>
                      <w:szCs w:val="21"/>
                    </w:rPr>
                  </w:pPr>
                  <w:r>
                    <w:rPr>
                      <w:rFonts w:hint="eastAsia"/>
                      <w:szCs w:val="21"/>
                    </w:rPr>
                    <w:t>（</w:t>
                  </w:r>
                  <w:r>
                    <w:rPr>
                      <w:szCs w:val="21"/>
                    </w:rPr>
                    <w:t>m</w:t>
                  </w:r>
                  <w:r>
                    <w:rPr>
                      <w:szCs w:val="21"/>
                      <w:vertAlign w:val="superscript"/>
                    </w:rPr>
                    <w:t>3</w:t>
                  </w:r>
                  <w:r>
                    <w:rPr>
                      <w:szCs w:val="21"/>
                    </w:rPr>
                    <w:t>/d</w:t>
                  </w:r>
                  <w:r>
                    <w:rPr>
                      <w:rFonts w:hint="eastAsia"/>
                      <w:szCs w:val="21"/>
                    </w:rPr>
                    <w:t>）</w:t>
                  </w:r>
                </w:p>
              </w:tc>
              <w:tc>
                <w:tcPr>
                  <w:tcW w:w="884" w:type="dxa"/>
                  <w:vAlign w:val="center"/>
                </w:tcPr>
                <w:p>
                  <w:pPr>
                    <w:spacing w:line="240" w:lineRule="exact"/>
                    <w:jc w:val="center"/>
                    <w:rPr>
                      <w:szCs w:val="21"/>
                    </w:rPr>
                  </w:pPr>
                  <w:r>
                    <w:rPr>
                      <w:rFonts w:hint="eastAsia"/>
                      <w:szCs w:val="21"/>
                    </w:rPr>
                    <w:t>损耗量</w:t>
                  </w:r>
                </w:p>
                <w:p>
                  <w:pPr>
                    <w:spacing w:line="240" w:lineRule="exact"/>
                    <w:jc w:val="center"/>
                    <w:rPr>
                      <w:szCs w:val="21"/>
                    </w:rPr>
                  </w:pPr>
                  <w:r>
                    <w:rPr>
                      <w:rFonts w:hint="eastAsia"/>
                      <w:szCs w:val="21"/>
                    </w:rPr>
                    <w:t>（</w:t>
                  </w:r>
                  <w:r>
                    <w:rPr>
                      <w:szCs w:val="21"/>
                    </w:rPr>
                    <w:t>m</w:t>
                  </w:r>
                  <w:r>
                    <w:rPr>
                      <w:szCs w:val="21"/>
                      <w:vertAlign w:val="superscript"/>
                    </w:rPr>
                    <w:t>3</w:t>
                  </w:r>
                  <w:r>
                    <w:rPr>
                      <w:szCs w:val="21"/>
                    </w:rPr>
                    <w:t>/d</w:t>
                  </w:r>
                  <w:r>
                    <w:rPr>
                      <w:rFonts w:hint="eastAsia"/>
                      <w:szCs w:val="21"/>
                    </w:rPr>
                    <w:t>）</w:t>
                  </w:r>
                </w:p>
              </w:tc>
              <w:tc>
                <w:tcPr>
                  <w:tcW w:w="1268" w:type="dxa"/>
                  <w:vAlign w:val="center"/>
                </w:tcPr>
                <w:p>
                  <w:pPr>
                    <w:spacing w:line="240" w:lineRule="exact"/>
                    <w:jc w:val="center"/>
                    <w:rPr>
                      <w:szCs w:val="21"/>
                    </w:rPr>
                  </w:pPr>
                  <w:r>
                    <w:rPr>
                      <w:rFonts w:hint="eastAsia"/>
                      <w:szCs w:val="21"/>
                    </w:rPr>
                    <w:t>重复用水量</w:t>
                  </w:r>
                </w:p>
                <w:p>
                  <w:pPr>
                    <w:spacing w:line="240" w:lineRule="exact"/>
                    <w:jc w:val="center"/>
                    <w:rPr>
                      <w:szCs w:val="21"/>
                    </w:rPr>
                  </w:pPr>
                  <w:r>
                    <w:rPr>
                      <w:rFonts w:hint="eastAsia"/>
                      <w:szCs w:val="21"/>
                    </w:rPr>
                    <w:t>（</w:t>
                  </w:r>
                  <w:r>
                    <w:rPr>
                      <w:szCs w:val="21"/>
                    </w:rPr>
                    <w:t>m</w:t>
                  </w:r>
                  <w:r>
                    <w:rPr>
                      <w:szCs w:val="21"/>
                      <w:vertAlign w:val="superscript"/>
                    </w:rPr>
                    <w:t>3</w:t>
                  </w:r>
                  <w:r>
                    <w:rPr>
                      <w:szCs w:val="21"/>
                    </w:rPr>
                    <w:t>/d</w:t>
                  </w:r>
                  <w:r>
                    <w:rPr>
                      <w:rFonts w:hint="eastAsia"/>
                      <w:szCs w:val="21"/>
                    </w:rPr>
                    <w:t>）</w:t>
                  </w:r>
                </w:p>
              </w:tc>
              <w:tc>
                <w:tcPr>
                  <w:tcW w:w="886" w:type="dxa"/>
                  <w:vAlign w:val="center"/>
                </w:tcPr>
                <w:p>
                  <w:pPr>
                    <w:spacing w:line="240" w:lineRule="exact"/>
                    <w:jc w:val="center"/>
                    <w:rPr>
                      <w:szCs w:val="21"/>
                    </w:rPr>
                  </w:pPr>
                  <w:r>
                    <w:rPr>
                      <w:rFonts w:hint="eastAsia"/>
                      <w:szCs w:val="21"/>
                    </w:rPr>
                    <w:t>废水量</w:t>
                  </w:r>
                </w:p>
                <w:p>
                  <w:pPr>
                    <w:spacing w:line="240" w:lineRule="exact"/>
                    <w:jc w:val="center"/>
                    <w:rPr>
                      <w:szCs w:val="21"/>
                    </w:rPr>
                  </w:pPr>
                  <w:r>
                    <w:rPr>
                      <w:rFonts w:hint="eastAsia"/>
                      <w:szCs w:val="21"/>
                    </w:rPr>
                    <w:t>（</w:t>
                  </w:r>
                  <w:r>
                    <w:rPr>
                      <w:szCs w:val="21"/>
                    </w:rPr>
                    <w:t>m</w:t>
                  </w:r>
                  <w:r>
                    <w:rPr>
                      <w:szCs w:val="21"/>
                      <w:vertAlign w:val="superscript"/>
                    </w:rPr>
                    <w:t>3</w:t>
                  </w:r>
                  <w:r>
                    <w:rPr>
                      <w:szCs w:val="21"/>
                    </w:rPr>
                    <w:t>/d</w:t>
                  </w:r>
                  <w:r>
                    <w:rPr>
                      <w:rFonts w:hint="eastAsia"/>
                      <w:szCs w:val="21"/>
                    </w:rPr>
                    <w:t>）</w:t>
                  </w:r>
                </w:p>
              </w:tc>
              <w:tc>
                <w:tcPr>
                  <w:tcW w:w="2264" w:type="dxa"/>
                  <w:vAlign w:val="center"/>
                </w:tcPr>
                <w:p>
                  <w:pPr>
                    <w:spacing w:line="240" w:lineRule="exact"/>
                    <w:jc w:val="center"/>
                    <w:rPr>
                      <w:szCs w:val="21"/>
                    </w:rPr>
                  </w:pPr>
                  <w:r>
                    <w:rPr>
                      <w:rFonts w:hint="eastAsia"/>
                      <w:szCs w:val="21"/>
                    </w:rPr>
                    <w:t>处理措施</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57" w:type="dxa"/>
                  <w:left w:w="57" w:type="dxa"/>
                  <w:bottom w:w="57" w:type="dxa"/>
                  <w:right w:w="57" w:type="dxa"/>
                </w:tblCellMar>
              </w:tblPrEx>
              <w:trPr>
                <w:trHeight w:val="369" w:hRule="atLeast"/>
              </w:trPr>
              <w:tc>
                <w:tcPr>
                  <w:tcW w:w="1469" w:type="dxa"/>
                  <w:vAlign w:val="center"/>
                </w:tcPr>
                <w:p>
                  <w:pPr>
                    <w:widowControl/>
                    <w:spacing w:line="240" w:lineRule="exact"/>
                    <w:jc w:val="center"/>
                    <w:rPr>
                      <w:szCs w:val="21"/>
                    </w:rPr>
                  </w:pPr>
                  <w:r>
                    <w:rPr>
                      <w:rFonts w:hint="eastAsia"/>
                      <w:szCs w:val="21"/>
                    </w:rPr>
                    <w:t>运输车辆清洗</w:t>
                  </w:r>
                </w:p>
              </w:tc>
              <w:tc>
                <w:tcPr>
                  <w:tcW w:w="1061" w:type="dxa"/>
                  <w:vAlign w:val="center"/>
                </w:tcPr>
                <w:p>
                  <w:pPr>
                    <w:widowControl/>
                    <w:spacing w:line="240" w:lineRule="exact"/>
                    <w:jc w:val="center"/>
                    <w:rPr>
                      <w:szCs w:val="21"/>
                    </w:rPr>
                  </w:pPr>
                  <w:r>
                    <w:rPr>
                      <w:szCs w:val="21"/>
                    </w:rPr>
                    <w:t>0.16</w:t>
                  </w:r>
                </w:p>
              </w:tc>
              <w:tc>
                <w:tcPr>
                  <w:tcW w:w="884" w:type="dxa"/>
                  <w:vAlign w:val="center"/>
                </w:tcPr>
                <w:p>
                  <w:pPr>
                    <w:widowControl/>
                    <w:spacing w:line="240" w:lineRule="exact"/>
                    <w:jc w:val="center"/>
                    <w:rPr>
                      <w:szCs w:val="21"/>
                    </w:rPr>
                  </w:pPr>
                  <w:r>
                    <w:rPr>
                      <w:szCs w:val="21"/>
                    </w:rPr>
                    <w:t>0.16</w:t>
                  </w:r>
                </w:p>
              </w:tc>
              <w:tc>
                <w:tcPr>
                  <w:tcW w:w="1268" w:type="dxa"/>
                  <w:vAlign w:val="center"/>
                </w:tcPr>
                <w:p>
                  <w:pPr>
                    <w:widowControl/>
                    <w:spacing w:line="240" w:lineRule="exact"/>
                    <w:jc w:val="center"/>
                    <w:rPr>
                      <w:szCs w:val="21"/>
                    </w:rPr>
                  </w:pPr>
                  <w:r>
                    <w:rPr>
                      <w:szCs w:val="21"/>
                    </w:rPr>
                    <w:t>1.44</w:t>
                  </w:r>
                </w:p>
              </w:tc>
              <w:tc>
                <w:tcPr>
                  <w:tcW w:w="886" w:type="dxa"/>
                  <w:vAlign w:val="center"/>
                </w:tcPr>
                <w:p>
                  <w:pPr>
                    <w:widowControl/>
                    <w:spacing w:line="240" w:lineRule="exact"/>
                    <w:jc w:val="center"/>
                    <w:rPr>
                      <w:szCs w:val="21"/>
                    </w:rPr>
                  </w:pPr>
                  <w:r>
                    <w:rPr>
                      <w:szCs w:val="21"/>
                    </w:rPr>
                    <w:t>0</w:t>
                  </w:r>
                </w:p>
              </w:tc>
              <w:tc>
                <w:tcPr>
                  <w:tcW w:w="2264" w:type="dxa"/>
                  <w:vAlign w:val="center"/>
                </w:tcPr>
                <w:p>
                  <w:pPr>
                    <w:widowControl/>
                    <w:spacing w:line="240" w:lineRule="exact"/>
                    <w:jc w:val="left"/>
                    <w:rPr>
                      <w:szCs w:val="21"/>
                    </w:rPr>
                  </w:pPr>
                  <w:r>
                    <w:rPr>
                      <w:rFonts w:hint="eastAsia"/>
                      <w:szCs w:val="21"/>
                    </w:rPr>
                    <w:t>排入沉淀池内，循环利用或用于厂区洒水降尘</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57" w:type="dxa"/>
                  <w:left w:w="57" w:type="dxa"/>
                  <w:bottom w:w="57" w:type="dxa"/>
                  <w:right w:w="57" w:type="dxa"/>
                </w:tblCellMar>
              </w:tblPrEx>
              <w:trPr>
                <w:trHeight w:val="369" w:hRule="atLeast"/>
              </w:trPr>
              <w:tc>
                <w:tcPr>
                  <w:tcW w:w="1469" w:type="dxa"/>
                  <w:vAlign w:val="center"/>
                </w:tcPr>
                <w:p>
                  <w:pPr>
                    <w:widowControl/>
                    <w:spacing w:line="240" w:lineRule="exact"/>
                    <w:jc w:val="center"/>
                    <w:rPr>
                      <w:szCs w:val="21"/>
                    </w:rPr>
                  </w:pPr>
                  <w:r>
                    <w:rPr>
                      <w:rFonts w:hint="eastAsia"/>
                      <w:szCs w:val="21"/>
                    </w:rPr>
                    <w:t>厂区降尘用水</w:t>
                  </w:r>
                </w:p>
              </w:tc>
              <w:tc>
                <w:tcPr>
                  <w:tcW w:w="1061" w:type="dxa"/>
                  <w:vAlign w:val="center"/>
                </w:tcPr>
                <w:p>
                  <w:pPr>
                    <w:widowControl/>
                    <w:spacing w:line="240" w:lineRule="exact"/>
                    <w:jc w:val="center"/>
                    <w:rPr>
                      <w:szCs w:val="21"/>
                    </w:rPr>
                  </w:pPr>
                  <w:r>
                    <w:rPr>
                      <w:szCs w:val="21"/>
                    </w:rPr>
                    <w:t>1.0</w:t>
                  </w:r>
                </w:p>
              </w:tc>
              <w:tc>
                <w:tcPr>
                  <w:tcW w:w="884" w:type="dxa"/>
                  <w:vAlign w:val="center"/>
                </w:tcPr>
                <w:p>
                  <w:pPr>
                    <w:widowControl/>
                    <w:spacing w:line="240" w:lineRule="exact"/>
                    <w:jc w:val="center"/>
                    <w:rPr>
                      <w:szCs w:val="21"/>
                    </w:rPr>
                  </w:pPr>
                  <w:r>
                    <w:rPr>
                      <w:szCs w:val="21"/>
                    </w:rPr>
                    <w:t>1.0</w:t>
                  </w:r>
                </w:p>
              </w:tc>
              <w:tc>
                <w:tcPr>
                  <w:tcW w:w="1268" w:type="dxa"/>
                  <w:vAlign w:val="center"/>
                </w:tcPr>
                <w:p>
                  <w:pPr>
                    <w:widowControl/>
                    <w:spacing w:line="240" w:lineRule="exact"/>
                    <w:jc w:val="center"/>
                    <w:rPr>
                      <w:szCs w:val="21"/>
                    </w:rPr>
                  </w:pPr>
                  <w:r>
                    <w:rPr>
                      <w:rFonts w:hint="eastAsia"/>
                      <w:szCs w:val="21"/>
                    </w:rPr>
                    <w:t>0</w:t>
                  </w:r>
                </w:p>
              </w:tc>
              <w:tc>
                <w:tcPr>
                  <w:tcW w:w="886" w:type="dxa"/>
                  <w:vAlign w:val="center"/>
                </w:tcPr>
                <w:p>
                  <w:pPr>
                    <w:widowControl/>
                    <w:spacing w:line="240" w:lineRule="exact"/>
                    <w:jc w:val="center"/>
                    <w:rPr>
                      <w:szCs w:val="21"/>
                    </w:rPr>
                  </w:pPr>
                  <w:r>
                    <w:rPr>
                      <w:rFonts w:hint="eastAsia"/>
                      <w:szCs w:val="21"/>
                    </w:rPr>
                    <w:t>0</w:t>
                  </w:r>
                </w:p>
              </w:tc>
              <w:tc>
                <w:tcPr>
                  <w:tcW w:w="2264" w:type="dxa"/>
                  <w:vAlign w:val="center"/>
                </w:tcPr>
                <w:p>
                  <w:pPr>
                    <w:widowControl/>
                    <w:spacing w:line="240" w:lineRule="exact"/>
                    <w:jc w:val="center"/>
                    <w:rPr>
                      <w:szCs w:val="21"/>
                    </w:rPr>
                  </w:pPr>
                  <w:r>
                    <w:rPr>
                      <w:rFonts w:hint="eastAsia"/>
                      <w:szCs w:val="21"/>
                    </w:rPr>
                    <w:t>蒸发损耗</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57" w:type="dxa"/>
                  <w:left w:w="57" w:type="dxa"/>
                  <w:bottom w:w="57" w:type="dxa"/>
                  <w:right w:w="57" w:type="dxa"/>
                </w:tblCellMar>
              </w:tblPrEx>
              <w:trPr>
                <w:trHeight w:val="369" w:hRule="atLeast"/>
              </w:trPr>
              <w:tc>
                <w:tcPr>
                  <w:tcW w:w="1469" w:type="dxa"/>
                  <w:vAlign w:val="center"/>
                </w:tcPr>
                <w:p>
                  <w:pPr>
                    <w:widowControl/>
                    <w:spacing w:line="240" w:lineRule="exact"/>
                    <w:jc w:val="center"/>
                    <w:rPr>
                      <w:szCs w:val="21"/>
                    </w:rPr>
                  </w:pPr>
                  <w:r>
                    <w:rPr>
                      <w:rFonts w:hint="eastAsia"/>
                      <w:szCs w:val="21"/>
                    </w:rPr>
                    <w:t>车间</w:t>
                  </w:r>
                  <w:r>
                    <w:rPr>
                      <w:szCs w:val="21"/>
                    </w:rPr>
                    <w:t>干雾抑尘</w:t>
                  </w:r>
                </w:p>
              </w:tc>
              <w:tc>
                <w:tcPr>
                  <w:tcW w:w="1061" w:type="dxa"/>
                  <w:vAlign w:val="center"/>
                </w:tcPr>
                <w:p>
                  <w:pPr>
                    <w:widowControl/>
                    <w:spacing w:line="240" w:lineRule="exact"/>
                    <w:jc w:val="center"/>
                    <w:rPr>
                      <w:szCs w:val="21"/>
                    </w:rPr>
                  </w:pPr>
                  <w:r>
                    <w:rPr>
                      <w:rFonts w:hint="eastAsia"/>
                      <w:szCs w:val="21"/>
                    </w:rPr>
                    <w:t>0.58</w:t>
                  </w:r>
                </w:p>
              </w:tc>
              <w:tc>
                <w:tcPr>
                  <w:tcW w:w="884" w:type="dxa"/>
                  <w:vAlign w:val="center"/>
                </w:tcPr>
                <w:p>
                  <w:pPr>
                    <w:widowControl/>
                    <w:spacing w:line="240" w:lineRule="exact"/>
                    <w:jc w:val="center"/>
                    <w:rPr>
                      <w:szCs w:val="21"/>
                    </w:rPr>
                  </w:pPr>
                  <w:r>
                    <w:rPr>
                      <w:rFonts w:hint="eastAsia"/>
                      <w:szCs w:val="21"/>
                    </w:rPr>
                    <w:t>0.58</w:t>
                  </w:r>
                </w:p>
              </w:tc>
              <w:tc>
                <w:tcPr>
                  <w:tcW w:w="1268" w:type="dxa"/>
                  <w:vAlign w:val="center"/>
                </w:tcPr>
                <w:p>
                  <w:pPr>
                    <w:widowControl/>
                    <w:spacing w:line="240" w:lineRule="exact"/>
                    <w:jc w:val="center"/>
                    <w:rPr>
                      <w:szCs w:val="21"/>
                    </w:rPr>
                  </w:pPr>
                  <w:r>
                    <w:rPr>
                      <w:rFonts w:hint="eastAsia"/>
                      <w:szCs w:val="21"/>
                    </w:rPr>
                    <w:t>0</w:t>
                  </w:r>
                </w:p>
              </w:tc>
              <w:tc>
                <w:tcPr>
                  <w:tcW w:w="886" w:type="dxa"/>
                  <w:vAlign w:val="center"/>
                </w:tcPr>
                <w:p>
                  <w:pPr>
                    <w:widowControl/>
                    <w:spacing w:line="240" w:lineRule="exact"/>
                    <w:jc w:val="center"/>
                    <w:rPr>
                      <w:szCs w:val="21"/>
                    </w:rPr>
                  </w:pPr>
                  <w:r>
                    <w:rPr>
                      <w:rFonts w:hint="eastAsia"/>
                      <w:szCs w:val="21"/>
                    </w:rPr>
                    <w:t>0</w:t>
                  </w:r>
                </w:p>
              </w:tc>
              <w:tc>
                <w:tcPr>
                  <w:tcW w:w="2264" w:type="dxa"/>
                  <w:vAlign w:val="center"/>
                </w:tcPr>
                <w:p>
                  <w:pPr>
                    <w:widowControl/>
                    <w:spacing w:line="240" w:lineRule="exact"/>
                    <w:jc w:val="center"/>
                    <w:rPr>
                      <w:szCs w:val="21"/>
                    </w:rPr>
                  </w:pPr>
                  <w:r>
                    <w:rPr>
                      <w:rFonts w:hint="eastAsia"/>
                      <w:szCs w:val="21"/>
                    </w:rPr>
                    <w:t>蒸发损耗</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57" w:type="dxa"/>
                  <w:left w:w="57" w:type="dxa"/>
                  <w:bottom w:w="57" w:type="dxa"/>
                  <w:right w:w="57" w:type="dxa"/>
                </w:tblCellMar>
              </w:tblPrEx>
              <w:trPr>
                <w:trHeight w:val="369" w:hRule="atLeast"/>
              </w:trPr>
              <w:tc>
                <w:tcPr>
                  <w:tcW w:w="1469" w:type="dxa"/>
                  <w:vAlign w:val="center"/>
                </w:tcPr>
                <w:p>
                  <w:pPr>
                    <w:widowControl/>
                    <w:spacing w:line="240" w:lineRule="exact"/>
                    <w:jc w:val="center"/>
                    <w:rPr>
                      <w:szCs w:val="21"/>
                    </w:rPr>
                  </w:pPr>
                  <w:r>
                    <w:rPr>
                      <w:rFonts w:hint="eastAsia"/>
                      <w:szCs w:val="21"/>
                    </w:rPr>
                    <w:t>生活用水</w:t>
                  </w:r>
                </w:p>
              </w:tc>
              <w:tc>
                <w:tcPr>
                  <w:tcW w:w="1061" w:type="dxa"/>
                  <w:vAlign w:val="center"/>
                </w:tcPr>
                <w:p>
                  <w:pPr>
                    <w:widowControl/>
                    <w:spacing w:line="240" w:lineRule="exact"/>
                    <w:jc w:val="center"/>
                    <w:rPr>
                      <w:szCs w:val="21"/>
                    </w:rPr>
                  </w:pPr>
                  <w:r>
                    <w:rPr>
                      <w:rFonts w:hint="eastAsia"/>
                      <w:szCs w:val="21"/>
                    </w:rPr>
                    <w:t>0.16</w:t>
                  </w:r>
                </w:p>
              </w:tc>
              <w:tc>
                <w:tcPr>
                  <w:tcW w:w="884" w:type="dxa"/>
                  <w:vAlign w:val="center"/>
                </w:tcPr>
                <w:p>
                  <w:pPr>
                    <w:widowControl/>
                    <w:spacing w:line="240" w:lineRule="exact"/>
                    <w:jc w:val="center"/>
                    <w:rPr>
                      <w:szCs w:val="21"/>
                    </w:rPr>
                  </w:pPr>
                  <w:r>
                    <w:rPr>
                      <w:rFonts w:hint="eastAsia"/>
                      <w:szCs w:val="21"/>
                    </w:rPr>
                    <w:t>0.</w:t>
                  </w:r>
                  <w:r>
                    <w:rPr>
                      <w:szCs w:val="21"/>
                    </w:rPr>
                    <w:t>0</w:t>
                  </w:r>
                  <w:r>
                    <w:rPr>
                      <w:rFonts w:hint="eastAsia"/>
                      <w:szCs w:val="21"/>
                    </w:rPr>
                    <w:t>3</w:t>
                  </w:r>
                </w:p>
              </w:tc>
              <w:tc>
                <w:tcPr>
                  <w:tcW w:w="1268" w:type="dxa"/>
                  <w:vAlign w:val="center"/>
                </w:tcPr>
                <w:p>
                  <w:pPr>
                    <w:widowControl/>
                    <w:spacing w:line="240" w:lineRule="exact"/>
                    <w:jc w:val="center"/>
                    <w:rPr>
                      <w:szCs w:val="21"/>
                    </w:rPr>
                  </w:pPr>
                  <w:r>
                    <w:rPr>
                      <w:rFonts w:hint="eastAsia"/>
                      <w:szCs w:val="21"/>
                    </w:rPr>
                    <w:t>0</w:t>
                  </w:r>
                </w:p>
              </w:tc>
              <w:tc>
                <w:tcPr>
                  <w:tcW w:w="886" w:type="dxa"/>
                  <w:vAlign w:val="center"/>
                </w:tcPr>
                <w:p>
                  <w:pPr>
                    <w:widowControl/>
                    <w:spacing w:line="240" w:lineRule="exact"/>
                    <w:jc w:val="center"/>
                    <w:rPr>
                      <w:szCs w:val="21"/>
                    </w:rPr>
                  </w:pPr>
                  <w:r>
                    <w:rPr>
                      <w:rFonts w:hint="eastAsia"/>
                      <w:szCs w:val="21"/>
                    </w:rPr>
                    <w:t>0.</w:t>
                  </w:r>
                  <w:r>
                    <w:rPr>
                      <w:szCs w:val="21"/>
                    </w:rPr>
                    <w:t>128</w:t>
                  </w:r>
                </w:p>
              </w:tc>
              <w:tc>
                <w:tcPr>
                  <w:tcW w:w="2264" w:type="dxa"/>
                  <w:vAlign w:val="center"/>
                </w:tcPr>
                <w:p>
                  <w:pPr>
                    <w:widowControl/>
                    <w:spacing w:line="240" w:lineRule="exact"/>
                    <w:rPr>
                      <w:szCs w:val="21"/>
                    </w:rPr>
                  </w:pPr>
                  <w:r>
                    <w:rPr>
                      <w:rFonts w:hint="eastAsia"/>
                      <w:szCs w:val="21"/>
                    </w:rPr>
                    <w:t>粪污水入化粪池沉淀，定期由周围村民拉走肥田</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57" w:type="dxa"/>
                  <w:left w:w="57" w:type="dxa"/>
                  <w:bottom w:w="57" w:type="dxa"/>
                  <w:right w:w="57" w:type="dxa"/>
                </w:tblCellMar>
              </w:tblPrEx>
              <w:trPr>
                <w:trHeight w:val="369" w:hRule="atLeast"/>
              </w:trPr>
              <w:tc>
                <w:tcPr>
                  <w:tcW w:w="1469" w:type="dxa"/>
                  <w:vAlign w:val="center"/>
                </w:tcPr>
                <w:p>
                  <w:pPr>
                    <w:widowControl/>
                    <w:spacing w:line="240" w:lineRule="exact"/>
                    <w:jc w:val="center"/>
                    <w:rPr>
                      <w:szCs w:val="21"/>
                    </w:rPr>
                  </w:pPr>
                  <w:r>
                    <w:rPr>
                      <w:rFonts w:hint="eastAsia"/>
                      <w:szCs w:val="21"/>
                    </w:rPr>
                    <w:t>合计</w:t>
                  </w:r>
                </w:p>
              </w:tc>
              <w:tc>
                <w:tcPr>
                  <w:tcW w:w="1061" w:type="dxa"/>
                  <w:vAlign w:val="center"/>
                </w:tcPr>
                <w:p>
                  <w:pPr>
                    <w:widowControl/>
                    <w:spacing w:line="240" w:lineRule="exact"/>
                    <w:jc w:val="center"/>
                    <w:rPr>
                      <w:szCs w:val="21"/>
                    </w:rPr>
                  </w:pPr>
                  <w:r>
                    <w:rPr>
                      <w:szCs w:val="21"/>
                    </w:rPr>
                    <w:t>1.9</w:t>
                  </w:r>
                </w:p>
              </w:tc>
              <w:tc>
                <w:tcPr>
                  <w:tcW w:w="884" w:type="dxa"/>
                  <w:vAlign w:val="center"/>
                </w:tcPr>
                <w:p>
                  <w:pPr>
                    <w:widowControl/>
                    <w:spacing w:line="240" w:lineRule="exact"/>
                    <w:jc w:val="center"/>
                    <w:rPr>
                      <w:szCs w:val="21"/>
                    </w:rPr>
                  </w:pPr>
                  <w:r>
                    <w:rPr>
                      <w:szCs w:val="21"/>
                    </w:rPr>
                    <w:t>1.77</w:t>
                  </w:r>
                </w:p>
              </w:tc>
              <w:tc>
                <w:tcPr>
                  <w:tcW w:w="1268" w:type="dxa"/>
                  <w:vAlign w:val="center"/>
                </w:tcPr>
                <w:p>
                  <w:pPr>
                    <w:widowControl/>
                    <w:spacing w:line="240" w:lineRule="exact"/>
                    <w:jc w:val="center"/>
                    <w:rPr>
                      <w:szCs w:val="21"/>
                    </w:rPr>
                  </w:pPr>
                  <w:r>
                    <w:rPr>
                      <w:rFonts w:hint="eastAsia"/>
                      <w:szCs w:val="21"/>
                    </w:rPr>
                    <w:t>1.44</w:t>
                  </w:r>
                </w:p>
              </w:tc>
              <w:tc>
                <w:tcPr>
                  <w:tcW w:w="886" w:type="dxa"/>
                  <w:vAlign w:val="center"/>
                </w:tcPr>
                <w:p>
                  <w:pPr>
                    <w:widowControl/>
                    <w:spacing w:line="240" w:lineRule="exact"/>
                    <w:jc w:val="center"/>
                    <w:rPr>
                      <w:szCs w:val="21"/>
                    </w:rPr>
                  </w:pPr>
                  <w:r>
                    <w:rPr>
                      <w:rFonts w:hint="eastAsia"/>
                      <w:szCs w:val="21"/>
                    </w:rPr>
                    <w:t>0.1</w:t>
                  </w:r>
                  <w:r>
                    <w:rPr>
                      <w:szCs w:val="21"/>
                    </w:rPr>
                    <w:t>28</w:t>
                  </w:r>
                </w:p>
              </w:tc>
              <w:tc>
                <w:tcPr>
                  <w:tcW w:w="2264" w:type="dxa"/>
                  <w:vAlign w:val="center"/>
                </w:tcPr>
                <w:p>
                  <w:pPr>
                    <w:widowControl/>
                    <w:spacing w:line="240" w:lineRule="exact"/>
                    <w:jc w:val="center"/>
                    <w:rPr>
                      <w:szCs w:val="21"/>
                    </w:rPr>
                  </w:pPr>
                  <w:r>
                    <w:rPr>
                      <w:szCs w:val="21"/>
                    </w:rPr>
                    <w:t>/</w:t>
                  </w:r>
                </w:p>
              </w:tc>
            </w:tr>
          </w:tbl>
          <w:p>
            <w:pPr>
              <w:widowControl/>
              <w:spacing w:line="40" w:lineRule="exact"/>
              <w:ind w:firstLine="480" w:firstLineChars="200"/>
              <w:jc w:val="left"/>
              <w:rPr>
                <w:kern w:val="0"/>
                <w:sz w:val="24"/>
                <w:lang w:bidi="ar"/>
              </w:rPr>
            </w:pPr>
          </w:p>
          <w:p>
            <w:pPr>
              <w:autoSpaceDE w:val="0"/>
              <w:autoSpaceDN w:val="0"/>
              <w:adjustRightInd w:val="0"/>
              <w:snapToGrid w:val="0"/>
              <w:rPr>
                <w:rFonts w:cs="宋体"/>
                <w:kern w:val="0"/>
                <w:sz w:val="24"/>
              </w:rPr>
            </w:pPr>
            <w:r>
              <w:object>
                <v:shape id="_x0000_i1025" o:spt="75" type="#_x0000_t75" style="height:226.2pt;width:360pt;" o:ole="t" filled="f" o:preferrelative="t" stroked="f" coordsize="21600,21600">
                  <v:path/>
                  <v:fill on="f" focussize="0,0"/>
                  <v:stroke on="f" joinstyle="miter"/>
                  <v:imagedata r:id="rId9" o:title=""/>
                  <o:lock v:ext="edit" aspectratio="t"/>
                  <w10:wrap type="none"/>
                  <w10:anchorlock/>
                </v:shape>
                <o:OLEObject Type="Embed" ProgID="Visio.Drawing.11" ShapeID="_x0000_i1025" DrawAspect="Content" ObjectID="_1468075725" r:id="rId8">
                  <o:LockedField>false</o:LockedField>
                </o:OLEObject>
              </w:object>
            </w:r>
          </w:p>
          <w:p>
            <w:pPr>
              <w:tabs>
                <w:tab w:val="left" w:pos="1322"/>
                <w:tab w:val="center" w:pos="4635"/>
              </w:tabs>
              <w:adjustRightInd w:val="0"/>
              <w:snapToGrid w:val="0"/>
              <w:spacing w:line="520" w:lineRule="exact"/>
              <w:jc w:val="center"/>
              <w:outlineLvl w:val="1"/>
              <w:rPr>
                <w:rFonts w:ascii="黑体" w:hAnsi="黑体" w:eastAsia="黑体"/>
                <w:snapToGrid w:val="0"/>
                <w:kern w:val="0"/>
                <w:sz w:val="24"/>
                <w:u w:val="single"/>
              </w:rPr>
            </w:pPr>
            <w:r>
              <w:rPr>
                <w:rFonts w:hint="eastAsia" w:ascii="黑体" w:hAnsi="黑体" w:eastAsia="黑体"/>
                <w:snapToGrid w:val="0"/>
                <w:kern w:val="0"/>
                <w:sz w:val="24"/>
                <w:u w:val="single"/>
              </w:rPr>
              <w:t>图</w:t>
            </w:r>
            <w:r>
              <w:rPr>
                <w:rFonts w:ascii="黑体" w:hAnsi="黑体" w:eastAsia="黑体"/>
                <w:snapToGrid w:val="0"/>
                <w:kern w:val="0"/>
                <w:sz w:val="24"/>
                <w:u w:val="single"/>
              </w:rPr>
              <w:t>1</w:t>
            </w:r>
            <w:r>
              <w:rPr>
                <w:rFonts w:hint="eastAsia" w:ascii="黑体" w:hAnsi="黑体" w:eastAsia="黑体"/>
                <w:snapToGrid w:val="0"/>
                <w:kern w:val="0"/>
                <w:sz w:val="24"/>
                <w:u w:val="single"/>
              </w:rPr>
              <w:t xml:space="preserve">    本项目水平衡图  </w:t>
            </w:r>
          </w:p>
          <w:p>
            <w:pPr>
              <w:autoSpaceDE w:val="0"/>
              <w:autoSpaceDN w:val="0"/>
              <w:adjustRightInd w:val="0"/>
              <w:snapToGrid w:val="0"/>
              <w:spacing w:line="440" w:lineRule="exact"/>
              <w:ind w:firstLine="480" w:firstLineChars="200"/>
              <w:rPr>
                <w:rFonts w:cs="宋体"/>
                <w:kern w:val="0"/>
                <w:sz w:val="24"/>
              </w:rPr>
            </w:pPr>
            <w:r>
              <w:rPr>
                <w:rFonts w:hint="eastAsia" w:cs="宋体"/>
                <w:kern w:val="0"/>
                <w:sz w:val="24"/>
              </w:rPr>
              <w:t>（</w:t>
            </w:r>
            <w:r>
              <w:rPr>
                <w:rFonts w:cs="宋体"/>
                <w:kern w:val="0"/>
                <w:sz w:val="24"/>
              </w:rPr>
              <w:t>2</w:t>
            </w:r>
            <w:r>
              <w:rPr>
                <w:rFonts w:hint="eastAsia" w:cs="宋体"/>
                <w:kern w:val="0"/>
                <w:sz w:val="24"/>
              </w:rPr>
              <w:t>）供电</w:t>
            </w:r>
          </w:p>
          <w:p>
            <w:pPr>
              <w:autoSpaceDE w:val="0"/>
              <w:autoSpaceDN w:val="0"/>
              <w:adjustRightInd w:val="0"/>
              <w:snapToGrid w:val="0"/>
              <w:spacing w:line="440" w:lineRule="exact"/>
              <w:ind w:firstLine="480" w:firstLineChars="200"/>
              <w:rPr>
                <w:rFonts w:cs="宋体"/>
                <w:kern w:val="0"/>
                <w:sz w:val="24"/>
              </w:rPr>
            </w:pPr>
            <w:r>
              <w:rPr>
                <w:rFonts w:hint="eastAsia"/>
                <w:sz w:val="24"/>
              </w:rPr>
              <w:t>项目</w:t>
            </w:r>
            <w:r>
              <w:rPr>
                <w:sz w:val="24"/>
              </w:rPr>
              <w:t>厂区新建</w:t>
            </w:r>
            <w:r>
              <w:rPr>
                <w:rFonts w:hint="eastAsia"/>
                <w:sz w:val="24"/>
              </w:rPr>
              <w:t>1台250</w:t>
            </w:r>
            <w:r>
              <w:rPr>
                <w:sz w:val="24"/>
              </w:rPr>
              <w:t>KVA的变压器</w:t>
            </w:r>
            <w:r>
              <w:rPr>
                <w:rFonts w:hint="eastAsia"/>
                <w:sz w:val="24"/>
              </w:rPr>
              <w:t>及配套</w:t>
            </w:r>
            <w:r>
              <w:rPr>
                <w:sz w:val="24"/>
              </w:rPr>
              <w:t>电线，电源</w:t>
            </w:r>
            <w:r>
              <w:rPr>
                <w:rFonts w:hint="eastAsia"/>
                <w:sz w:val="24"/>
              </w:rPr>
              <w:t>由</w:t>
            </w:r>
            <w:r>
              <w:rPr>
                <w:sz w:val="24"/>
              </w:rPr>
              <w:t>区域电网供给</w:t>
            </w:r>
            <w:r>
              <w:rPr>
                <w:rFonts w:hint="eastAsia" w:cs="宋体"/>
                <w:kern w:val="0"/>
                <w:sz w:val="24"/>
              </w:rPr>
              <w:t>。</w:t>
            </w:r>
          </w:p>
          <w:p>
            <w:pPr>
              <w:autoSpaceDE w:val="0"/>
              <w:autoSpaceDN w:val="0"/>
              <w:adjustRightInd w:val="0"/>
              <w:snapToGrid w:val="0"/>
              <w:spacing w:line="440" w:lineRule="exact"/>
              <w:ind w:left="480"/>
              <w:rPr>
                <w:rFonts w:cs="宋体"/>
                <w:kern w:val="0"/>
                <w:sz w:val="24"/>
              </w:rPr>
            </w:pPr>
            <w:r>
              <w:rPr>
                <w:rFonts w:hint="eastAsia" w:cs="宋体"/>
                <w:kern w:val="0"/>
                <w:sz w:val="24"/>
              </w:rPr>
              <w:t>（3）制冷供热</w:t>
            </w:r>
          </w:p>
          <w:p>
            <w:pPr>
              <w:autoSpaceDE w:val="0"/>
              <w:autoSpaceDN w:val="0"/>
              <w:adjustRightInd w:val="0"/>
              <w:snapToGrid w:val="0"/>
              <w:spacing w:line="440" w:lineRule="exact"/>
              <w:ind w:firstLine="480" w:firstLineChars="200"/>
              <w:rPr>
                <w:rFonts w:cs="宋体"/>
                <w:kern w:val="0"/>
                <w:sz w:val="24"/>
              </w:rPr>
            </w:pPr>
            <w:r>
              <w:rPr>
                <w:rFonts w:cs="宋体"/>
                <w:kern w:val="0"/>
                <w:sz w:val="24"/>
              </w:rPr>
              <w:t>办公室</w:t>
            </w:r>
            <w:r>
              <w:rPr>
                <w:rFonts w:hint="eastAsia" w:cs="宋体"/>
                <w:kern w:val="0"/>
                <w:sz w:val="24"/>
              </w:rPr>
              <w:t>制冷</w:t>
            </w:r>
            <w:r>
              <w:rPr>
                <w:rFonts w:cs="宋体"/>
                <w:kern w:val="0"/>
                <w:sz w:val="24"/>
              </w:rPr>
              <w:t>供暖采用分体空调进行调节。</w:t>
            </w:r>
          </w:p>
          <w:p>
            <w:pPr>
              <w:autoSpaceDE w:val="0"/>
              <w:autoSpaceDN w:val="0"/>
              <w:adjustRightInd w:val="0"/>
              <w:snapToGrid w:val="0"/>
              <w:spacing w:line="440" w:lineRule="exact"/>
              <w:rPr>
                <w:rFonts w:cs="宋体"/>
                <w:kern w:val="0"/>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59" w:hRule="atLeast"/>
          <w:jc w:val="center"/>
        </w:trPr>
        <w:tc>
          <w:tcPr>
            <w:tcW w:w="779" w:type="dxa"/>
            <w:vAlign w:val="center"/>
          </w:tcPr>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r>
              <w:rPr>
                <w:rFonts w:hint="eastAsia" w:ascii="Times New Roman" w:hAnsi="Times New Roman" w:cs="宋体"/>
                <w:szCs w:val="24"/>
              </w:rPr>
              <w:t>工艺流程和产排污环节</w:t>
            </w: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r>
              <w:rPr>
                <w:rFonts w:hint="eastAsia" w:ascii="Times New Roman" w:hAnsi="Times New Roman" w:cs="宋体"/>
                <w:szCs w:val="24"/>
              </w:rPr>
              <w:t>工艺流程和产排污环节</w:t>
            </w: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r>
              <w:rPr>
                <w:rFonts w:hint="eastAsia" w:ascii="Times New Roman" w:hAnsi="Times New Roman" w:cs="宋体"/>
                <w:szCs w:val="24"/>
              </w:rPr>
              <w:t>工艺流程和产排污环节</w:t>
            </w: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center"/>
              <w:rPr>
                <w:rFonts w:ascii="Times New Roman" w:hAnsi="Times New Roman" w:cs="宋体"/>
                <w:szCs w:val="24"/>
              </w:rPr>
            </w:pPr>
          </w:p>
          <w:p>
            <w:pPr>
              <w:pStyle w:val="18"/>
              <w:adjustRightInd w:val="0"/>
              <w:snapToGrid w:val="0"/>
              <w:spacing w:before="0" w:beforeAutospacing="0" w:after="0" w:afterAutospacing="0"/>
              <w:jc w:val="both"/>
              <w:rPr>
                <w:rFonts w:ascii="Times New Roman" w:hAnsi="Times New Roman" w:cs="宋体"/>
                <w:szCs w:val="24"/>
              </w:rPr>
            </w:pPr>
          </w:p>
        </w:tc>
        <w:tc>
          <w:tcPr>
            <w:tcW w:w="8205" w:type="dxa"/>
          </w:tcPr>
          <w:p>
            <w:pPr>
              <w:autoSpaceDE w:val="0"/>
              <w:autoSpaceDN w:val="0"/>
              <w:adjustRightInd w:val="0"/>
              <w:snapToGrid w:val="0"/>
              <w:spacing w:line="360" w:lineRule="auto"/>
              <w:ind w:firstLine="482" w:firstLineChars="200"/>
              <w:rPr>
                <w:rFonts w:cs="宋体"/>
                <w:b/>
                <w:bCs/>
                <w:kern w:val="0"/>
                <w:sz w:val="24"/>
              </w:rPr>
            </w:pPr>
            <w:r>
              <w:rPr>
                <w:rFonts w:hint="eastAsia" w:cs="宋体"/>
                <w:b/>
                <w:bCs/>
                <w:kern w:val="0"/>
                <w:sz w:val="24"/>
              </w:rPr>
              <w:t>1、工艺流程简述</w:t>
            </w:r>
          </w:p>
          <w:p>
            <w:pPr>
              <w:autoSpaceDE w:val="0"/>
              <w:autoSpaceDN w:val="0"/>
              <w:adjustRightInd w:val="0"/>
              <w:snapToGrid w:val="0"/>
              <w:spacing w:line="360" w:lineRule="auto"/>
              <w:ind w:firstLine="482" w:firstLineChars="200"/>
              <w:rPr>
                <w:rFonts w:cs="宋体"/>
                <w:b/>
                <w:bCs/>
                <w:kern w:val="0"/>
                <w:sz w:val="24"/>
              </w:rPr>
            </w:pPr>
            <w:r>
              <w:rPr>
                <w:rFonts w:hint="eastAsia" w:cs="宋体"/>
                <w:b/>
                <w:bCs/>
                <w:kern w:val="0"/>
                <w:sz w:val="24"/>
              </w:rPr>
              <w:t>（一）施工期</w:t>
            </w:r>
          </w:p>
          <w:p>
            <w:pPr>
              <w:autoSpaceDE w:val="0"/>
              <w:autoSpaceDN w:val="0"/>
              <w:adjustRightInd w:val="0"/>
              <w:snapToGrid w:val="0"/>
              <w:spacing w:line="360" w:lineRule="auto"/>
              <w:ind w:firstLine="480" w:firstLineChars="200"/>
              <w:rPr>
                <w:rFonts w:cs="宋体"/>
                <w:kern w:val="0"/>
                <w:sz w:val="24"/>
              </w:rPr>
            </w:pPr>
            <w:r>
              <w:rPr>
                <w:rFonts w:hint="eastAsia" w:ascii="宋体" w:hAnsi="宋体" w:cs="宋体"/>
                <w:kern w:val="0"/>
                <w:sz w:val="24"/>
              </w:rPr>
              <w:t>本项目租用</w:t>
            </w:r>
            <w:r>
              <w:rPr>
                <w:rFonts w:ascii="宋体" w:hAnsi="宋体" w:cs="宋体"/>
                <w:kern w:val="0"/>
                <w:sz w:val="24"/>
              </w:rPr>
              <w:t>远宏</w:t>
            </w:r>
            <w:r>
              <w:rPr>
                <w:rFonts w:hint="eastAsia"/>
                <w:szCs w:val="21"/>
              </w:rPr>
              <w:t>炭素厂区</w:t>
            </w:r>
            <w:r>
              <w:rPr>
                <w:rFonts w:hint="eastAsia" w:ascii="宋体" w:hAnsi="宋体" w:cs="宋体"/>
                <w:kern w:val="0"/>
                <w:sz w:val="24"/>
              </w:rPr>
              <w:t>空地建设</w:t>
            </w:r>
            <w:r>
              <w:rPr>
                <w:rFonts w:ascii="宋体" w:hAnsi="宋体" w:cs="宋体"/>
                <w:kern w:val="0"/>
                <w:sz w:val="24"/>
              </w:rPr>
              <w:t>，办公</w:t>
            </w:r>
            <w:r>
              <w:rPr>
                <w:rFonts w:hint="eastAsia" w:ascii="宋体" w:hAnsi="宋体" w:cs="宋体"/>
                <w:kern w:val="0"/>
                <w:sz w:val="24"/>
              </w:rPr>
              <w:t>室</w:t>
            </w:r>
            <w:r>
              <w:rPr>
                <w:rFonts w:ascii="宋体" w:hAnsi="宋体" w:cs="宋体"/>
                <w:kern w:val="0"/>
                <w:sz w:val="24"/>
              </w:rPr>
              <w:t>利用远宏</w:t>
            </w:r>
            <w:r>
              <w:rPr>
                <w:rFonts w:hint="eastAsia" w:ascii="宋体" w:hAnsi="宋体" w:cs="宋体"/>
                <w:kern w:val="0"/>
                <w:sz w:val="24"/>
              </w:rPr>
              <w:t>炭素原有</w:t>
            </w:r>
            <w:r>
              <w:rPr>
                <w:rFonts w:ascii="宋体" w:hAnsi="宋体" w:cs="宋体"/>
                <w:kern w:val="0"/>
                <w:sz w:val="24"/>
              </w:rPr>
              <w:t>办公</w:t>
            </w:r>
            <w:r>
              <w:rPr>
                <w:rFonts w:hint="eastAsia" w:ascii="宋体" w:hAnsi="宋体" w:cs="宋体"/>
                <w:kern w:val="0"/>
                <w:sz w:val="24"/>
              </w:rPr>
              <w:t>室</w:t>
            </w:r>
            <w:r>
              <w:rPr>
                <w:rFonts w:ascii="宋体" w:hAnsi="宋体" w:cs="宋体"/>
                <w:kern w:val="0"/>
                <w:sz w:val="24"/>
              </w:rPr>
              <w:t>，其余</w:t>
            </w:r>
            <w:r>
              <w:rPr>
                <w:rFonts w:hint="eastAsia" w:ascii="宋体" w:hAnsi="宋体" w:cs="宋体"/>
                <w:kern w:val="0"/>
                <w:sz w:val="24"/>
              </w:rPr>
              <w:t>生产</w:t>
            </w:r>
            <w:r>
              <w:rPr>
                <w:rFonts w:ascii="宋体" w:hAnsi="宋体" w:cs="宋体"/>
                <w:kern w:val="0"/>
                <w:sz w:val="24"/>
              </w:rPr>
              <w:t>车间、</w:t>
            </w:r>
            <w:r>
              <w:rPr>
                <w:rFonts w:hint="eastAsia" w:ascii="宋体" w:hAnsi="宋体" w:cs="宋体"/>
                <w:kern w:val="0"/>
                <w:sz w:val="24"/>
              </w:rPr>
              <w:t>原料成品</w:t>
            </w:r>
            <w:r>
              <w:rPr>
                <w:rFonts w:ascii="宋体" w:hAnsi="宋体" w:cs="宋体"/>
                <w:kern w:val="0"/>
                <w:sz w:val="24"/>
              </w:rPr>
              <w:t>仓</w:t>
            </w:r>
            <w:r>
              <w:rPr>
                <w:rFonts w:hint="eastAsia" w:ascii="宋体" w:hAnsi="宋体" w:cs="宋体"/>
                <w:kern w:val="0"/>
                <w:sz w:val="24"/>
              </w:rPr>
              <w:t>、</w:t>
            </w:r>
            <w:r>
              <w:rPr>
                <w:rFonts w:ascii="宋体" w:hAnsi="宋体" w:cs="宋体"/>
                <w:kern w:val="0"/>
                <w:sz w:val="24"/>
              </w:rPr>
              <w:t>道路均为新建，</w:t>
            </w:r>
            <w:r>
              <w:rPr>
                <w:rFonts w:hint="eastAsia" w:cs="宋体"/>
                <w:kern w:val="0"/>
                <w:sz w:val="24"/>
              </w:rPr>
              <w:t>本项目施工期主要建设内容包括：场地</w:t>
            </w:r>
            <w:r>
              <w:rPr>
                <w:rFonts w:cs="宋体"/>
                <w:kern w:val="0"/>
                <w:sz w:val="24"/>
              </w:rPr>
              <w:t>平整、</w:t>
            </w:r>
            <w:r>
              <w:rPr>
                <w:rFonts w:hint="eastAsia" w:cs="宋体"/>
                <w:kern w:val="0"/>
                <w:sz w:val="24"/>
              </w:rPr>
              <w:t>主体工程、设备安装等施工行为，</w:t>
            </w:r>
            <w:r>
              <w:rPr>
                <w:rFonts w:cs="宋体"/>
                <w:kern w:val="0"/>
                <w:sz w:val="24"/>
              </w:rPr>
              <w:t>不涉及大规模基础开挖</w:t>
            </w:r>
            <w:r>
              <w:rPr>
                <w:rFonts w:hint="eastAsia" w:cs="宋体"/>
                <w:kern w:val="0"/>
                <w:sz w:val="24"/>
              </w:rPr>
              <w:t>。施工期污染因素主要为施工机械噪声、施工场地扬尘，其次为施工车辆冲洗水、施工人员的生活污水以及施工过程产生的建筑垃圾、生活垃圾等，施工期产污环节示意图见图</w:t>
            </w:r>
            <w:r>
              <w:rPr>
                <w:rFonts w:cs="宋体"/>
                <w:kern w:val="0"/>
                <w:sz w:val="24"/>
              </w:rPr>
              <w:t>2</w:t>
            </w:r>
            <w:r>
              <w:rPr>
                <w:rFonts w:hint="eastAsia" w:cs="宋体"/>
                <w:kern w:val="0"/>
                <w:sz w:val="24"/>
              </w:rPr>
              <w:t>。</w:t>
            </w:r>
          </w:p>
          <w:p>
            <w:pPr>
              <w:autoSpaceDE w:val="0"/>
              <w:autoSpaceDN w:val="0"/>
              <w:adjustRightInd w:val="0"/>
              <w:snapToGrid w:val="0"/>
              <w:spacing w:line="360" w:lineRule="auto"/>
              <w:jc w:val="center"/>
              <w:rPr>
                <w:rFonts w:cs="宋体"/>
                <w:kern w:val="0"/>
                <w:sz w:val="24"/>
              </w:rPr>
            </w:pPr>
            <w:r>
              <w:object>
                <v:shape id="_x0000_i1026" o:spt="75" type="#_x0000_t75" style="height:142.2pt;width:364.2pt;" o:ole="t" filled="f" o:preferrelative="t" stroked="f" coordsize="21600,21600">
                  <v:path/>
                  <v:fill on="f" focussize="0,0"/>
                  <v:stroke on="f" joinstyle="miter"/>
                  <v:imagedata r:id="rId11" o:title=""/>
                  <o:lock v:ext="edit" aspectratio="t"/>
                  <w10:wrap type="none"/>
                  <w10:anchorlock/>
                </v:shape>
                <o:OLEObject Type="Embed" ProgID="Visio.Drawing.11" ShapeID="_x0000_i1026" DrawAspect="Content" ObjectID="_1468075726" r:id="rId10">
                  <o:LockedField>false</o:LockedField>
                </o:OLEObject>
              </w:object>
            </w:r>
          </w:p>
          <w:p>
            <w:pPr>
              <w:tabs>
                <w:tab w:val="left" w:pos="1322"/>
                <w:tab w:val="center" w:pos="4635"/>
              </w:tabs>
              <w:adjustRightInd w:val="0"/>
              <w:snapToGrid w:val="0"/>
              <w:spacing w:line="520" w:lineRule="exact"/>
              <w:jc w:val="center"/>
              <w:outlineLvl w:val="1"/>
              <w:rPr>
                <w:rFonts w:ascii="黑体" w:hAnsi="黑体" w:eastAsia="黑体"/>
                <w:snapToGrid w:val="0"/>
                <w:kern w:val="0"/>
                <w:sz w:val="24"/>
              </w:rPr>
            </w:pPr>
            <w:r>
              <w:rPr>
                <w:rFonts w:hint="eastAsia" w:ascii="黑体" w:hAnsi="黑体" w:eastAsia="黑体"/>
                <w:snapToGrid w:val="0"/>
                <w:kern w:val="0"/>
                <w:sz w:val="24"/>
              </w:rPr>
              <w:t>图</w:t>
            </w:r>
            <w:r>
              <w:rPr>
                <w:rFonts w:ascii="黑体" w:hAnsi="黑体" w:eastAsia="黑体"/>
                <w:snapToGrid w:val="0"/>
                <w:kern w:val="0"/>
                <w:sz w:val="24"/>
              </w:rPr>
              <w:t>2</w:t>
            </w:r>
            <w:r>
              <w:rPr>
                <w:rFonts w:hint="eastAsia" w:ascii="黑体" w:hAnsi="黑体" w:eastAsia="黑体"/>
                <w:snapToGrid w:val="0"/>
                <w:kern w:val="0"/>
                <w:sz w:val="24"/>
              </w:rPr>
              <w:t xml:space="preserve">    本项目施工期工艺流程及产污环节图</w:t>
            </w:r>
          </w:p>
          <w:p>
            <w:pPr>
              <w:autoSpaceDE w:val="0"/>
              <w:autoSpaceDN w:val="0"/>
              <w:adjustRightInd w:val="0"/>
              <w:snapToGrid w:val="0"/>
              <w:spacing w:line="360" w:lineRule="auto"/>
              <w:ind w:firstLine="480" w:firstLineChars="200"/>
              <w:rPr>
                <w:rFonts w:cs="宋体"/>
                <w:kern w:val="0"/>
                <w:sz w:val="24"/>
              </w:rPr>
            </w:pPr>
            <w:r>
              <w:rPr>
                <w:rFonts w:hint="eastAsia" w:cs="宋体"/>
                <w:kern w:val="0"/>
                <w:sz w:val="24"/>
              </w:rPr>
              <w:t>工艺流程：</w:t>
            </w:r>
          </w:p>
          <w:p>
            <w:pPr>
              <w:autoSpaceDE w:val="0"/>
              <w:autoSpaceDN w:val="0"/>
              <w:adjustRightInd w:val="0"/>
              <w:snapToGrid w:val="0"/>
              <w:spacing w:line="360" w:lineRule="auto"/>
              <w:ind w:firstLine="480" w:firstLineChars="200"/>
              <w:rPr>
                <w:rFonts w:cs="宋体"/>
                <w:kern w:val="0"/>
                <w:sz w:val="24"/>
              </w:rPr>
            </w:pPr>
            <w:r>
              <w:rPr>
                <w:rFonts w:hint="eastAsia" w:cs="宋体"/>
                <w:kern w:val="0"/>
                <w:sz w:val="24"/>
              </w:rPr>
              <w:t>（1）基础工程</w:t>
            </w:r>
          </w:p>
          <w:p>
            <w:pPr>
              <w:autoSpaceDE w:val="0"/>
              <w:autoSpaceDN w:val="0"/>
              <w:adjustRightInd w:val="0"/>
              <w:snapToGrid w:val="0"/>
              <w:spacing w:line="360" w:lineRule="auto"/>
              <w:ind w:firstLine="480" w:firstLineChars="200"/>
              <w:rPr>
                <w:rFonts w:cs="宋体"/>
                <w:kern w:val="0"/>
                <w:sz w:val="24"/>
              </w:rPr>
            </w:pPr>
            <w:r>
              <w:rPr>
                <w:rFonts w:hint="eastAsia" w:cs="宋体"/>
                <w:kern w:val="0"/>
                <w:sz w:val="24"/>
              </w:rPr>
              <w:t>项目在施工期基础工程主要为场地平整、夯实作业。</w:t>
            </w:r>
          </w:p>
          <w:p>
            <w:pPr>
              <w:autoSpaceDE w:val="0"/>
              <w:autoSpaceDN w:val="0"/>
              <w:adjustRightInd w:val="0"/>
              <w:snapToGrid w:val="0"/>
              <w:spacing w:line="360" w:lineRule="auto"/>
              <w:ind w:firstLine="480" w:firstLineChars="200"/>
              <w:rPr>
                <w:rFonts w:cs="宋体"/>
                <w:kern w:val="0"/>
                <w:sz w:val="24"/>
              </w:rPr>
            </w:pPr>
            <w:r>
              <w:rPr>
                <w:rFonts w:hint="eastAsia" w:cs="宋体"/>
                <w:kern w:val="0"/>
                <w:sz w:val="24"/>
              </w:rPr>
              <w:t>（2）主体工程</w:t>
            </w:r>
          </w:p>
          <w:p>
            <w:pPr>
              <w:autoSpaceDE w:val="0"/>
              <w:autoSpaceDN w:val="0"/>
              <w:adjustRightInd w:val="0"/>
              <w:snapToGrid w:val="0"/>
              <w:spacing w:line="360" w:lineRule="auto"/>
              <w:ind w:firstLine="480" w:firstLineChars="200"/>
              <w:rPr>
                <w:rFonts w:cs="宋体"/>
                <w:kern w:val="0"/>
                <w:sz w:val="24"/>
              </w:rPr>
            </w:pPr>
            <w:r>
              <w:rPr>
                <w:rFonts w:hint="eastAsia" w:cs="宋体"/>
                <w:kern w:val="0"/>
                <w:sz w:val="24"/>
              </w:rPr>
              <w:t>项目在施工期主体工程主要为钢结构厂房、</w:t>
            </w:r>
            <w:r>
              <w:rPr>
                <w:rFonts w:cs="宋体"/>
                <w:kern w:val="0"/>
                <w:sz w:val="24"/>
              </w:rPr>
              <w:t>成品仓、原料仓的</w:t>
            </w:r>
            <w:r>
              <w:rPr>
                <w:rFonts w:hint="eastAsia" w:cs="宋体"/>
                <w:kern w:val="0"/>
                <w:sz w:val="24"/>
              </w:rPr>
              <w:t>搭建。</w:t>
            </w:r>
          </w:p>
          <w:p>
            <w:pPr>
              <w:autoSpaceDE w:val="0"/>
              <w:autoSpaceDN w:val="0"/>
              <w:adjustRightInd w:val="0"/>
              <w:snapToGrid w:val="0"/>
              <w:spacing w:line="360" w:lineRule="auto"/>
              <w:ind w:firstLine="480" w:firstLineChars="200"/>
              <w:rPr>
                <w:rFonts w:cs="宋体"/>
                <w:kern w:val="0"/>
                <w:sz w:val="24"/>
              </w:rPr>
            </w:pPr>
            <w:r>
              <w:rPr>
                <w:rFonts w:hint="eastAsia" w:cs="宋体"/>
                <w:kern w:val="0"/>
                <w:sz w:val="24"/>
              </w:rPr>
              <w:t>（</w:t>
            </w:r>
            <w:r>
              <w:rPr>
                <w:rFonts w:cs="宋体"/>
                <w:kern w:val="0"/>
                <w:sz w:val="24"/>
              </w:rPr>
              <w:t>3</w:t>
            </w:r>
            <w:r>
              <w:rPr>
                <w:rFonts w:hint="eastAsia" w:cs="宋体"/>
                <w:kern w:val="0"/>
                <w:sz w:val="24"/>
              </w:rPr>
              <w:t>）设备安装</w:t>
            </w:r>
          </w:p>
          <w:p>
            <w:pPr>
              <w:autoSpaceDE w:val="0"/>
              <w:autoSpaceDN w:val="0"/>
              <w:adjustRightInd w:val="0"/>
              <w:snapToGrid w:val="0"/>
              <w:spacing w:line="360" w:lineRule="auto"/>
              <w:ind w:firstLine="480" w:firstLineChars="200"/>
              <w:rPr>
                <w:rFonts w:cs="宋体"/>
                <w:kern w:val="0"/>
                <w:sz w:val="24"/>
              </w:rPr>
            </w:pPr>
            <w:r>
              <w:rPr>
                <w:rFonts w:hint="eastAsia" w:cs="宋体"/>
                <w:kern w:val="0"/>
                <w:sz w:val="24"/>
              </w:rPr>
              <w:t>主要设备进场安装。</w:t>
            </w:r>
          </w:p>
          <w:p>
            <w:pPr>
              <w:autoSpaceDE w:val="0"/>
              <w:autoSpaceDN w:val="0"/>
              <w:adjustRightInd w:val="0"/>
              <w:snapToGrid w:val="0"/>
              <w:spacing w:line="360" w:lineRule="auto"/>
              <w:ind w:firstLine="482" w:firstLineChars="200"/>
              <w:rPr>
                <w:rFonts w:cs="宋体"/>
                <w:b/>
                <w:bCs/>
                <w:kern w:val="0"/>
                <w:sz w:val="24"/>
              </w:rPr>
            </w:pPr>
            <w:r>
              <w:rPr>
                <w:rFonts w:hint="eastAsia" w:cs="宋体"/>
                <w:b/>
                <w:bCs/>
                <w:kern w:val="0"/>
                <w:sz w:val="24"/>
              </w:rPr>
              <w:t>（二）营运期</w:t>
            </w:r>
          </w:p>
          <w:p>
            <w:pPr>
              <w:autoSpaceDE w:val="0"/>
              <w:autoSpaceDN w:val="0"/>
              <w:adjustRightInd w:val="0"/>
              <w:snapToGrid w:val="0"/>
              <w:spacing w:line="360" w:lineRule="auto"/>
              <w:ind w:firstLine="480" w:firstLineChars="200"/>
              <w:rPr>
                <w:rFonts w:cs="宋体"/>
                <w:kern w:val="0"/>
                <w:sz w:val="24"/>
              </w:rPr>
            </w:pPr>
            <w:r>
              <w:rPr>
                <w:rFonts w:hint="eastAsia" w:cs="宋体"/>
                <w:kern w:val="0"/>
                <w:sz w:val="24"/>
              </w:rPr>
              <w:t>本项目固废粉末罐装生产线</w:t>
            </w:r>
            <w:r>
              <w:rPr>
                <w:rFonts w:cs="宋体"/>
                <w:kern w:val="0"/>
                <w:sz w:val="24"/>
              </w:rPr>
              <w:t>工艺流程及产污环节见图3。</w:t>
            </w:r>
          </w:p>
          <w:p>
            <w:pPr>
              <w:pStyle w:val="20"/>
              <w:ind w:firstLine="210"/>
            </w:pPr>
          </w:p>
          <w:p>
            <w:pPr>
              <w:spacing w:line="360" w:lineRule="auto"/>
              <w:jc w:val="center"/>
              <w:rPr>
                <w:b/>
                <w:sz w:val="24"/>
                <w:szCs w:val="32"/>
              </w:rPr>
            </w:pPr>
          </w:p>
          <w:p>
            <w:pPr>
              <w:spacing w:line="360" w:lineRule="auto"/>
              <w:jc w:val="center"/>
              <w:rPr>
                <w:b/>
                <w:sz w:val="24"/>
                <w:szCs w:val="32"/>
              </w:rPr>
            </w:pPr>
          </w:p>
          <w:p>
            <w:pPr>
              <w:spacing w:line="360" w:lineRule="auto"/>
              <w:jc w:val="center"/>
            </w:pPr>
          </w:p>
          <w:p>
            <w:pPr>
              <w:spacing w:line="360" w:lineRule="auto"/>
              <w:jc w:val="center"/>
            </w:pPr>
            <w:bookmarkStart w:id="1" w:name="_Hlk91664488"/>
            <w:r>
              <w:object>
                <v:shape id="_x0000_i1027" o:spt="75" type="#_x0000_t75" style="height:444pt;width:352.2pt;" o:ole="t" filled="f" o:preferrelative="t" stroked="f" coordsize="21600,21600">
                  <v:path/>
                  <v:fill on="f" focussize="0,0"/>
                  <v:stroke on="f" joinstyle="miter"/>
                  <v:imagedata r:id="rId13" o:title=""/>
                  <o:lock v:ext="edit" aspectratio="t"/>
                  <w10:wrap type="none"/>
                  <w10:anchorlock/>
                </v:shape>
                <o:OLEObject Type="Embed" ProgID="Visio.Drawing.11" ShapeID="_x0000_i1027" DrawAspect="Content" ObjectID="_1468075727" r:id="rId12">
                  <o:LockedField>false</o:LockedField>
                </o:OLEObject>
              </w:object>
            </w:r>
            <w:bookmarkEnd w:id="1"/>
          </w:p>
          <w:p>
            <w:pPr>
              <w:spacing w:line="360" w:lineRule="auto"/>
              <w:jc w:val="center"/>
              <w:rPr>
                <w:rFonts w:ascii="黑体" w:hAnsi="黑体" w:eastAsia="黑体"/>
                <w:snapToGrid w:val="0"/>
                <w:kern w:val="0"/>
                <w:sz w:val="24"/>
              </w:rPr>
            </w:pPr>
            <w:r>
              <w:rPr>
                <w:rFonts w:eastAsia="黑体"/>
                <w:snapToGrid w:val="0"/>
                <w:kern w:val="0"/>
                <w:sz w:val="24"/>
              </w:rPr>
              <mc:AlternateContent>
                <mc:Choice Requires="wps">
                  <w:drawing>
                    <wp:anchor distT="0" distB="0" distL="114300" distR="114300" simplePos="0" relativeHeight="251659264" behindDoc="0" locked="0" layoutInCell="1" allowOverlap="1">
                      <wp:simplePos x="0" y="0"/>
                      <wp:positionH relativeFrom="column">
                        <wp:posOffset>2834640</wp:posOffset>
                      </wp:positionH>
                      <wp:positionV relativeFrom="paragraph">
                        <wp:posOffset>7520305</wp:posOffset>
                      </wp:positionV>
                      <wp:extent cx="2021205" cy="271145"/>
                      <wp:effectExtent l="4445" t="4445" r="12700" b="10160"/>
                      <wp:wrapNone/>
                      <wp:docPr id="1" name="文本框 1"/>
                      <wp:cNvGraphicFramePr/>
                      <a:graphic xmlns:a="http://schemas.openxmlformats.org/drawingml/2006/main">
                        <a:graphicData uri="http://schemas.microsoft.com/office/word/2010/wordprocessingShape">
                          <wps:wsp>
                            <wps:cNvSpPr txBox="1"/>
                            <wps:spPr>
                              <a:xfrm>
                                <a:off x="3785235" y="8328660"/>
                                <a:ext cx="2021205" cy="27114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
                                    <w:rPr>
                                      <w:rFonts w:hint="eastAsia"/>
                                    </w:rPr>
                                    <w:t>图例：N噪声  G废气  W固废</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3.2pt;margin-top:592.15pt;height:21.35pt;width:159.15pt;z-index:251659264;mso-width-relative:page;mso-height-relative:page;" fillcolor="#FFFFFF [3201]" filled="t" stroked="t" coordsize="21600,21600" o:gfxdata="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AF+kGw2QAAAA0BAAAPAAAAAAAAAAEAIAAAACIAAABkcnMvZG93bnJldi54bWxQSwECFAAU&#10;AAAACACHTuJA4bUPh2ICAADDBAAADgAAAAAAAAABACAAAAAoAQAAZHJzL2Uyb0RvYy54bWxQSwUG&#10;AAAAAAYABgBZAQAA/AUAAAAA&#10;">
                      <v:fill on="t" focussize="0,0"/>
                      <v:stroke weight="0.5pt" color="#000000 [3204]" joinstyle="round"/>
                      <v:imagedata o:title=""/>
                      <o:lock v:ext="edit" aspectratio="f"/>
                      <v:textbox>
                        <w:txbxContent>
                          <w:p>
                            <w:r>
                              <w:rPr>
                                <w:rFonts w:hint="eastAsia"/>
                              </w:rPr>
                              <w:t>图例：N噪声  G废气  W固废</w:t>
                            </w:r>
                          </w:p>
                        </w:txbxContent>
                      </v:textbox>
                    </v:shape>
                  </w:pict>
                </mc:Fallback>
              </mc:AlternateContent>
            </w:r>
            <w:r>
              <w:rPr>
                <w:rFonts w:eastAsia="黑体"/>
                <w:snapToGrid w:val="0"/>
                <w:kern w:val="0"/>
                <w:sz w:val="24"/>
              </w:rPr>
              <w:t>图3  本项</w:t>
            </w:r>
            <w:r>
              <w:rPr>
                <w:rFonts w:hint="eastAsia" w:ascii="黑体" w:hAnsi="黑体" w:eastAsia="黑体"/>
                <w:snapToGrid w:val="0"/>
                <w:kern w:val="0"/>
                <w:sz w:val="24"/>
              </w:rPr>
              <w:t>目运营期工艺流程及产污环节图</w:t>
            </w:r>
          </w:p>
          <w:p>
            <w:pPr>
              <w:spacing w:line="440" w:lineRule="exact"/>
              <w:ind w:firstLine="482" w:firstLineChars="200"/>
              <w:rPr>
                <w:b/>
                <w:sz w:val="24"/>
              </w:rPr>
            </w:pPr>
            <w:r>
              <w:rPr>
                <w:b/>
                <w:sz w:val="24"/>
              </w:rPr>
              <w:t>工艺</w:t>
            </w:r>
            <w:r>
              <w:rPr>
                <w:rFonts w:hint="eastAsia"/>
                <w:b/>
                <w:sz w:val="24"/>
              </w:rPr>
              <w:t>流程</w:t>
            </w:r>
            <w:r>
              <w:rPr>
                <w:b/>
                <w:sz w:val="24"/>
              </w:rPr>
              <w:t>简述：</w:t>
            </w:r>
          </w:p>
          <w:p>
            <w:pPr>
              <w:autoSpaceDE w:val="0"/>
              <w:autoSpaceDN w:val="0"/>
              <w:adjustRightInd w:val="0"/>
              <w:snapToGrid w:val="0"/>
              <w:spacing w:line="440" w:lineRule="exact"/>
              <w:ind w:firstLine="480" w:firstLineChars="200"/>
              <w:rPr>
                <w:rFonts w:cs="宋体"/>
                <w:kern w:val="0"/>
                <w:sz w:val="24"/>
              </w:rPr>
            </w:pPr>
            <w:r>
              <w:rPr>
                <w:rFonts w:hint="eastAsia" w:cs="宋体"/>
                <w:kern w:val="0"/>
                <w:sz w:val="24"/>
              </w:rPr>
              <w:t>（1）原料入仓</w:t>
            </w:r>
            <w:r>
              <w:rPr>
                <w:rFonts w:cs="宋体"/>
                <w:kern w:val="0"/>
                <w:sz w:val="24"/>
              </w:rPr>
              <w:t>、分选</w:t>
            </w:r>
          </w:p>
          <w:p>
            <w:pPr>
              <w:autoSpaceDE w:val="0"/>
              <w:autoSpaceDN w:val="0"/>
              <w:adjustRightInd w:val="0"/>
              <w:snapToGrid w:val="0"/>
              <w:spacing w:line="440" w:lineRule="exact"/>
              <w:ind w:firstLine="480" w:firstLineChars="200"/>
              <w:rPr>
                <w:rFonts w:cs="宋体"/>
                <w:kern w:val="0"/>
                <w:sz w:val="24"/>
              </w:rPr>
            </w:pPr>
            <w:r>
              <w:rPr>
                <w:rFonts w:hint="eastAsia" w:cs="宋体"/>
                <w:kern w:val="0"/>
                <w:sz w:val="24"/>
              </w:rPr>
              <w:t>项目以姚孟电厂产生</w:t>
            </w:r>
            <w:r>
              <w:rPr>
                <w:rFonts w:cs="宋体"/>
                <w:kern w:val="0"/>
                <w:sz w:val="24"/>
              </w:rPr>
              <w:t>的</w:t>
            </w:r>
            <w:r>
              <w:rPr>
                <w:rFonts w:hint="eastAsia" w:cs="宋体"/>
                <w:kern w:val="0"/>
                <w:sz w:val="24"/>
              </w:rPr>
              <w:t>粉煤灰为原料</w:t>
            </w:r>
            <w:r>
              <w:rPr>
                <w:rFonts w:cs="宋体"/>
                <w:kern w:val="0"/>
                <w:sz w:val="24"/>
              </w:rPr>
              <w:t>，</w:t>
            </w:r>
            <w:r>
              <w:rPr>
                <w:rFonts w:hint="eastAsia" w:cs="宋体"/>
                <w:kern w:val="0"/>
                <w:sz w:val="24"/>
              </w:rPr>
              <w:t>经汽车</w:t>
            </w:r>
            <w:r>
              <w:rPr>
                <w:rFonts w:cs="宋体"/>
                <w:kern w:val="0"/>
                <w:sz w:val="24"/>
              </w:rPr>
              <w:t>散装</w:t>
            </w:r>
            <w:r>
              <w:rPr>
                <w:rFonts w:hint="eastAsia" w:cs="宋体"/>
                <w:kern w:val="0"/>
                <w:sz w:val="24"/>
              </w:rPr>
              <w:t>罐车运输至厂区，</w:t>
            </w:r>
            <w:r>
              <w:rPr>
                <w:rFonts w:hint="eastAsia"/>
                <w:sz w:val="24"/>
              </w:rPr>
              <w:t>由罐车通过密闭管道气力输送至原料仓内备用，原料仓</w:t>
            </w:r>
            <w:r>
              <w:rPr>
                <w:sz w:val="24"/>
              </w:rPr>
              <w:t>下设有稳定</w:t>
            </w:r>
            <w:r>
              <w:rPr>
                <w:rFonts w:hint="eastAsia"/>
                <w:sz w:val="24"/>
              </w:rPr>
              <w:t>给料螺旋</w:t>
            </w:r>
            <w:r>
              <w:rPr>
                <w:sz w:val="24"/>
              </w:rPr>
              <w:t>计量系统，</w:t>
            </w:r>
            <w:r>
              <w:rPr>
                <w:rFonts w:hint="eastAsia"/>
                <w:sz w:val="24"/>
              </w:rPr>
              <w:t>按</w:t>
            </w:r>
            <w:r>
              <w:rPr>
                <w:sz w:val="24"/>
              </w:rPr>
              <w:t>设定</w:t>
            </w:r>
            <w:r>
              <w:rPr>
                <w:rFonts w:hint="eastAsia"/>
                <w:sz w:val="24"/>
              </w:rPr>
              <w:t>量卸入</w:t>
            </w:r>
            <w:r>
              <w:rPr>
                <w:sz w:val="24"/>
              </w:rPr>
              <w:t>气</w:t>
            </w:r>
            <w:r>
              <w:rPr>
                <w:rFonts w:hint="eastAsia"/>
                <w:sz w:val="24"/>
              </w:rPr>
              <w:t>体</w:t>
            </w:r>
            <w:r>
              <w:rPr>
                <w:sz w:val="24"/>
              </w:rPr>
              <w:t>输送</w:t>
            </w:r>
            <w:r>
              <w:rPr>
                <w:rFonts w:hint="eastAsia"/>
                <w:sz w:val="24"/>
              </w:rPr>
              <w:t>斜槽，再经提升进入分选机进行粗细</w:t>
            </w:r>
            <w:r>
              <w:rPr>
                <w:sz w:val="24"/>
              </w:rPr>
              <w:t>分选</w:t>
            </w:r>
            <w:r>
              <w:rPr>
                <w:rFonts w:hint="eastAsia"/>
                <w:sz w:val="24"/>
              </w:rPr>
              <w:t>，该</w:t>
            </w:r>
            <w:r>
              <w:rPr>
                <w:sz w:val="24"/>
              </w:rPr>
              <w:t>分选机为全密闭式，采用</w:t>
            </w:r>
            <w:r>
              <w:rPr>
                <w:rFonts w:hint="eastAsia"/>
                <w:sz w:val="24"/>
              </w:rPr>
              <w:t>给料负压</w:t>
            </w:r>
            <w:r>
              <w:rPr>
                <w:sz w:val="24"/>
              </w:rPr>
              <w:t>闭路</w:t>
            </w:r>
            <w:r>
              <w:rPr>
                <w:rFonts w:hint="eastAsia"/>
                <w:sz w:val="24"/>
              </w:rPr>
              <w:t>循环</w:t>
            </w:r>
            <w:r>
              <w:rPr>
                <w:sz w:val="24"/>
              </w:rPr>
              <w:t>分选</w:t>
            </w:r>
            <w:r>
              <w:rPr>
                <w:rFonts w:hint="eastAsia"/>
                <w:sz w:val="24"/>
              </w:rPr>
              <w:t>系统</w:t>
            </w:r>
            <w:r>
              <w:rPr>
                <w:sz w:val="24"/>
              </w:rPr>
              <w:t>，</w:t>
            </w:r>
            <w:r>
              <w:rPr>
                <w:rFonts w:hint="eastAsia"/>
                <w:sz w:val="24"/>
              </w:rPr>
              <w:t>物料</w:t>
            </w:r>
            <w:r>
              <w:rPr>
                <w:sz w:val="24"/>
              </w:rPr>
              <w:t>灰在涡流离心</w:t>
            </w:r>
            <w:r>
              <w:rPr>
                <w:rFonts w:hint="eastAsia"/>
                <w:sz w:val="24"/>
              </w:rPr>
              <w:t>力的</w:t>
            </w:r>
            <w:r>
              <w:rPr>
                <w:sz w:val="24"/>
              </w:rPr>
              <w:t>作用下进行</w:t>
            </w:r>
            <w:r>
              <w:rPr>
                <w:rFonts w:hint="eastAsia"/>
                <w:sz w:val="24"/>
              </w:rPr>
              <w:t>粗细</w:t>
            </w:r>
            <w:r>
              <w:rPr>
                <w:sz w:val="24"/>
              </w:rPr>
              <w:t>灰分离</w:t>
            </w:r>
            <w:r>
              <w:rPr>
                <w:rFonts w:hint="eastAsia"/>
                <w:sz w:val="24"/>
              </w:rPr>
              <w:t>，分选后粒径</w:t>
            </w:r>
            <w:r>
              <w:rPr>
                <w:rFonts w:cs="宋体"/>
                <w:kern w:val="0"/>
                <w:sz w:val="24"/>
              </w:rPr>
              <w:t>&lt;</w:t>
            </w:r>
            <w:r>
              <w:rPr>
                <w:rFonts w:hint="eastAsia" w:cs="宋体"/>
                <w:kern w:val="0"/>
                <w:sz w:val="24"/>
              </w:rPr>
              <w:t>325目</w:t>
            </w:r>
            <w:r>
              <w:rPr>
                <w:sz w:val="24"/>
              </w:rPr>
              <w:t>的</w:t>
            </w:r>
            <w:r>
              <w:rPr>
                <w:rFonts w:hint="eastAsia"/>
                <w:sz w:val="24"/>
              </w:rPr>
              <w:t>粗</w:t>
            </w:r>
            <w:r>
              <w:rPr>
                <w:sz w:val="24"/>
              </w:rPr>
              <w:t>粉</w:t>
            </w:r>
            <w:r>
              <w:rPr>
                <w:rFonts w:hint="eastAsia"/>
                <w:sz w:val="24"/>
              </w:rPr>
              <w:t>物</w:t>
            </w:r>
            <w:r>
              <w:rPr>
                <w:rFonts w:hint="eastAsia" w:cs="宋体"/>
                <w:kern w:val="0"/>
                <w:sz w:val="24"/>
              </w:rPr>
              <w:t>料经气体</w:t>
            </w:r>
            <w:r>
              <w:rPr>
                <w:rFonts w:cs="宋体"/>
                <w:kern w:val="0"/>
                <w:sz w:val="24"/>
              </w:rPr>
              <w:t>输送</w:t>
            </w:r>
            <w:r>
              <w:rPr>
                <w:rFonts w:hint="eastAsia" w:cs="宋体"/>
                <w:kern w:val="0"/>
                <w:sz w:val="24"/>
              </w:rPr>
              <w:t>斜槽入高细管磨机；</w:t>
            </w:r>
            <w:r>
              <w:rPr>
                <w:rFonts w:cs="宋体"/>
                <w:kern w:val="0"/>
                <w:sz w:val="24"/>
              </w:rPr>
              <w:t>粒径</w:t>
            </w:r>
            <w:r>
              <w:rPr>
                <w:rFonts w:hint="eastAsia"/>
                <w:sz w:val="24"/>
              </w:rPr>
              <w:t>＞325目</w:t>
            </w:r>
            <w:r>
              <w:rPr>
                <w:rFonts w:cs="宋体"/>
                <w:kern w:val="0"/>
                <w:sz w:val="24"/>
              </w:rPr>
              <w:t>的</w:t>
            </w:r>
            <w:r>
              <w:rPr>
                <w:rFonts w:hint="eastAsia" w:cs="宋体"/>
                <w:kern w:val="0"/>
                <w:sz w:val="24"/>
              </w:rPr>
              <w:t>细灰在</w:t>
            </w:r>
            <w:r>
              <w:rPr>
                <w:rFonts w:cs="宋体"/>
                <w:kern w:val="0"/>
                <w:sz w:val="24"/>
              </w:rPr>
              <w:t>负压气流的作用下，通过</w:t>
            </w:r>
            <w:r>
              <w:rPr>
                <w:rFonts w:hint="eastAsia" w:cs="宋体"/>
                <w:kern w:val="0"/>
                <w:sz w:val="24"/>
              </w:rPr>
              <w:t>分选机</w:t>
            </w:r>
            <w:r>
              <w:rPr>
                <w:rFonts w:cs="宋体"/>
                <w:kern w:val="0"/>
                <w:sz w:val="24"/>
              </w:rPr>
              <w:t>两侧的出口蜗壳</w:t>
            </w:r>
            <w:r>
              <w:rPr>
                <w:rFonts w:hint="eastAsia" w:cs="宋体"/>
                <w:kern w:val="0"/>
                <w:sz w:val="24"/>
              </w:rPr>
              <w:t>经</w:t>
            </w:r>
            <w:r>
              <w:rPr>
                <w:rFonts w:cs="宋体"/>
                <w:kern w:val="0"/>
                <w:sz w:val="24"/>
              </w:rPr>
              <w:t>提升机进入成品库</w:t>
            </w:r>
            <w:r>
              <w:rPr>
                <w:rFonts w:hint="eastAsia" w:cs="宋体"/>
                <w:kern w:val="0"/>
                <w:sz w:val="24"/>
              </w:rPr>
              <w:t>。</w:t>
            </w:r>
          </w:p>
          <w:p>
            <w:pPr>
              <w:autoSpaceDE w:val="0"/>
              <w:autoSpaceDN w:val="0"/>
              <w:adjustRightInd w:val="0"/>
              <w:snapToGrid w:val="0"/>
              <w:spacing w:line="440" w:lineRule="exact"/>
              <w:ind w:firstLine="480" w:firstLineChars="200"/>
              <w:rPr>
                <w:rFonts w:cs="宋体"/>
                <w:kern w:val="0"/>
                <w:sz w:val="24"/>
              </w:rPr>
            </w:pPr>
            <w:r>
              <w:rPr>
                <w:rFonts w:hint="eastAsia" w:cs="宋体"/>
                <w:kern w:val="0"/>
                <w:sz w:val="24"/>
              </w:rPr>
              <w:t>（2）</w:t>
            </w:r>
            <w:r>
              <w:rPr>
                <w:rFonts w:cs="宋体"/>
                <w:kern w:val="0"/>
                <w:sz w:val="24"/>
              </w:rPr>
              <w:t>物料</w:t>
            </w:r>
            <w:r>
              <w:rPr>
                <w:rFonts w:hint="eastAsia" w:cs="宋体"/>
                <w:kern w:val="0"/>
                <w:sz w:val="24"/>
              </w:rPr>
              <w:t>研磨</w:t>
            </w:r>
          </w:p>
          <w:p>
            <w:pPr>
              <w:autoSpaceDE w:val="0"/>
              <w:autoSpaceDN w:val="0"/>
              <w:adjustRightInd w:val="0"/>
              <w:snapToGrid w:val="0"/>
              <w:spacing w:line="440" w:lineRule="exact"/>
              <w:ind w:firstLine="480" w:firstLineChars="200"/>
              <w:rPr>
                <w:rFonts w:cs="宋体"/>
                <w:kern w:val="0"/>
                <w:sz w:val="24"/>
              </w:rPr>
            </w:pPr>
            <w:r>
              <w:rPr>
                <w:rFonts w:hint="eastAsia" w:cs="宋体"/>
                <w:kern w:val="0"/>
                <w:sz w:val="24"/>
              </w:rPr>
              <w:t>分选</w:t>
            </w:r>
            <w:r>
              <w:rPr>
                <w:rFonts w:cs="宋体"/>
                <w:kern w:val="0"/>
                <w:sz w:val="24"/>
              </w:rPr>
              <w:t>后粒径&lt;</w:t>
            </w:r>
            <w:r>
              <w:rPr>
                <w:rFonts w:hint="eastAsia" w:cs="宋体"/>
                <w:kern w:val="0"/>
                <w:sz w:val="24"/>
              </w:rPr>
              <w:t>325</w:t>
            </w:r>
            <w:r>
              <w:rPr>
                <w:rFonts w:hint="eastAsia" w:ascii="宋体" w:hAnsi="宋体"/>
                <w:sz w:val="24"/>
              </w:rPr>
              <w:t>目</w:t>
            </w:r>
            <w:r>
              <w:rPr>
                <w:rFonts w:ascii="宋体" w:hAnsi="宋体"/>
                <w:sz w:val="24"/>
              </w:rPr>
              <w:t>的</w:t>
            </w:r>
            <w:r>
              <w:rPr>
                <w:rFonts w:hint="eastAsia" w:ascii="宋体" w:hAnsi="宋体"/>
                <w:sz w:val="24"/>
              </w:rPr>
              <w:t>物料</w:t>
            </w:r>
            <w:r>
              <w:rPr>
                <w:rFonts w:hint="eastAsia" w:ascii="宋体" w:hAnsi="宋体"/>
                <w:b/>
                <w:sz w:val="24"/>
                <w:u w:val="single"/>
              </w:rPr>
              <w:t>经气体</w:t>
            </w:r>
            <w:r>
              <w:rPr>
                <w:rFonts w:ascii="宋体" w:hAnsi="宋体"/>
                <w:b/>
                <w:sz w:val="24"/>
                <w:u w:val="single"/>
              </w:rPr>
              <w:t>输送斜槽</w:t>
            </w:r>
            <w:r>
              <w:rPr>
                <w:rFonts w:hint="eastAsia" w:ascii="宋体" w:hAnsi="宋体"/>
                <w:sz w:val="24"/>
              </w:rPr>
              <w:t>入高细管磨机进行</w:t>
            </w:r>
            <w:r>
              <w:rPr>
                <w:rFonts w:ascii="宋体" w:hAnsi="宋体"/>
                <w:sz w:val="24"/>
              </w:rPr>
              <w:t>粉磨，粉磨出口的物料</w:t>
            </w:r>
            <w:r>
              <w:rPr>
                <w:rFonts w:hint="eastAsia" w:ascii="宋体" w:hAnsi="宋体"/>
                <w:sz w:val="24"/>
              </w:rPr>
              <w:t>再</w:t>
            </w:r>
            <w:r>
              <w:rPr>
                <w:rFonts w:ascii="宋体" w:hAnsi="宋体"/>
                <w:sz w:val="24"/>
              </w:rPr>
              <w:t>通过气体输送</w:t>
            </w:r>
            <w:r>
              <w:rPr>
                <w:rFonts w:hint="eastAsia" w:ascii="宋体" w:hAnsi="宋体"/>
                <w:sz w:val="24"/>
              </w:rPr>
              <w:t>斜槽</w:t>
            </w:r>
            <w:r>
              <w:rPr>
                <w:rFonts w:ascii="宋体" w:hAnsi="宋体"/>
                <w:sz w:val="24"/>
              </w:rPr>
              <w:t>回流</w:t>
            </w:r>
            <w:r>
              <w:rPr>
                <w:rFonts w:hint="eastAsia" w:ascii="宋体" w:hAnsi="宋体"/>
                <w:sz w:val="24"/>
              </w:rPr>
              <w:t>至</w:t>
            </w:r>
            <w:r>
              <w:rPr>
                <w:rFonts w:ascii="宋体" w:hAnsi="宋体"/>
                <w:sz w:val="24"/>
              </w:rPr>
              <w:t>分选机</w:t>
            </w:r>
            <w:r>
              <w:rPr>
                <w:rFonts w:hint="eastAsia" w:ascii="宋体" w:hAnsi="宋体"/>
                <w:sz w:val="24"/>
              </w:rPr>
              <w:t>再次</w:t>
            </w:r>
            <w:r>
              <w:rPr>
                <w:rFonts w:ascii="宋体" w:hAnsi="宋体"/>
                <w:sz w:val="24"/>
              </w:rPr>
              <w:t>分选，</w:t>
            </w:r>
            <w:r>
              <w:rPr>
                <w:rFonts w:hint="eastAsia"/>
                <w:sz w:val="24"/>
              </w:rPr>
              <w:t>分离</w:t>
            </w:r>
            <w:r>
              <w:rPr>
                <w:sz w:val="24"/>
              </w:rPr>
              <w:t>后</w:t>
            </w:r>
            <w:r>
              <w:rPr>
                <w:rFonts w:hint="eastAsia"/>
                <w:sz w:val="24"/>
              </w:rPr>
              <w:t>粒径</w:t>
            </w:r>
            <w:r>
              <w:rPr>
                <w:rFonts w:cs="宋体"/>
                <w:kern w:val="0"/>
                <w:sz w:val="24"/>
              </w:rPr>
              <w:t>&gt;</w:t>
            </w:r>
            <w:r>
              <w:rPr>
                <w:rFonts w:hint="eastAsia" w:ascii="宋体" w:hAnsi="宋体"/>
                <w:sz w:val="24"/>
              </w:rPr>
              <w:t>325目</w:t>
            </w:r>
            <w:r>
              <w:rPr>
                <w:rFonts w:ascii="宋体" w:hAnsi="宋体"/>
                <w:sz w:val="24"/>
              </w:rPr>
              <w:t>的</w:t>
            </w:r>
            <w:r>
              <w:rPr>
                <w:rFonts w:hint="eastAsia" w:ascii="宋体" w:hAnsi="宋体"/>
                <w:sz w:val="24"/>
              </w:rPr>
              <w:t>物料入产品仓储存。</w:t>
            </w:r>
          </w:p>
          <w:p>
            <w:pPr>
              <w:autoSpaceDE w:val="0"/>
              <w:autoSpaceDN w:val="0"/>
              <w:adjustRightInd w:val="0"/>
              <w:snapToGrid w:val="0"/>
              <w:spacing w:line="440" w:lineRule="exact"/>
              <w:ind w:firstLine="480" w:firstLineChars="200"/>
              <w:rPr>
                <w:rFonts w:cs="宋体"/>
                <w:kern w:val="0"/>
                <w:sz w:val="24"/>
              </w:rPr>
            </w:pPr>
            <w:r>
              <w:rPr>
                <w:rFonts w:hint="eastAsia" w:cs="宋体"/>
                <w:kern w:val="0"/>
                <w:sz w:val="24"/>
              </w:rPr>
              <w:t>（3）粉料</w:t>
            </w:r>
            <w:r>
              <w:rPr>
                <w:rFonts w:cs="宋体"/>
                <w:kern w:val="0"/>
                <w:sz w:val="24"/>
              </w:rPr>
              <w:t>储存、散装机输送</w:t>
            </w:r>
          </w:p>
          <w:p>
            <w:pPr>
              <w:autoSpaceDE w:val="0"/>
              <w:autoSpaceDN w:val="0"/>
              <w:adjustRightInd w:val="0"/>
              <w:snapToGrid w:val="0"/>
              <w:spacing w:line="440" w:lineRule="exact"/>
              <w:ind w:firstLine="480" w:firstLineChars="200"/>
              <w:rPr>
                <w:b/>
                <w:bCs/>
                <w:sz w:val="24"/>
                <w:szCs w:val="32"/>
                <w:u w:val="single"/>
              </w:rPr>
            </w:pPr>
            <w:r>
              <w:rPr>
                <w:rFonts w:hint="eastAsia" w:cs="宋体"/>
                <w:kern w:val="0"/>
                <w:sz w:val="24"/>
              </w:rPr>
              <w:t>产品</w:t>
            </w:r>
            <w:r>
              <w:rPr>
                <w:rFonts w:cs="宋体"/>
                <w:kern w:val="0"/>
                <w:sz w:val="24"/>
              </w:rPr>
              <w:t>固废粉末储存设1</w:t>
            </w:r>
            <w:r>
              <w:rPr>
                <w:rFonts w:hint="eastAsia" w:cs="宋体"/>
                <w:kern w:val="0"/>
                <w:sz w:val="24"/>
              </w:rPr>
              <w:t>个</w:t>
            </w:r>
            <w:r>
              <w:rPr>
                <w:spacing w:val="6"/>
                <w:sz w:val="24"/>
              </w:rPr>
              <w:t>Φ7</w:t>
            </w:r>
            <w:r>
              <w:rPr>
                <w:rFonts w:hint="eastAsia"/>
                <w:spacing w:val="6"/>
                <w:sz w:val="24"/>
              </w:rPr>
              <w:t>×</w:t>
            </w:r>
            <w:r>
              <w:rPr>
                <w:spacing w:val="6"/>
                <w:sz w:val="24"/>
              </w:rPr>
              <w:t>20m</w:t>
            </w:r>
            <w:r>
              <w:rPr>
                <w:rFonts w:hint="eastAsia"/>
                <w:spacing w:val="6"/>
                <w:sz w:val="24"/>
              </w:rPr>
              <w:t>的</w:t>
            </w:r>
            <w:r>
              <w:rPr>
                <w:spacing w:val="6"/>
                <w:sz w:val="24"/>
              </w:rPr>
              <w:t>圆</w:t>
            </w:r>
            <w:r>
              <w:rPr>
                <w:rFonts w:hint="eastAsia"/>
                <w:spacing w:val="6"/>
                <w:sz w:val="24"/>
              </w:rPr>
              <w:t>仓</w:t>
            </w:r>
            <w:r>
              <w:rPr>
                <w:spacing w:val="6"/>
                <w:sz w:val="24"/>
              </w:rPr>
              <w:t>，储存量为</w:t>
            </w:r>
            <w:r>
              <w:rPr>
                <w:rFonts w:hint="eastAsia"/>
                <w:spacing w:val="6"/>
                <w:sz w:val="24"/>
              </w:rPr>
              <w:t>400</w:t>
            </w:r>
            <w:r>
              <w:rPr>
                <w:spacing w:val="6"/>
                <w:sz w:val="24"/>
              </w:rPr>
              <w:t>t，</w:t>
            </w:r>
            <w:r>
              <w:rPr>
                <w:rFonts w:hint="eastAsia"/>
                <w:spacing w:val="6"/>
                <w:sz w:val="24"/>
              </w:rPr>
              <w:t>出库</w:t>
            </w:r>
            <w:r>
              <w:rPr>
                <w:spacing w:val="6"/>
                <w:sz w:val="24"/>
              </w:rPr>
              <w:t>物料经库底充气</w:t>
            </w:r>
            <w:r>
              <w:rPr>
                <w:rFonts w:hint="eastAsia"/>
                <w:spacing w:val="6"/>
                <w:sz w:val="24"/>
              </w:rPr>
              <w:t>螺旋闸、</w:t>
            </w:r>
            <w:r>
              <w:rPr>
                <w:spacing w:val="6"/>
                <w:sz w:val="24"/>
              </w:rPr>
              <w:t>流量</w:t>
            </w:r>
            <w:r>
              <w:rPr>
                <w:rFonts w:hint="eastAsia"/>
                <w:spacing w:val="6"/>
                <w:sz w:val="24"/>
              </w:rPr>
              <w:t>控制阀</w:t>
            </w:r>
            <w:r>
              <w:rPr>
                <w:spacing w:val="6"/>
                <w:sz w:val="24"/>
              </w:rPr>
              <w:t>、空气输送斜槽至</w:t>
            </w:r>
            <w:r>
              <w:rPr>
                <w:rFonts w:hint="eastAsia"/>
                <w:spacing w:val="6"/>
                <w:sz w:val="24"/>
              </w:rPr>
              <w:t>散装机</w:t>
            </w:r>
            <w:r>
              <w:rPr>
                <w:spacing w:val="6"/>
                <w:sz w:val="24"/>
              </w:rPr>
              <w:t>入散装</w:t>
            </w:r>
            <w:r>
              <w:rPr>
                <w:rFonts w:hint="eastAsia"/>
                <w:spacing w:val="6"/>
                <w:sz w:val="24"/>
              </w:rPr>
              <w:t>罐</w:t>
            </w:r>
            <w:r>
              <w:rPr>
                <w:spacing w:val="6"/>
                <w:sz w:val="24"/>
              </w:rPr>
              <w:t>车。</w:t>
            </w:r>
          </w:p>
          <w:p>
            <w:pPr>
              <w:autoSpaceDE w:val="0"/>
              <w:autoSpaceDN w:val="0"/>
              <w:adjustRightInd w:val="0"/>
              <w:snapToGrid w:val="0"/>
              <w:spacing w:line="440" w:lineRule="exact"/>
              <w:ind w:firstLine="482" w:firstLineChars="200"/>
              <w:rPr>
                <w:rFonts w:cs="宋体"/>
                <w:b/>
                <w:bCs/>
                <w:kern w:val="0"/>
                <w:sz w:val="24"/>
              </w:rPr>
            </w:pPr>
            <w:r>
              <w:rPr>
                <w:rFonts w:cs="宋体"/>
                <w:b/>
                <w:bCs/>
                <w:kern w:val="0"/>
                <w:sz w:val="24"/>
              </w:rPr>
              <w:t>2</w:t>
            </w:r>
            <w:r>
              <w:rPr>
                <w:rFonts w:hint="eastAsia" w:cs="宋体"/>
                <w:b/>
                <w:bCs/>
                <w:kern w:val="0"/>
                <w:sz w:val="24"/>
              </w:rPr>
              <w:t>、产排污环节</w:t>
            </w:r>
          </w:p>
          <w:p>
            <w:pPr>
              <w:autoSpaceDE w:val="0"/>
              <w:autoSpaceDN w:val="0"/>
              <w:adjustRightInd w:val="0"/>
              <w:snapToGrid w:val="0"/>
              <w:spacing w:line="440" w:lineRule="exact"/>
              <w:ind w:firstLine="480" w:firstLineChars="200"/>
              <w:rPr>
                <w:rFonts w:cs="宋体"/>
                <w:kern w:val="0"/>
                <w:sz w:val="24"/>
              </w:rPr>
            </w:pPr>
            <w:r>
              <w:rPr>
                <w:rFonts w:hint="eastAsia" w:cs="宋体"/>
                <w:kern w:val="0"/>
                <w:sz w:val="24"/>
              </w:rPr>
              <w:t>本项目产生的污染物主要为废气、废水、固废、噪声，具体产污工序见表</w:t>
            </w:r>
            <w:r>
              <w:rPr>
                <w:rFonts w:cs="宋体"/>
                <w:kern w:val="0"/>
                <w:sz w:val="24"/>
              </w:rPr>
              <w:t>15</w:t>
            </w:r>
            <w:r>
              <w:rPr>
                <w:rFonts w:hint="eastAsia" w:cs="宋体"/>
                <w:kern w:val="0"/>
                <w:sz w:val="24"/>
              </w:rPr>
              <w:t>。</w:t>
            </w:r>
          </w:p>
          <w:p>
            <w:pPr>
              <w:autoSpaceDE w:val="0"/>
              <w:autoSpaceDN w:val="0"/>
              <w:adjustRightInd w:val="0"/>
              <w:snapToGrid w:val="0"/>
              <w:spacing w:line="400" w:lineRule="exact"/>
              <w:ind w:firstLine="960" w:firstLineChars="400"/>
              <w:rPr>
                <w:rFonts w:eastAsia="黑体"/>
                <w:sz w:val="24"/>
                <w:szCs w:val="22"/>
              </w:rPr>
            </w:pPr>
            <w:r>
              <w:rPr>
                <w:rFonts w:hint="eastAsia" w:eastAsia="黑体"/>
                <w:sz w:val="24"/>
                <w:szCs w:val="22"/>
              </w:rPr>
              <w:t>表</w:t>
            </w:r>
            <w:r>
              <w:rPr>
                <w:rFonts w:eastAsia="黑体"/>
                <w:sz w:val="24"/>
                <w:szCs w:val="22"/>
              </w:rPr>
              <w:t>15</w:t>
            </w:r>
            <w:r>
              <w:rPr>
                <w:rFonts w:hint="eastAsia" w:eastAsia="黑体"/>
                <w:sz w:val="24"/>
                <w:szCs w:val="22"/>
              </w:rPr>
              <w:t xml:space="preserve">  </w:t>
            </w:r>
            <w:r>
              <w:rPr>
                <w:rFonts w:eastAsia="黑体"/>
                <w:sz w:val="24"/>
                <w:szCs w:val="22"/>
              </w:rPr>
              <w:t xml:space="preserve">     </w:t>
            </w:r>
            <w:r>
              <w:rPr>
                <w:rFonts w:hint="eastAsia" w:eastAsia="黑体"/>
                <w:sz w:val="24"/>
                <w:szCs w:val="22"/>
              </w:rPr>
              <w:t xml:space="preserve">  本项目主要污染工序一览表</w:t>
            </w:r>
          </w:p>
          <w:tbl>
            <w:tblPr>
              <w:tblStyle w:val="23"/>
              <w:tblW w:w="7935" w:type="dxa"/>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57" w:type="dxa"/>
                <w:bottom w:w="0" w:type="dxa"/>
                <w:right w:w="57" w:type="dxa"/>
              </w:tblCellMar>
            </w:tblPr>
            <w:tblGrid>
              <w:gridCol w:w="851"/>
              <w:gridCol w:w="946"/>
              <w:gridCol w:w="3623"/>
              <w:gridCol w:w="2515"/>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454" w:hRule="atLeast"/>
              </w:trPr>
              <w:tc>
                <w:tcPr>
                  <w:tcW w:w="851" w:type="dxa"/>
                  <w:vAlign w:val="center"/>
                </w:tcPr>
                <w:p>
                  <w:pPr>
                    <w:autoSpaceDE w:val="0"/>
                    <w:autoSpaceDN w:val="0"/>
                    <w:adjustRightInd w:val="0"/>
                    <w:snapToGrid w:val="0"/>
                    <w:jc w:val="center"/>
                    <w:rPr>
                      <w:rFonts w:eastAsiaTheme="minorEastAsia"/>
                      <w:b/>
                      <w:bCs/>
                      <w:kern w:val="0"/>
                      <w:szCs w:val="21"/>
                    </w:rPr>
                  </w:pPr>
                  <w:r>
                    <w:rPr>
                      <w:rFonts w:eastAsiaTheme="minorEastAsia"/>
                      <w:b/>
                      <w:bCs/>
                      <w:kern w:val="0"/>
                      <w:szCs w:val="21"/>
                    </w:rPr>
                    <w:t>阶段</w:t>
                  </w:r>
                </w:p>
              </w:tc>
              <w:tc>
                <w:tcPr>
                  <w:tcW w:w="946" w:type="dxa"/>
                  <w:vAlign w:val="center"/>
                </w:tcPr>
                <w:p>
                  <w:pPr>
                    <w:autoSpaceDE w:val="0"/>
                    <w:autoSpaceDN w:val="0"/>
                    <w:adjustRightInd w:val="0"/>
                    <w:snapToGrid w:val="0"/>
                    <w:jc w:val="center"/>
                    <w:rPr>
                      <w:rFonts w:eastAsiaTheme="minorEastAsia"/>
                      <w:b/>
                      <w:bCs/>
                      <w:kern w:val="0"/>
                      <w:szCs w:val="21"/>
                    </w:rPr>
                  </w:pPr>
                  <w:r>
                    <w:rPr>
                      <w:rFonts w:eastAsiaTheme="minorEastAsia"/>
                      <w:b/>
                      <w:bCs/>
                      <w:kern w:val="0"/>
                      <w:szCs w:val="21"/>
                    </w:rPr>
                    <w:t>项目</w:t>
                  </w:r>
                </w:p>
              </w:tc>
              <w:tc>
                <w:tcPr>
                  <w:tcW w:w="3623" w:type="dxa"/>
                  <w:vAlign w:val="center"/>
                </w:tcPr>
                <w:p>
                  <w:pPr>
                    <w:autoSpaceDE w:val="0"/>
                    <w:autoSpaceDN w:val="0"/>
                    <w:adjustRightInd w:val="0"/>
                    <w:snapToGrid w:val="0"/>
                    <w:jc w:val="center"/>
                    <w:rPr>
                      <w:rFonts w:eastAsiaTheme="minorEastAsia"/>
                      <w:b/>
                      <w:bCs/>
                      <w:kern w:val="0"/>
                      <w:szCs w:val="21"/>
                    </w:rPr>
                  </w:pPr>
                  <w:r>
                    <w:rPr>
                      <w:rFonts w:eastAsiaTheme="minorEastAsia"/>
                      <w:b/>
                      <w:bCs/>
                      <w:kern w:val="0"/>
                      <w:szCs w:val="21"/>
                    </w:rPr>
                    <w:t>产物环节</w:t>
                  </w:r>
                </w:p>
              </w:tc>
              <w:tc>
                <w:tcPr>
                  <w:tcW w:w="2515" w:type="dxa"/>
                  <w:vAlign w:val="center"/>
                </w:tcPr>
                <w:p>
                  <w:pPr>
                    <w:autoSpaceDE w:val="0"/>
                    <w:autoSpaceDN w:val="0"/>
                    <w:adjustRightInd w:val="0"/>
                    <w:snapToGrid w:val="0"/>
                    <w:jc w:val="center"/>
                    <w:rPr>
                      <w:rFonts w:eastAsiaTheme="minorEastAsia"/>
                      <w:b/>
                      <w:bCs/>
                      <w:kern w:val="0"/>
                      <w:szCs w:val="21"/>
                    </w:rPr>
                  </w:pPr>
                  <w:r>
                    <w:rPr>
                      <w:rFonts w:eastAsiaTheme="minorEastAsia"/>
                      <w:b/>
                      <w:bCs/>
                      <w:kern w:val="0"/>
                      <w:szCs w:val="21"/>
                    </w:rPr>
                    <w:t>主要污染物</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454" w:hRule="atLeast"/>
              </w:trPr>
              <w:tc>
                <w:tcPr>
                  <w:tcW w:w="851" w:type="dxa"/>
                  <w:vMerge w:val="restart"/>
                  <w:vAlign w:val="center"/>
                </w:tcPr>
                <w:p>
                  <w:pPr>
                    <w:autoSpaceDE w:val="0"/>
                    <w:autoSpaceDN w:val="0"/>
                    <w:adjustRightInd w:val="0"/>
                    <w:snapToGrid w:val="0"/>
                    <w:jc w:val="center"/>
                    <w:rPr>
                      <w:rFonts w:eastAsiaTheme="minorEastAsia"/>
                      <w:bCs/>
                      <w:kern w:val="0"/>
                      <w:szCs w:val="21"/>
                    </w:rPr>
                  </w:pPr>
                  <w:r>
                    <w:rPr>
                      <w:rFonts w:eastAsiaTheme="minorEastAsia"/>
                      <w:bCs/>
                      <w:kern w:val="0"/>
                      <w:szCs w:val="21"/>
                    </w:rPr>
                    <w:t>施工期</w:t>
                  </w:r>
                </w:p>
              </w:tc>
              <w:tc>
                <w:tcPr>
                  <w:tcW w:w="946" w:type="dxa"/>
                  <w:vAlign w:val="center"/>
                </w:tcPr>
                <w:p>
                  <w:pPr>
                    <w:autoSpaceDE w:val="0"/>
                    <w:autoSpaceDN w:val="0"/>
                    <w:adjustRightInd w:val="0"/>
                    <w:snapToGrid w:val="0"/>
                    <w:jc w:val="center"/>
                    <w:rPr>
                      <w:rFonts w:eastAsiaTheme="minorEastAsia"/>
                      <w:bCs/>
                      <w:kern w:val="0"/>
                      <w:szCs w:val="21"/>
                    </w:rPr>
                  </w:pPr>
                  <w:r>
                    <w:rPr>
                      <w:rFonts w:eastAsiaTheme="minorEastAsia"/>
                      <w:bCs/>
                      <w:kern w:val="0"/>
                      <w:szCs w:val="21"/>
                    </w:rPr>
                    <w:t>废气</w:t>
                  </w:r>
                </w:p>
              </w:tc>
              <w:tc>
                <w:tcPr>
                  <w:tcW w:w="3623" w:type="dxa"/>
                  <w:vAlign w:val="center"/>
                </w:tcPr>
                <w:p>
                  <w:pPr>
                    <w:autoSpaceDE w:val="0"/>
                    <w:autoSpaceDN w:val="0"/>
                    <w:adjustRightInd w:val="0"/>
                    <w:snapToGrid w:val="0"/>
                    <w:jc w:val="center"/>
                    <w:rPr>
                      <w:rFonts w:eastAsiaTheme="minorEastAsia"/>
                      <w:bCs/>
                      <w:kern w:val="0"/>
                      <w:szCs w:val="21"/>
                    </w:rPr>
                  </w:pPr>
                  <w:r>
                    <w:rPr>
                      <w:rFonts w:eastAsiaTheme="minorEastAsia"/>
                      <w:bCs/>
                      <w:kern w:val="0"/>
                      <w:szCs w:val="21"/>
                    </w:rPr>
                    <w:t>建筑施工、物料运输等</w:t>
                  </w:r>
                </w:p>
              </w:tc>
              <w:tc>
                <w:tcPr>
                  <w:tcW w:w="2515" w:type="dxa"/>
                  <w:vAlign w:val="center"/>
                </w:tcPr>
                <w:p>
                  <w:pPr>
                    <w:autoSpaceDE w:val="0"/>
                    <w:autoSpaceDN w:val="0"/>
                    <w:adjustRightInd w:val="0"/>
                    <w:snapToGrid w:val="0"/>
                    <w:jc w:val="center"/>
                    <w:rPr>
                      <w:rFonts w:eastAsiaTheme="minorEastAsia"/>
                      <w:bCs/>
                      <w:kern w:val="0"/>
                      <w:szCs w:val="21"/>
                    </w:rPr>
                  </w:pPr>
                  <w:r>
                    <w:rPr>
                      <w:rFonts w:eastAsiaTheme="minorEastAsia"/>
                      <w:bCs/>
                      <w:kern w:val="0"/>
                      <w:szCs w:val="21"/>
                    </w:rPr>
                    <w:t>颗粒物</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454" w:hRule="atLeast"/>
              </w:trPr>
              <w:tc>
                <w:tcPr>
                  <w:tcW w:w="851" w:type="dxa"/>
                  <w:vMerge w:val="continue"/>
                  <w:vAlign w:val="center"/>
                </w:tcPr>
                <w:p>
                  <w:pPr>
                    <w:autoSpaceDE w:val="0"/>
                    <w:autoSpaceDN w:val="0"/>
                    <w:adjustRightInd w:val="0"/>
                    <w:snapToGrid w:val="0"/>
                    <w:jc w:val="center"/>
                    <w:rPr>
                      <w:rFonts w:eastAsiaTheme="minorEastAsia"/>
                      <w:b/>
                      <w:kern w:val="0"/>
                      <w:szCs w:val="21"/>
                    </w:rPr>
                  </w:pPr>
                </w:p>
              </w:tc>
              <w:tc>
                <w:tcPr>
                  <w:tcW w:w="946" w:type="dxa"/>
                  <w:vMerge w:val="restart"/>
                  <w:vAlign w:val="center"/>
                </w:tcPr>
                <w:p>
                  <w:pPr>
                    <w:autoSpaceDE w:val="0"/>
                    <w:autoSpaceDN w:val="0"/>
                    <w:adjustRightInd w:val="0"/>
                    <w:snapToGrid w:val="0"/>
                    <w:jc w:val="center"/>
                    <w:rPr>
                      <w:rFonts w:eastAsiaTheme="minorEastAsia"/>
                      <w:bCs/>
                      <w:kern w:val="0"/>
                      <w:szCs w:val="21"/>
                    </w:rPr>
                  </w:pPr>
                  <w:r>
                    <w:rPr>
                      <w:rFonts w:eastAsiaTheme="minorEastAsia"/>
                      <w:bCs/>
                      <w:kern w:val="0"/>
                      <w:szCs w:val="21"/>
                    </w:rPr>
                    <w:t>废水</w:t>
                  </w:r>
                </w:p>
              </w:tc>
              <w:tc>
                <w:tcPr>
                  <w:tcW w:w="3623" w:type="dxa"/>
                  <w:vAlign w:val="center"/>
                </w:tcPr>
                <w:p>
                  <w:pPr>
                    <w:autoSpaceDE w:val="0"/>
                    <w:autoSpaceDN w:val="0"/>
                    <w:adjustRightInd w:val="0"/>
                    <w:snapToGrid w:val="0"/>
                    <w:jc w:val="center"/>
                    <w:rPr>
                      <w:rFonts w:eastAsiaTheme="minorEastAsia"/>
                      <w:bCs/>
                      <w:kern w:val="0"/>
                      <w:szCs w:val="21"/>
                    </w:rPr>
                  </w:pPr>
                  <w:r>
                    <w:rPr>
                      <w:rFonts w:eastAsiaTheme="minorEastAsia"/>
                      <w:bCs/>
                      <w:kern w:val="0"/>
                      <w:szCs w:val="21"/>
                    </w:rPr>
                    <w:t>车辆冲洗水等施工废水</w:t>
                  </w:r>
                </w:p>
              </w:tc>
              <w:tc>
                <w:tcPr>
                  <w:tcW w:w="2515" w:type="dxa"/>
                  <w:vAlign w:val="center"/>
                </w:tcPr>
                <w:p>
                  <w:pPr>
                    <w:autoSpaceDE w:val="0"/>
                    <w:autoSpaceDN w:val="0"/>
                    <w:adjustRightInd w:val="0"/>
                    <w:snapToGrid w:val="0"/>
                    <w:jc w:val="center"/>
                    <w:rPr>
                      <w:rFonts w:eastAsiaTheme="minorEastAsia"/>
                      <w:bCs/>
                      <w:kern w:val="0"/>
                      <w:szCs w:val="21"/>
                    </w:rPr>
                  </w:pPr>
                  <w:r>
                    <w:rPr>
                      <w:rFonts w:eastAsiaTheme="minorEastAsia"/>
                      <w:bCs/>
                      <w:kern w:val="0"/>
                      <w:szCs w:val="21"/>
                    </w:rPr>
                    <w:t>SS</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454" w:hRule="atLeast"/>
              </w:trPr>
              <w:tc>
                <w:tcPr>
                  <w:tcW w:w="851" w:type="dxa"/>
                  <w:vMerge w:val="continue"/>
                  <w:vAlign w:val="center"/>
                </w:tcPr>
                <w:p>
                  <w:pPr>
                    <w:autoSpaceDE w:val="0"/>
                    <w:autoSpaceDN w:val="0"/>
                    <w:adjustRightInd w:val="0"/>
                    <w:snapToGrid w:val="0"/>
                    <w:jc w:val="center"/>
                    <w:rPr>
                      <w:rFonts w:eastAsiaTheme="minorEastAsia"/>
                      <w:b/>
                      <w:kern w:val="0"/>
                      <w:szCs w:val="21"/>
                    </w:rPr>
                  </w:pPr>
                </w:p>
              </w:tc>
              <w:tc>
                <w:tcPr>
                  <w:tcW w:w="946" w:type="dxa"/>
                  <w:vMerge w:val="continue"/>
                  <w:vAlign w:val="center"/>
                </w:tcPr>
                <w:p>
                  <w:pPr>
                    <w:autoSpaceDE w:val="0"/>
                    <w:autoSpaceDN w:val="0"/>
                    <w:adjustRightInd w:val="0"/>
                    <w:snapToGrid w:val="0"/>
                    <w:jc w:val="center"/>
                    <w:rPr>
                      <w:rFonts w:eastAsiaTheme="minorEastAsia"/>
                      <w:bCs/>
                      <w:kern w:val="0"/>
                      <w:szCs w:val="21"/>
                    </w:rPr>
                  </w:pPr>
                </w:p>
              </w:tc>
              <w:tc>
                <w:tcPr>
                  <w:tcW w:w="3623" w:type="dxa"/>
                  <w:vAlign w:val="center"/>
                </w:tcPr>
                <w:p>
                  <w:pPr>
                    <w:autoSpaceDE w:val="0"/>
                    <w:autoSpaceDN w:val="0"/>
                    <w:adjustRightInd w:val="0"/>
                    <w:snapToGrid w:val="0"/>
                    <w:jc w:val="center"/>
                    <w:rPr>
                      <w:rFonts w:eastAsiaTheme="minorEastAsia"/>
                      <w:bCs/>
                      <w:kern w:val="0"/>
                      <w:szCs w:val="21"/>
                    </w:rPr>
                  </w:pPr>
                  <w:r>
                    <w:rPr>
                      <w:rFonts w:eastAsiaTheme="minorEastAsia"/>
                      <w:bCs/>
                      <w:kern w:val="0"/>
                      <w:szCs w:val="21"/>
                    </w:rPr>
                    <w:t>施工人员生活污水</w:t>
                  </w:r>
                </w:p>
              </w:tc>
              <w:tc>
                <w:tcPr>
                  <w:tcW w:w="2515" w:type="dxa"/>
                  <w:vAlign w:val="center"/>
                </w:tcPr>
                <w:p>
                  <w:pPr>
                    <w:autoSpaceDE w:val="0"/>
                    <w:autoSpaceDN w:val="0"/>
                    <w:adjustRightInd w:val="0"/>
                    <w:snapToGrid w:val="0"/>
                    <w:jc w:val="center"/>
                    <w:rPr>
                      <w:rFonts w:eastAsiaTheme="minorEastAsia"/>
                      <w:bCs/>
                      <w:kern w:val="0"/>
                      <w:szCs w:val="21"/>
                    </w:rPr>
                  </w:pPr>
                  <w:r>
                    <w:rPr>
                      <w:rFonts w:eastAsiaTheme="minorEastAsia"/>
                      <w:bCs/>
                      <w:kern w:val="0"/>
                      <w:szCs w:val="21"/>
                    </w:rPr>
                    <w:t>COD、BOD</w:t>
                  </w:r>
                  <w:r>
                    <w:rPr>
                      <w:rFonts w:eastAsiaTheme="minorEastAsia"/>
                      <w:bCs/>
                      <w:kern w:val="0"/>
                      <w:szCs w:val="21"/>
                      <w:vertAlign w:val="subscript"/>
                    </w:rPr>
                    <w:t>5</w:t>
                  </w:r>
                  <w:r>
                    <w:rPr>
                      <w:rFonts w:eastAsiaTheme="minorEastAsia"/>
                      <w:bCs/>
                      <w:kern w:val="0"/>
                      <w:szCs w:val="21"/>
                    </w:rPr>
                    <w:t>、氨氮</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454" w:hRule="atLeast"/>
              </w:trPr>
              <w:tc>
                <w:tcPr>
                  <w:tcW w:w="851" w:type="dxa"/>
                  <w:vMerge w:val="continue"/>
                  <w:vAlign w:val="center"/>
                </w:tcPr>
                <w:p>
                  <w:pPr>
                    <w:autoSpaceDE w:val="0"/>
                    <w:autoSpaceDN w:val="0"/>
                    <w:adjustRightInd w:val="0"/>
                    <w:snapToGrid w:val="0"/>
                    <w:jc w:val="center"/>
                    <w:rPr>
                      <w:rFonts w:eastAsiaTheme="minorEastAsia"/>
                      <w:b/>
                      <w:kern w:val="0"/>
                      <w:szCs w:val="21"/>
                    </w:rPr>
                  </w:pPr>
                </w:p>
              </w:tc>
              <w:tc>
                <w:tcPr>
                  <w:tcW w:w="946" w:type="dxa"/>
                  <w:vAlign w:val="center"/>
                </w:tcPr>
                <w:p>
                  <w:pPr>
                    <w:autoSpaceDE w:val="0"/>
                    <w:autoSpaceDN w:val="0"/>
                    <w:adjustRightInd w:val="0"/>
                    <w:snapToGrid w:val="0"/>
                    <w:jc w:val="center"/>
                    <w:rPr>
                      <w:rFonts w:eastAsiaTheme="minorEastAsia"/>
                      <w:bCs/>
                      <w:kern w:val="0"/>
                      <w:szCs w:val="21"/>
                    </w:rPr>
                  </w:pPr>
                  <w:r>
                    <w:rPr>
                      <w:rFonts w:eastAsiaTheme="minorEastAsia"/>
                      <w:bCs/>
                      <w:kern w:val="0"/>
                      <w:szCs w:val="21"/>
                    </w:rPr>
                    <w:t>噪声</w:t>
                  </w:r>
                </w:p>
              </w:tc>
              <w:tc>
                <w:tcPr>
                  <w:tcW w:w="3623" w:type="dxa"/>
                  <w:vAlign w:val="center"/>
                </w:tcPr>
                <w:p>
                  <w:pPr>
                    <w:autoSpaceDE w:val="0"/>
                    <w:autoSpaceDN w:val="0"/>
                    <w:adjustRightInd w:val="0"/>
                    <w:snapToGrid w:val="0"/>
                    <w:jc w:val="center"/>
                    <w:rPr>
                      <w:rFonts w:eastAsiaTheme="minorEastAsia"/>
                      <w:bCs/>
                      <w:kern w:val="0"/>
                      <w:szCs w:val="21"/>
                    </w:rPr>
                  </w:pPr>
                  <w:r>
                    <w:rPr>
                      <w:rFonts w:eastAsiaTheme="minorEastAsia"/>
                      <w:bCs/>
                      <w:kern w:val="0"/>
                      <w:szCs w:val="21"/>
                    </w:rPr>
                    <w:t>机械噪声、施工作业噪声</w:t>
                  </w:r>
                </w:p>
              </w:tc>
              <w:tc>
                <w:tcPr>
                  <w:tcW w:w="2515" w:type="dxa"/>
                  <w:vAlign w:val="center"/>
                </w:tcPr>
                <w:p>
                  <w:pPr>
                    <w:autoSpaceDE w:val="0"/>
                    <w:autoSpaceDN w:val="0"/>
                    <w:adjustRightInd w:val="0"/>
                    <w:snapToGrid w:val="0"/>
                    <w:jc w:val="center"/>
                    <w:rPr>
                      <w:rFonts w:eastAsiaTheme="minorEastAsia"/>
                      <w:bCs/>
                      <w:kern w:val="0"/>
                      <w:szCs w:val="21"/>
                    </w:rPr>
                  </w:pPr>
                  <w:r>
                    <w:rPr>
                      <w:rFonts w:eastAsiaTheme="minorEastAsia"/>
                      <w:bCs/>
                      <w:kern w:val="0"/>
                      <w:szCs w:val="21"/>
                    </w:rPr>
                    <w:t>等效声级</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454" w:hRule="atLeast"/>
              </w:trPr>
              <w:tc>
                <w:tcPr>
                  <w:tcW w:w="851" w:type="dxa"/>
                  <w:vMerge w:val="continue"/>
                  <w:vAlign w:val="center"/>
                </w:tcPr>
                <w:p>
                  <w:pPr>
                    <w:autoSpaceDE w:val="0"/>
                    <w:autoSpaceDN w:val="0"/>
                    <w:adjustRightInd w:val="0"/>
                    <w:snapToGrid w:val="0"/>
                    <w:jc w:val="center"/>
                    <w:rPr>
                      <w:rFonts w:eastAsiaTheme="minorEastAsia"/>
                      <w:b/>
                      <w:kern w:val="0"/>
                      <w:szCs w:val="21"/>
                    </w:rPr>
                  </w:pPr>
                </w:p>
              </w:tc>
              <w:tc>
                <w:tcPr>
                  <w:tcW w:w="946" w:type="dxa"/>
                  <w:vMerge w:val="restart"/>
                  <w:vAlign w:val="center"/>
                </w:tcPr>
                <w:p>
                  <w:pPr>
                    <w:autoSpaceDE w:val="0"/>
                    <w:autoSpaceDN w:val="0"/>
                    <w:adjustRightInd w:val="0"/>
                    <w:snapToGrid w:val="0"/>
                    <w:jc w:val="center"/>
                    <w:rPr>
                      <w:rFonts w:eastAsiaTheme="minorEastAsia"/>
                      <w:bCs/>
                      <w:kern w:val="0"/>
                      <w:szCs w:val="21"/>
                    </w:rPr>
                  </w:pPr>
                  <w:r>
                    <w:rPr>
                      <w:rFonts w:eastAsiaTheme="minorEastAsia"/>
                      <w:bCs/>
                      <w:kern w:val="0"/>
                      <w:szCs w:val="21"/>
                    </w:rPr>
                    <w:t>固废</w:t>
                  </w:r>
                </w:p>
              </w:tc>
              <w:tc>
                <w:tcPr>
                  <w:tcW w:w="3623" w:type="dxa"/>
                  <w:vAlign w:val="center"/>
                </w:tcPr>
                <w:p>
                  <w:pPr>
                    <w:autoSpaceDE w:val="0"/>
                    <w:autoSpaceDN w:val="0"/>
                    <w:adjustRightInd w:val="0"/>
                    <w:snapToGrid w:val="0"/>
                    <w:jc w:val="center"/>
                    <w:rPr>
                      <w:rFonts w:eastAsiaTheme="minorEastAsia"/>
                      <w:bCs/>
                      <w:kern w:val="0"/>
                      <w:szCs w:val="21"/>
                    </w:rPr>
                  </w:pPr>
                  <w:r>
                    <w:rPr>
                      <w:rFonts w:eastAsiaTheme="minorEastAsia"/>
                      <w:bCs/>
                      <w:kern w:val="0"/>
                      <w:szCs w:val="21"/>
                    </w:rPr>
                    <w:t>施工过程</w:t>
                  </w:r>
                </w:p>
              </w:tc>
              <w:tc>
                <w:tcPr>
                  <w:tcW w:w="2515" w:type="dxa"/>
                  <w:vAlign w:val="center"/>
                </w:tcPr>
                <w:p>
                  <w:pPr>
                    <w:autoSpaceDE w:val="0"/>
                    <w:autoSpaceDN w:val="0"/>
                    <w:adjustRightInd w:val="0"/>
                    <w:snapToGrid w:val="0"/>
                    <w:jc w:val="center"/>
                    <w:rPr>
                      <w:rFonts w:eastAsiaTheme="minorEastAsia"/>
                      <w:bCs/>
                      <w:kern w:val="0"/>
                      <w:szCs w:val="21"/>
                    </w:rPr>
                  </w:pPr>
                  <w:r>
                    <w:rPr>
                      <w:rFonts w:eastAsiaTheme="minorEastAsia"/>
                      <w:bCs/>
                      <w:kern w:val="0"/>
                      <w:szCs w:val="21"/>
                    </w:rPr>
                    <w:t>建筑垃圾</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455" w:hRule="atLeast"/>
              </w:trPr>
              <w:tc>
                <w:tcPr>
                  <w:tcW w:w="851" w:type="dxa"/>
                  <w:vMerge w:val="continue"/>
                  <w:vAlign w:val="center"/>
                </w:tcPr>
                <w:p>
                  <w:pPr>
                    <w:autoSpaceDE w:val="0"/>
                    <w:autoSpaceDN w:val="0"/>
                    <w:adjustRightInd w:val="0"/>
                    <w:snapToGrid w:val="0"/>
                    <w:jc w:val="center"/>
                    <w:rPr>
                      <w:rFonts w:eastAsiaTheme="minorEastAsia"/>
                      <w:b/>
                      <w:kern w:val="0"/>
                      <w:szCs w:val="21"/>
                    </w:rPr>
                  </w:pPr>
                </w:p>
              </w:tc>
              <w:tc>
                <w:tcPr>
                  <w:tcW w:w="946" w:type="dxa"/>
                  <w:vMerge w:val="continue"/>
                  <w:vAlign w:val="center"/>
                </w:tcPr>
                <w:p>
                  <w:pPr>
                    <w:autoSpaceDE w:val="0"/>
                    <w:autoSpaceDN w:val="0"/>
                    <w:adjustRightInd w:val="0"/>
                    <w:snapToGrid w:val="0"/>
                    <w:jc w:val="center"/>
                    <w:rPr>
                      <w:rFonts w:eastAsiaTheme="minorEastAsia"/>
                      <w:bCs/>
                      <w:kern w:val="0"/>
                      <w:szCs w:val="21"/>
                    </w:rPr>
                  </w:pPr>
                </w:p>
              </w:tc>
              <w:tc>
                <w:tcPr>
                  <w:tcW w:w="3623" w:type="dxa"/>
                  <w:vAlign w:val="center"/>
                </w:tcPr>
                <w:p>
                  <w:pPr>
                    <w:autoSpaceDE w:val="0"/>
                    <w:autoSpaceDN w:val="0"/>
                    <w:adjustRightInd w:val="0"/>
                    <w:snapToGrid w:val="0"/>
                    <w:jc w:val="center"/>
                    <w:rPr>
                      <w:rFonts w:eastAsiaTheme="minorEastAsia"/>
                      <w:bCs/>
                      <w:kern w:val="0"/>
                      <w:szCs w:val="21"/>
                    </w:rPr>
                  </w:pPr>
                  <w:r>
                    <w:rPr>
                      <w:rFonts w:eastAsiaTheme="minorEastAsia"/>
                      <w:bCs/>
                      <w:kern w:val="0"/>
                      <w:szCs w:val="21"/>
                    </w:rPr>
                    <w:t>生活垃圾</w:t>
                  </w:r>
                </w:p>
              </w:tc>
              <w:tc>
                <w:tcPr>
                  <w:tcW w:w="2515" w:type="dxa"/>
                  <w:vAlign w:val="center"/>
                </w:tcPr>
                <w:p>
                  <w:pPr>
                    <w:autoSpaceDE w:val="0"/>
                    <w:autoSpaceDN w:val="0"/>
                    <w:adjustRightInd w:val="0"/>
                    <w:snapToGrid w:val="0"/>
                    <w:jc w:val="center"/>
                    <w:rPr>
                      <w:rFonts w:eastAsiaTheme="minorEastAsia"/>
                      <w:bCs/>
                      <w:kern w:val="0"/>
                      <w:szCs w:val="21"/>
                    </w:rPr>
                  </w:pPr>
                  <w:r>
                    <w:rPr>
                      <w:rFonts w:eastAsiaTheme="minorEastAsia"/>
                      <w:bCs/>
                      <w:kern w:val="0"/>
                      <w:szCs w:val="21"/>
                    </w:rPr>
                    <w:t>生活垃圾</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454" w:hRule="atLeast"/>
              </w:trPr>
              <w:tc>
                <w:tcPr>
                  <w:tcW w:w="851" w:type="dxa"/>
                  <w:vMerge w:val="restart"/>
                  <w:vAlign w:val="center"/>
                </w:tcPr>
                <w:p>
                  <w:pPr>
                    <w:autoSpaceDE w:val="0"/>
                    <w:autoSpaceDN w:val="0"/>
                    <w:adjustRightInd w:val="0"/>
                    <w:snapToGrid w:val="0"/>
                    <w:jc w:val="center"/>
                    <w:rPr>
                      <w:rFonts w:eastAsiaTheme="minorEastAsia"/>
                      <w:b/>
                      <w:kern w:val="0"/>
                      <w:szCs w:val="21"/>
                    </w:rPr>
                  </w:pPr>
                  <w:r>
                    <w:rPr>
                      <w:rFonts w:eastAsiaTheme="minorEastAsia"/>
                      <w:b/>
                      <w:kern w:val="0"/>
                      <w:szCs w:val="21"/>
                    </w:rPr>
                    <w:t>营运期</w:t>
                  </w:r>
                </w:p>
              </w:tc>
              <w:tc>
                <w:tcPr>
                  <w:tcW w:w="946" w:type="dxa"/>
                  <w:vMerge w:val="restart"/>
                  <w:vAlign w:val="center"/>
                </w:tcPr>
                <w:p>
                  <w:pPr>
                    <w:autoSpaceDE w:val="0"/>
                    <w:autoSpaceDN w:val="0"/>
                    <w:adjustRightInd w:val="0"/>
                    <w:snapToGrid w:val="0"/>
                    <w:jc w:val="center"/>
                    <w:rPr>
                      <w:rFonts w:eastAsiaTheme="minorEastAsia"/>
                      <w:b/>
                      <w:kern w:val="0"/>
                      <w:szCs w:val="21"/>
                    </w:rPr>
                  </w:pPr>
                  <w:r>
                    <w:rPr>
                      <w:rFonts w:eastAsiaTheme="minorEastAsia"/>
                      <w:b/>
                      <w:kern w:val="0"/>
                      <w:szCs w:val="21"/>
                    </w:rPr>
                    <w:t>废气</w:t>
                  </w:r>
                </w:p>
              </w:tc>
              <w:tc>
                <w:tcPr>
                  <w:tcW w:w="3623" w:type="dxa"/>
                  <w:vAlign w:val="center"/>
                </w:tcPr>
                <w:p>
                  <w:pPr>
                    <w:autoSpaceDE w:val="0"/>
                    <w:autoSpaceDN w:val="0"/>
                    <w:adjustRightInd w:val="0"/>
                    <w:snapToGrid w:val="0"/>
                    <w:ind w:firstLine="949" w:firstLineChars="450"/>
                    <w:jc w:val="left"/>
                    <w:rPr>
                      <w:rFonts w:eastAsiaTheme="minorEastAsia"/>
                      <w:b/>
                      <w:kern w:val="0"/>
                      <w:szCs w:val="21"/>
                    </w:rPr>
                  </w:pPr>
                  <w:r>
                    <w:rPr>
                      <w:rFonts w:eastAsiaTheme="minorEastAsia"/>
                      <w:b/>
                      <w:kern w:val="0"/>
                      <w:szCs w:val="21"/>
                    </w:rPr>
                    <w:t xml:space="preserve">原料入仓废气 </w:t>
                  </w:r>
                </w:p>
              </w:tc>
              <w:tc>
                <w:tcPr>
                  <w:tcW w:w="2515" w:type="dxa"/>
                  <w:vAlign w:val="center"/>
                </w:tcPr>
                <w:p>
                  <w:pPr>
                    <w:autoSpaceDE w:val="0"/>
                    <w:autoSpaceDN w:val="0"/>
                    <w:adjustRightInd w:val="0"/>
                    <w:snapToGrid w:val="0"/>
                    <w:jc w:val="center"/>
                    <w:rPr>
                      <w:rFonts w:eastAsiaTheme="minorEastAsia"/>
                      <w:b/>
                      <w:kern w:val="0"/>
                      <w:szCs w:val="21"/>
                    </w:rPr>
                  </w:pPr>
                  <w:r>
                    <w:rPr>
                      <w:rFonts w:eastAsiaTheme="minorEastAsia"/>
                      <w:b/>
                      <w:kern w:val="0"/>
                      <w:szCs w:val="21"/>
                    </w:rPr>
                    <w:t>颗粒物</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454" w:hRule="atLeast"/>
              </w:trPr>
              <w:tc>
                <w:tcPr>
                  <w:tcW w:w="851" w:type="dxa"/>
                  <w:vMerge w:val="continue"/>
                  <w:vAlign w:val="center"/>
                </w:tcPr>
                <w:p>
                  <w:pPr>
                    <w:autoSpaceDE w:val="0"/>
                    <w:autoSpaceDN w:val="0"/>
                    <w:adjustRightInd w:val="0"/>
                    <w:snapToGrid w:val="0"/>
                    <w:jc w:val="center"/>
                    <w:rPr>
                      <w:rFonts w:eastAsiaTheme="minorEastAsia"/>
                      <w:b/>
                      <w:kern w:val="0"/>
                      <w:szCs w:val="21"/>
                    </w:rPr>
                  </w:pPr>
                </w:p>
              </w:tc>
              <w:tc>
                <w:tcPr>
                  <w:tcW w:w="946" w:type="dxa"/>
                  <w:vMerge w:val="continue"/>
                  <w:vAlign w:val="center"/>
                </w:tcPr>
                <w:p>
                  <w:pPr>
                    <w:autoSpaceDE w:val="0"/>
                    <w:autoSpaceDN w:val="0"/>
                    <w:adjustRightInd w:val="0"/>
                    <w:snapToGrid w:val="0"/>
                    <w:jc w:val="center"/>
                    <w:rPr>
                      <w:rFonts w:eastAsiaTheme="minorEastAsia"/>
                      <w:b/>
                      <w:kern w:val="0"/>
                      <w:szCs w:val="21"/>
                    </w:rPr>
                  </w:pPr>
                </w:p>
              </w:tc>
              <w:tc>
                <w:tcPr>
                  <w:tcW w:w="3623" w:type="dxa"/>
                  <w:vAlign w:val="center"/>
                </w:tcPr>
                <w:p>
                  <w:pPr>
                    <w:autoSpaceDE w:val="0"/>
                    <w:autoSpaceDN w:val="0"/>
                    <w:adjustRightInd w:val="0"/>
                    <w:snapToGrid w:val="0"/>
                    <w:jc w:val="left"/>
                    <w:rPr>
                      <w:rFonts w:eastAsiaTheme="minorEastAsia"/>
                      <w:b/>
                      <w:kern w:val="0"/>
                      <w:szCs w:val="21"/>
                    </w:rPr>
                  </w:pPr>
                  <w:r>
                    <w:rPr>
                      <w:rFonts w:eastAsiaTheme="minorEastAsia"/>
                      <w:b/>
                      <w:szCs w:val="21"/>
                    </w:rPr>
                    <w:t>粉磨机磨头、磨尾、气流输送回料至分选机下料口废气</w:t>
                  </w:r>
                </w:p>
              </w:tc>
              <w:tc>
                <w:tcPr>
                  <w:tcW w:w="2515" w:type="dxa"/>
                  <w:vAlign w:val="center"/>
                </w:tcPr>
                <w:p>
                  <w:pPr>
                    <w:autoSpaceDE w:val="0"/>
                    <w:autoSpaceDN w:val="0"/>
                    <w:adjustRightInd w:val="0"/>
                    <w:snapToGrid w:val="0"/>
                    <w:jc w:val="center"/>
                    <w:rPr>
                      <w:rFonts w:eastAsiaTheme="minorEastAsia"/>
                      <w:b/>
                      <w:kern w:val="0"/>
                      <w:szCs w:val="21"/>
                    </w:rPr>
                  </w:pPr>
                  <w:r>
                    <w:rPr>
                      <w:rFonts w:eastAsiaTheme="minorEastAsia"/>
                      <w:b/>
                      <w:kern w:val="0"/>
                      <w:szCs w:val="21"/>
                    </w:rPr>
                    <w:t>颗粒物</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454" w:hRule="atLeast"/>
              </w:trPr>
              <w:tc>
                <w:tcPr>
                  <w:tcW w:w="851" w:type="dxa"/>
                  <w:vMerge w:val="continue"/>
                  <w:vAlign w:val="center"/>
                </w:tcPr>
                <w:p>
                  <w:pPr>
                    <w:autoSpaceDE w:val="0"/>
                    <w:autoSpaceDN w:val="0"/>
                    <w:adjustRightInd w:val="0"/>
                    <w:snapToGrid w:val="0"/>
                    <w:jc w:val="center"/>
                    <w:rPr>
                      <w:rFonts w:eastAsiaTheme="minorEastAsia"/>
                      <w:b/>
                      <w:kern w:val="0"/>
                      <w:szCs w:val="21"/>
                    </w:rPr>
                  </w:pPr>
                </w:p>
              </w:tc>
              <w:tc>
                <w:tcPr>
                  <w:tcW w:w="946" w:type="dxa"/>
                  <w:vMerge w:val="continue"/>
                  <w:vAlign w:val="center"/>
                </w:tcPr>
                <w:p>
                  <w:pPr>
                    <w:autoSpaceDE w:val="0"/>
                    <w:autoSpaceDN w:val="0"/>
                    <w:adjustRightInd w:val="0"/>
                    <w:snapToGrid w:val="0"/>
                    <w:jc w:val="center"/>
                    <w:rPr>
                      <w:rFonts w:eastAsiaTheme="minorEastAsia"/>
                      <w:b/>
                      <w:kern w:val="0"/>
                      <w:szCs w:val="21"/>
                    </w:rPr>
                  </w:pPr>
                </w:p>
              </w:tc>
              <w:tc>
                <w:tcPr>
                  <w:tcW w:w="3623" w:type="dxa"/>
                  <w:vAlign w:val="center"/>
                </w:tcPr>
                <w:p>
                  <w:pPr>
                    <w:autoSpaceDE w:val="0"/>
                    <w:autoSpaceDN w:val="0"/>
                    <w:adjustRightInd w:val="0"/>
                    <w:snapToGrid w:val="0"/>
                    <w:ind w:firstLine="316" w:firstLineChars="150"/>
                    <w:jc w:val="left"/>
                    <w:rPr>
                      <w:rFonts w:eastAsiaTheme="minorEastAsia"/>
                      <w:b/>
                      <w:kern w:val="0"/>
                      <w:szCs w:val="21"/>
                    </w:rPr>
                  </w:pPr>
                  <w:r>
                    <w:rPr>
                      <w:rFonts w:eastAsiaTheme="minorEastAsia"/>
                      <w:b/>
                      <w:szCs w:val="21"/>
                    </w:rPr>
                    <w:t>提升机上料口、落料口废气</w:t>
                  </w:r>
                </w:p>
              </w:tc>
              <w:tc>
                <w:tcPr>
                  <w:tcW w:w="2515" w:type="dxa"/>
                  <w:vAlign w:val="center"/>
                </w:tcPr>
                <w:p>
                  <w:pPr>
                    <w:autoSpaceDE w:val="0"/>
                    <w:autoSpaceDN w:val="0"/>
                    <w:adjustRightInd w:val="0"/>
                    <w:snapToGrid w:val="0"/>
                    <w:jc w:val="center"/>
                    <w:rPr>
                      <w:rFonts w:eastAsiaTheme="minorEastAsia"/>
                      <w:b/>
                      <w:kern w:val="0"/>
                      <w:szCs w:val="21"/>
                    </w:rPr>
                  </w:pPr>
                  <w:r>
                    <w:rPr>
                      <w:rFonts w:eastAsiaTheme="minorEastAsia"/>
                      <w:b/>
                      <w:kern w:val="0"/>
                      <w:szCs w:val="21"/>
                    </w:rPr>
                    <w:t>颗粒物</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454" w:hRule="atLeast"/>
              </w:trPr>
              <w:tc>
                <w:tcPr>
                  <w:tcW w:w="851" w:type="dxa"/>
                  <w:vMerge w:val="continue"/>
                  <w:vAlign w:val="center"/>
                </w:tcPr>
                <w:p>
                  <w:pPr>
                    <w:autoSpaceDE w:val="0"/>
                    <w:autoSpaceDN w:val="0"/>
                    <w:adjustRightInd w:val="0"/>
                    <w:snapToGrid w:val="0"/>
                    <w:jc w:val="center"/>
                    <w:rPr>
                      <w:rFonts w:eastAsiaTheme="minorEastAsia"/>
                      <w:b/>
                      <w:kern w:val="0"/>
                      <w:szCs w:val="21"/>
                    </w:rPr>
                  </w:pPr>
                </w:p>
              </w:tc>
              <w:tc>
                <w:tcPr>
                  <w:tcW w:w="946" w:type="dxa"/>
                  <w:vMerge w:val="continue"/>
                  <w:vAlign w:val="center"/>
                </w:tcPr>
                <w:p>
                  <w:pPr>
                    <w:autoSpaceDE w:val="0"/>
                    <w:autoSpaceDN w:val="0"/>
                    <w:adjustRightInd w:val="0"/>
                    <w:snapToGrid w:val="0"/>
                    <w:jc w:val="center"/>
                    <w:rPr>
                      <w:rFonts w:eastAsiaTheme="minorEastAsia"/>
                      <w:b/>
                      <w:kern w:val="0"/>
                      <w:szCs w:val="21"/>
                    </w:rPr>
                  </w:pPr>
                </w:p>
              </w:tc>
              <w:tc>
                <w:tcPr>
                  <w:tcW w:w="3623" w:type="dxa"/>
                  <w:vAlign w:val="center"/>
                </w:tcPr>
                <w:p>
                  <w:pPr>
                    <w:autoSpaceDE w:val="0"/>
                    <w:autoSpaceDN w:val="0"/>
                    <w:adjustRightInd w:val="0"/>
                    <w:snapToGrid w:val="0"/>
                    <w:ind w:firstLine="105" w:firstLineChars="50"/>
                    <w:jc w:val="left"/>
                    <w:rPr>
                      <w:rFonts w:eastAsiaTheme="minorEastAsia"/>
                      <w:b/>
                      <w:szCs w:val="21"/>
                    </w:rPr>
                  </w:pPr>
                  <w:r>
                    <w:rPr>
                      <w:rFonts w:eastAsiaTheme="minorEastAsia"/>
                      <w:b/>
                      <w:szCs w:val="21"/>
                    </w:rPr>
                    <w:t>成品仓入仓废气、散装机下料废气</w:t>
                  </w:r>
                </w:p>
              </w:tc>
              <w:tc>
                <w:tcPr>
                  <w:tcW w:w="2515" w:type="dxa"/>
                  <w:vAlign w:val="center"/>
                </w:tcPr>
                <w:p>
                  <w:pPr>
                    <w:autoSpaceDE w:val="0"/>
                    <w:autoSpaceDN w:val="0"/>
                    <w:adjustRightInd w:val="0"/>
                    <w:snapToGrid w:val="0"/>
                    <w:jc w:val="center"/>
                    <w:rPr>
                      <w:rFonts w:eastAsiaTheme="minorEastAsia"/>
                      <w:b/>
                      <w:kern w:val="0"/>
                      <w:szCs w:val="21"/>
                    </w:rPr>
                  </w:pPr>
                  <w:r>
                    <w:rPr>
                      <w:rFonts w:eastAsiaTheme="minorEastAsia"/>
                      <w:b/>
                      <w:kern w:val="0"/>
                      <w:szCs w:val="21"/>
                    </w:rPr>
                    <w:t>颗粒物</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454" w:hRule="atLeast"/>
              </w:trPr>
              <w:tc>
                <w:tcPr>
                  <w:tcW w:w="851" w:type="dxa"/>
                  <w:vMerge w:val="continue"/>
                  <w:vAlign w:val="center"/>
                </w:tcPr>
                <w:p>
                  <w:pPr>
                    <w:autoSpaceDE w:val="0"/>
                    <w:autoSpaceDN w:val="0"/>
                    <w:adjustRightInd w:val="0"/>
                    <w:snapToGrid w:val="0"/>
                    <w:jc w:val="center"/>
                    <w:rPr>
                      <w:rFonts w:eastAsiaTheme="minorEastAsia"/>
                      <w:b/>
                      <w:kern w:val="0"/>
                      <w:szCs w:val="21"/>
                    </w:rPr>
                  </w:pPr>
                </w:p>
              </w:tc>
              <w:tc>
                <w:tcPr>
                  <w:tcW w:w="946" w:type="dxa"/>
                  <w:vMerge w:val="continue"/>
                  <w:vAlign w:val="center"/>
                </w:tcPr>
                <w:p>
                  <w:pPr>
                    <w:autoSpaceDE w:val="0"/>
                    <w:autoSpaceDN w:val="0"/>
                    <w:adjustRightInd w:val="0"/>
                    <w:snapToGrid w:val="0"/>
                    <w:jc w:val="center"/>
                    <w:rPr>
                      <w:rFonts w:eastAsiaTheme="minorEastAsia"/>
                      <w:b/>
                      <w:kern w:val="0"/>
                      <w:szCs w:val="21"/>
                    </w:rPr>
                  </w:pPr>
                </w:p>
              </w:tc>
              <w:tc>
                <w:tcPr>
                  <w:tcW w:w="3623" w:type="dxa"/>
                  <w:vAlign w:val="center"/>
                </w:tcPr>
                <w:p>
                  <w:pPr>
                    <w:autoSpaceDE w:val="0"/>
                    <w:autoSpaceDN w:val="0"/>
                    <w:adjustRightInd w:val="0"/>
                    <w:snapToGrid w:val="0"/>
                    <w:jc w:val="left"/>
                    <w:rPr>
                      <w:rFonts w:eastAsiaTheme="minorEastAsia"/>
                      <w:b/>
                      <w:szCs w:val="21"/>
                    </w:rPr>
                  </w:pPr>
                  <w:r>
                    <w:rPr>
                      <w:rFonts w:eastAsiaTheme="minorEastAsia"/>
                      <w:b/>
                      <w:snapToGrid w:val="0"/>
                      <w:kern w:val="0"/>
                      <w:szCs w:val="21"/>
                    </w:rPr>
                    <w:t>无组织废气主要为提升机、粉磨机、散装机各产尘点集气罩未收集的颗粒物；车辆运输扬尘。</w:t>
                  </w:r>
                </w:p>
              </w:tc>
              <w:tc>
                <w:tcPr>
                  <w:tcW w:w="2515" w:type="dxa"/>
                  <w:vAlign w:val="center"/>
                </w:tcPr>
                <w:p>
                  <w:pPr>
                    <w:autoSpaceDE w:val="0"/>
                    <w:autoSpaceDN w:val="0"/>
                    <w:adjustRightInd w:val="0"/>
                    <w:snapToGrid w:val="0"/>
                    <w:jc w:val="center"/>
                    <w:rPr>
                      <w:rFonts w:eastAsiaTheme="minorEastAsia"/>
                      <w:b/>
                      <w:kern w:val="0"/>
                      <w:szCs w:val="21"/>
                    </w:rPr>
                  </w:pPr>
                  <w:r>
                    <w:rPr>
                      <w:rFonts w:eastAsiaTheme="minorEastAsia"/>
                      <w:b/>
                      <w:kern w:val="0"/>
                      <w:szCs w:val="21"/>
                    </w:rPr>
                    <w:t>颗粒物</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454" w:hRule="atLeast"/>
              </w:trPr>
              <w:tc>
                <w:tcPr>
                  <w:tcW w:w="851" w:type="dxa"/>
                  <w:vMerge w:val="continue"/>
                  <w:vAlign w:val="center"/>
                </w:tcPr>
                <w:p>
                  <w:pPr>
                    <w:autoSpaceDE w:val="0"/>
                    <w:autoSpaceDN w:val="0"/>
                    <w:adjustRightInd w:val="0"/>
                    <w:snapToGrid w:val="0"/>
                    <w:jc w:val="center"/>
                    <w:rPr>
                      <w:rFonts w:eastAsiaTheme="minorEastAsia"/>
                      <w:b/>
                      <w:kern w:val="0"/>
                      <w:szCs w:val="21"/>
                    </w:rPr>
                  </w:pPr>
                </w:p>
              </w:tc>
              <w:tc>
                <w:tcPr>
                  <w:tcW w:w="946" w:type="dxa"/>
                  <w:vAlign w:val="center"/>
                </w:tcPr>
                <w:p>
                  <w:pPr>
                    <w:autoSpaceDE w:val="0"/>
                    <w:autoSpaceDN w:val="0"/>
                    <w:adjustRightInd w:val="0"/>
                    <w:snapToGrid w:val="0"/>
                    <w:jc w:val="center"/>
                    <w:rPr>
                      <w:rFonts w:eastAsiaTheme="minorEastAsia"/>
                      <w:bCs/>
                      <w:kern w:val="0"/>
                      <w:szCs w:val="21"/>
                    </w:rPr>
                  </w:pPr>
                  <w:r>
                    <w:rPr>
                      <w:rFonts w:eastAsiaTheme="minorEastAsia"/>
                      <w:bCs/>
                      <w:kern w:val="0"/>
                      <w:szCs w:val="21"/>
                    </w:rPr>
                    <w:t>废水</w:t>
                  </w:r>
                </w:p>
              </w:tc>
              <w:tc>
                <w:tcPr>
                  <w:tcW w:w="3623" w:type="dxa"/>
                  <w:vAlign w:val="center"/>
                </w:tcPr>
                <w:p>
                  <w:pPr>
                    <w:autoSpaceDE w:val="0"/>
                    <w:autoSpaceDN w:val="0"/>
                    <w:adjustRightInd w:val="0"/>
                    <w:snapToGrid w:val="0"/>
                    <w:jc w:val="center"/>
                    <w:rPr>
                      <w:rFonts w:eastAsiaTheme="minorEastAsia"/>
                      <w:bCs/>
                      <w:kern w:val="0"/>
                      <w:szCs w:val="21"/>
                    </w:rPr>
                  </w:pPr>
                  <w:r>
                    <w:rPr>
                      <w:rFonts w:eastAsiaTheme="minorEastAsia"/>
                      <w:bCs/>
                      <w:kern w:val="0"/>
                      <w:szCs w:val="21"/>
                    </w:rPr>
                    <w:t>生活废水</w:t>
                  </w:r>
                </w:p>
              </w:tc>
              <w:tc>
                <w:tcPr>
                  <w:tcW w:w="2515" w:type="dxa"/>
                  <w:vAlign w:val="center"/>
                </w:tcPr>
                <w:p>
                  <w:pPr>
                    <w:autoSpaceDE w:val="0"/>
                    <w:autoSpaceDN w:val="0"/>
                    <w:adjustRightInd w:val="0"/>
                    <w:snapToGrid w:val="0"/>
                    <w:jc w:val="center"/>
                    <w:rPr>
                      <w:rFonts w:eastAsiaTheme="minorEastAsia"/>
                      <w:bCs/>
                      <w:kern w:val="0"/>
                      <w:szCs w:val="21"/>
                    </w:rPr>
                  </w:pPr>
                  <w:r>
                    <w:rPr>
                      <w:rFonts w:eastAsiaTheme="minorEastAsia"/>
                      <w:bCs/>
                      <w:kern w:val="0"/>
                      <w:szCs w:val="21"/>
                    </w:rPr>
                    <w:t>COD、BOD</w:t>
                  </w:r>
                  <w:r>
                    <w:rPr>
                      <w:rFonts w:eastAsiaTheme="minorEastAsia"/>
                      <w:bCs/>
                      <w:kern w:val="0"/>
                      <w:szCs w:val="21"/>
                      <w:vertAlign w:val="subscript"/>
                    </w:rPr>
                    <w:t>5</w:t>
                  </w:r>
                  <w:r>
                    <w:rPr>
                      <w:rFonts w:eastAsiaTheme="minorEastAsia"/>
                      <w:bCs/>
                      <w:kern w:val="0"/>
                      <w:szCs w:val="21"/>
                    </w:rPr>
                    <w:t>、氨氮、动植物油</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454" w:hRule="atLeast"/>
              </w:trPr>
              <w:tc>
                <w:tcPr>
                  <w:tcW w:w="851" w:type="dxa"/>
                  <w:vMerge w:val="continue"/>
                  <w:vAlign w:val="center"/>
                </w:tcPr>
                <w:p>
                  <w:pPr>
                    <w:autoSpaceDE w:val="0"/>
                    <w:autoSpaceDN w:val="0"/>
                    <w:adjustRightInd w:val="0"/>
                    <w:snapToGrid w:val="0"/>
                    <w:jc w:val="center"/>
                    <w:rPr>
                      <w:rFonts w:eastAsiaTheme="minorEastAsia"/>
                      <w:b/>
                      <w:kern w:val="0"/>
                      <w:szCs w:val="21"/>
                    </w:rPr>
                  </w:pPr>
                </w:p>
              </w:tc>
              <w:tc>
                <w:tcPr>
                  <w:tcW w:w="946" w:type="dxa"/>
                  <w:vAlign w:val="center"/>
                </w:tcPr>
                <w:p>
                  <w:pPr>
                    <w:autoSpaceDE w:val="0"/>
                    <w:autoSpaceDN w:val="0"/>
                    <w:adjustRightInd w:val="0"/>
                    <w:snapToGrid w:val="0"/>
                    <w:jc w:val="center"/>
                    <w:rPr>
                      <w:rFonts w:eastAsiaTheme="minorEastAsia"/>
                      <w:bCs/>
                      <w:kern w:val="0"/>
                      <w:szCs w:val="21"/>
                    </w:rPr>
                  </w:pPr>
                  <w:r>
                    <w:rPr>
                      <w:rFonts w:eastAsiaTheme="minorEastAsia"/>
                      <w:bCs/>
                      <w:kern w:val="0"/>
                      <w:szCs w:val="21"/>
                    </w:rPr>
                    <w:t>噪声</w:t>
                  </w:r>
                </w:p>
              </w:tc>
              <w:tc>
                <w:tcPr>
                  <w:tcW w:w="3623" w:type="dxa"/>
                  <w:vAlign w:val="center"/>
                </w:tcPr>
                <w:p>
                  <w:pPr>
                    <w:autoSpaceDE w:val="0"/>
                    <w:autoSpaceDN w:val="0"/>
                    <w:adjustRightInd w:val="0"/>
                    <w:snapToGrid w:val="0"/>
                    <w:jc w:val="center"/>
                    <w:rPr>
                      <w:rFonts w:eastAsiaTheme="minorEastAsia"/>
                      <w:bCs/>
                      <w:kern w:val="0"/>
                      <w:szCs w:val="21"/>
                    </w:rPr>
                  </w:pPr>
                  <w:r>
                    <w:rPr>
                      <w:rFonts w:eastAsiaTheme="minorEastAsia"/>
                      <w:bCs/>
                      <w:kern w:val="0"/>
                      <w:szCs w:val="21"/>
                    </w:rPr>
                    <w:t>分选机、高细管磨机、散装机、各类风机、泵类</w:t>
                  </w:r>
                </w:p>
              </w:tc>
              <w:tc>
                <w:tcPr>
                  <w:tcW w:w="2515" w:type="dxa"/>
                  <w:vAlign w:val="center"/>
                </w:tcPr>
                <w:p>
                  <w:pPr>
                    <w:autoSpaceDE w:val="0"/>
                    <w:autoSpaceDN w:val="0"/>
                    <w:adjustRightInd w:val="0"/>
                    <w:snapToGrid w:val="0"/>
                    <w:jc w:val="center"/>
                    <w:rPr>
                      <w:rFonts w:eastAsiaTheme="minorEastAsia"/>
                      <w:bCs/>
                      <w:kern w:val="0"/>
                      <w:szCs w:val="21"/>
                    </w:rPr>
                  </w:pPr>
                  <w:r>
                    <w:rPr>
                      <w:rFonts w:eastAsiaTheme="minorEastAsia"/>
                      <w:bCs/>
                      <w:kern w:val="0"/>
                      <w:szCs w:val="21"/>
                    </w:rPr>
                    <w:t>等效声级、振动</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454" w:hRule="atLeast"/>
              </w:trPr>
              <w:tc>
                <w:tcPr>
                  <w:tcW w:w="851" w:type="dxa"/>
                  <w:vMerge w:val="continue"/>
                  <w:vAlign w:val="center"/>
                </w:tcPr>
                <w:p>
                  <w:pPr>
                    <w:autoSpaceDE w:val="0"/>
                    <w:autoSpaceDN w:val="0"/>
                    <w:adjustRightInd w:val="0"/>
                    <w:snapToGrid w:val="0"/>
                    <w:jc w:val="center"/>
                    <w:rPr>
                      <w:rFonts w:eastAsiaTheme="minorEastAsia"/>
                      <w:b/>
                      <w:kern w:val="0"/>
                      <w:szCs w:val="21"/>
                    </w:rPr>
                  </w:pPr>
                </w:p>
              </w:tc>
              <w:tc>
                <w:tcPr>
                  <w:tcW w:w="946" w:type="dxa"/>
                  <w:vMerge w:val="restart"/>
                  <w:vAlign w:val="center"/>
                </w:tcPr>
                <w:p>
                  <w:pPr>
                    <w:autoSpaceDE w:val="0"/>
                    <w:autoSpaceDN w:val="0"/>
                    <w:adjustRightInd w:val="0"/>
                    <w:snapToGrid w:val="0"/>
                    <w:jc w:val="center"/>
                    <w:rPr>
                      <w:rFonts w:eastAsiaTheme="minorEastAsia"/>
                      <w:b/>
                      <w:kern w:val="0"/>
                      <w:szCs w:val="21"/>
                    </w:rPr>
                  </w:pPr>
                  <w:r>
                    <w:rPr>
                      <w:rFonts w:eastAsiaTheme="minorEastAsia"/>
                      <w:b/>
                      <w:kern w:val="0"/>
                      <w:szCs w:val="21"/>
                    </w:rPr>
                    <w:t>固废</w:t>
                  </w:r>
                </w:p>
              </w:tc>
              <w:tc>
                <w:tcPr>
                  <w:tcW w:w="3623" w:type="dxa"/>
                  <w:vAlign w:val="center"/>
                </w:tcPr>
                <w:p>
                  <w:pPr>
                    <w:autoSpaceDE w:val="0"/>
                    <w:autoSpaceDN w:val="0"/>
                    <w:adjustRightInd w:val="0"/>
                    <w:snapToGrid w:val="0"/>
                    <w:jc w:val="center"/>
                    <w:rPr>
                      <w:rFonts w:eastAsiaTheme="minorEastAsia"/>
                      <w:bCs/>
                      <w:kern w:val="0"/>
                      <w:szCs w:val="21"/>
                    </w:rPr>
                  </w:pPr>
                  <w:r>
                    <w:rPr>
                      <w:rFonts w:eastAsiaTheme="minorEastAsia"/>
                      <w:bCs/>
                      <w:kern w:val="0"/>
                      <w:szCs w:val="21"/>
                    </w:rPr>
                    <w:t>生产过程</w:t>
                  </w:r>
                </w:p>
              </w:tc>
              <w:tc>
                <w:tcPr>
                  <w:tcW w:w="2515" w:type="dxa"/>
                  <w:vAlign w:val="center"/>
                </w:tcPr>
                <w:p>
                  <w:pPr>
                    <w:autoSpaceDE w:val="0"/>
                    <w:autoSpaceDN w:val="0"/>
                    <w:adjustRightInd w:val="0"/>
                    <w:snapToGrid w:val="0"/>
                    <w:jc w:val="center"/>
                    <w:rPr>
                      <w:rFonts w:eastAsiaTheme="minorEastAsia"/>
                      <w:bCs/>
                      <w:kern w:val="0"/>
                      <w:szCs w:val="21"/>
                    </w:rPr>
                  </w:pPr>
                  <w:r>
                    <w:rPr>
                      <w:rFonts w:eastAsiaTheme="minorEastAsia"/>
                      <w:bCs/>
                      <w:kern w:val="0"/>
                      <w:szCs w:val="21"/>
                    </w:rPr>
                    <w:t>袋式除尘器收集颗粒物</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454" w:hRule="atLeast"/>
              </w:trPr>
              <w:tc>
                <w:tcPr>
                  <w:tcW w:w="851" w:type="dxa"/>
                  <w:vMerge w:val="continue"/>
                  <w:vAlign w:val="center"/>
                </w:tcPr>
                <w:p>
                  <w:pPr>
                    <w:autoSpaceDE w:val="0"/>
                    <w:autoSpaceDN w:val="0"/>
                    <w:adjustRightInd w:val="0"/>
                    <w:snapToGrid w:val="0"/>
                    <w:jc w:val="center"/>
                    <w:rPr>
                      <w:rFonts w:eastAsiaTheme="minorEastAsia"/>
                      <w:b/>
                      <w:kern w:val="0"/>
                      <w:szCs w:val="21"/>
                    </w:rPr>
                  </w:pPr>
                </w:p>
              </w:tc>
              <w:tc>
                <w:tcPr>
                  <w:tcW w:w="946" w:type="dxa"/>
                  <w:vMerge w:val="continue"/>
                  <w:vAlign w:val="center"/>
                </w:tcPr>
                <w:p>
                  <w:pPr>
                    <w:autoSpaceDE w:val="0"/>
                    <w:autoSpaceDN w:val="0"/>
                    <w:adjustRightInd w:val="0"/>
                    <w:snapToGrid w:val="0"/>
                    <w:jc w:val="center"/>
                    <w:rPr>
                      <w:rFonts w:eastAsiaTheme="minorEastAsia"/>
                      <w:b/>
                      <w:kern w:val="0"/>
                      <w:szCs w:val="21"/>
                    </w:rPr>
                  </w:pPr>
                </w:p>
              </w:tc>
              <w:tc>
                <w:tcPr>
                  <w:tcW w:w="3623" w:type="dxa"/>
                  <w:vAlign w:val="center"/>
                </w:tcPr>
                <w:p>
                  <w:pPr>
                    <w:autoSpaceDE w:val="0"/>
                    <w:autoSpaceDN w:val="0"/>
                    <w:adjustRightInd w:val="0"/>
                    <w:snapToGrid w:val="0"/>
                    <w:jc w:val="center"/>
                    <w:rPr>
                      <w:rFonts w:eastAsiaTheme="minorEastAsia"/>
                      <w:b/>
                      <w:kern w:val="0"/>
                      <w:szCs w:val="21"/>
                    </w:rPr>
                  </w:pPr>
                  <w:r>
                    <w:rPr>
                      <w:rFonts w:hint="eastAsia" w:eastAsiaTheme="minorEastAsia"/>
                      <w:b/>
                      <w:kern w:val="0"/>
                      <w:szCs w:val="21"/>
                    </w:rPr>
                    <w:t>车辆冲洗</w:t>
                  </w:r>
                  <w:r>
                    <w:rPr>
                      <w:rFonts w:eastAsiaTheme="minorEastAsia"/>
                      <w:b/>
                      <w:kern w:val="0"/>
                      <w:szCs w:val="21"/>
                    </w:rPr>
                    <w:t>沉淀池沉渣</w:t>
                  </w:r>
                </w:p>
              </w:tc>
              <w:tc>
                <w:tcPr>
                  <w:tcW w:w="2515" w:type="dxa"/>
                  <w:vAlign w:val="center"/>
                </w:tcPr>
                <w:p>
                  <w:pPr>
                    <w:autoSpaceDE w:val="0"/>
                    <w:autoSpaceDN w:val="0"/>
                    <w:adjustRightInd w:val="0"/>
                    <w:snapToGrid w:val="0"/>
                    <w:jc w:val="center"/>
                    <w:rPr>
                      <w:rFonts w:eastAsiaTheme="minorEastAsia"/>
                      <w:b/>
                      <w:kern w:val="0"/>
                      <w:szCs w:val="21"/>
                    </w:rPr>
                  </w:pPr>
                  <w:r>
                    <w:rPr>
                      <w:rFonts w:hint="eastAsia" w:eastAsiaTheme="minorEastAsia"/>
                      <w:b/>
                      <w:kern w:val="0"/>
                      <w:szCs w:val="21"/>
                    </w:rPr>
                    <w:t>泥土</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454" w:hRule="atLeast"/>
              </w:trPr>
              <w:tc>
                <w:tcPr>
                  <w:tcW w:w="851" w:type="dxa"/>
                  <w:vMerge w:val="continue"/>
                  <w:vAlign w:val="center"/>
                </w:tcPr>
                <w:p>
                  <w:pPr>
                    <w:autoSpaceDE w:val="0"/>
                    <w:autoSpaceDN w:val="0"/>
                    <w:adjustRightInd w:val="0"/>
                    <w:snapToGrid w:val="0"/>
                    <w:jc w:val="center"/>
                    <w:rPr>
                      <w:rFonts w:eastAsiaTheme="minorEastAsia"/>
                      <w:b/>
                      <w:kern w:val="0"/>
                      <w:szCs w:val="21"/>
                    </w:rPr>
                  </w:pPr>
                </w:p>
              </w:tc>
              <w:tc>
                <w:tcPr>
                  <w:tcW w:w="946" w:type="dxa"/>
                  <w:vMerge w:val="continue"/>
                  <w:vAlign w:val="center"/>
                </w:tcPr>
                <w:p>
                  <w:pPr>
                    <w:autoSpaceDE w:val="0"/>
                    <w:autoSpaceDN w:val="0"/>
                    <w:adjustRightInd w:val="0"/>
                    <w:snapToGrid w:val="0"/>
                    <w:jc w:val="center"/>
                    <w:rPr>
                      <w:rFonts w:eastAsiaTheme="minorEastAsia"/>
                      <w:b/>
                      <w:kern w:val="0"/>
                      <w:szCs w:val="21"/>
                    </w:rPr>
                  </w:pPr>
                </w:p>
              </w:tc>
              <w:tc>
                <w:tcPr>
                  <w:tcW w:w="3623" w:type="dxa"/>
                  <w:vAlign w:val="center"/>
                </w:tcPr>
                <w:p>
                  <w:pPr>
                    <w:autoSpaceDE w:val="0"/>
                    <w:autoSpaceDN w:val="0"/>
                    <w:adjustRightInd w:val="0"/>
                    <w:snapToGrid w:val="0"/>
                    <w:jc w:val="center"/>
                    <w:rPr>
                      <w:rFonts w:eastAsiaTheme="minorEastAsia"/>
                      <w:bCs/>
                      <w:kern w:val="0"/>
                      <w:szCs w:val="21"/>
                    </w:rPr>
                  </w:pPr>
                  <w:r>
                    <w:rPr>
                      <w:rFonts w:hint="eastAsia" w:eastAsiaTheme="minorEastAsia"/>
                      <w:bCs/>
                      <w:kern w:val="0"/>
                      <w:szCs w:val="21"/>
                    </w:rPr>
                    <w:t>废润滑油</w:t>
                  </w:r>
                </w:p>
              </w:tc>
              <w:tc>
                <w:tcPr>
                  <w:tcW w:w="2515" w:type="dxa"/>
                  <w:vAlign w:val="center"/>
                </w:tcPr>
                <w:p>
                  <w:pPr>
                    <w:autoSpaceDE w:val="0"/>
                    <w:autoSpaceDN w:val="0"/>
                    <w:adjustRightInd w:val="0"/>
                    <w:snapToGrid w:val="0"/>
                    <w:jc w:val="center"/>
                    <w:rPr>
                      <w:rFonts w:eastAsiaTheme="minorEastAsia"/>
                      <w:bCs/>
                      <w:kern w:val="0"/>
                      <w:szCs w:val="21"/>
                    </w:rPr>
                  </w:pPr>
                  <w:r>
                    <w:rPr>
                      <w:rFonts w:hint="eastAsia" w:eastAsiaTheme="minorEastAsia"/>
                      <w:bCs/>
                      <w:kern w:val="0"/>
                      <w:szCs w:val="21"/>
                    </w:rPr>
                    <w:t>废润滑油</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454" w:hRule="atLeast"/>
              </w:trPr>
              <w:tc>
                <w:tcPr>
                  <w:tcW w:w="851" w:type="dxa"/>
                  <w:vMerge w:val="continue"/>
                  <w:vAlign w:val="center"/>
                </w:tcPr>
                <w:p>
                  <w:pPr>
                    <w:autoSpaceDE w:val="0"/>
                    <w:autoSpaceDN w:val="0"/>
                    <w:adjustRightInd w:val="0"/>
                    <w:snapToGrid w:val="0"/>
                    <w:jc w:val="center"/>
                    <w:rPr>
                      <w:rFonts w:eastAsiaTheme="minorEastAsia"/>
                      <w:b/>
                      <w:kern w:val="0"/>
                      <w:szCs w:val="21"/>
                    </w:rPr>
                  </w:pPr>
                </w:p>
              </w:tc>
              <w:tc>
                <w:tcPr>
                  <w:tcW w:w="946" w:type="dxa"/>
                  <w:vMerge w:val="continue"/>
                  <w:vAlign w:val="center"/>
                </w:tcPr>
                <w:p>
                  <w:pPr>
                    <w:autoSpaceDE w:val="0"/>
                    <w:autoSpaceDN w:val="0"/>
                    <w:adjustRightInd w:val="0"/>
                    <w:snapToGrid w:val="0"/>
                    <w:jc w:val="center"/>
                    <w:rPr>
                      <w:rFonts w:eastAsiaTheme="minorEastAsia"/>
                      <w:b/>
                      <w:kern w:val="0"/>
                      <w:szCs w:val="21"/>
                    </w:rPr>
                  </w:pPr>
                </w:p>
              </w:tc>
              <w:tc>
                <w:tcPr>
                  <w:tcW w:w="3623" w:type="dxa"/>
                  <w:vAlign w:val="center"/>
                </w:tcPr>
                <w:p>
                  <w:pPr>
                    <w:autoSpaceDE w:val="0"/>
                    <w:autoSpaceDN w:val="0"/>
                    <w:adjustRightInd w:val="0"/>
                    <w:snapToGrid w:val="0"/>
                    <w:jc w:val="center"/>
                    <w:rPr>
                      <w:rFonts w:eastAsiaTheme="minorEastAsia"/>
                      <w:bCs/>
                      <w:kern w:val="0"/>
                      <w:szCs w:val="21"/>
                    </w:rPr>
                  </w:pPr>
                  <w:r>
                    <w:rPr>
                      <w:rFonts w:eastAsiaTheme="minorEastAsia"/>
                      <w:bCs/>
                      <w:kern w:val="0"/>
                      <w:szCs w:val="21"/>
                    </w:rPr>
                    <w:t>生活垃圾</w:t>
                  </w:r>
                </w:p>
              </w:tc>
              <w:tc>
                <w:tcPr>
                  <w:tcW w:w="2515" w:type="dxa"/>
                  <w:vAlign w:val="center"/>
                </w:tcPr>
                <w:p>
                  <w:pPr>
                    <w:autoSpaceDE w:val="0"/>
                    <w:autoSpaceDN w:val="0"/>
                    <w:adjustRightInd w:val="0"/>
                    <w:snapToGrid w:val="0"/>
                    <w:jc w:val="center"/>
                    <w:rPr>
                      <w:rFonts w:eastAsiaTheme="minorEastAsia"/>
                      <w:bCs/>
                      <w:kern w:val="0"/>
                      <w:szCs w:val="21"/>
                    </w:rPr>
                  </w:pPr>
                  <w:r>
                    <w:rPr>
                      <w:rFonts w:eastAsiaTheme="minorEastAsia"/>
                      <w:bCs/>
                      <w:kern w:val="0"/>
                      <w:szCs w:val="21"/>
                    </w:rPr>
                    <w:t>生活垃圾</w:t>
                  </w:r>
                </w:p>
              </w:tc>
            </w:tr>
          </w:tbl>
          <w:p>
            <w:pPr>
              <w:autoSpaceDE w:val="0"/>
              <w:autoSpaceDN w:val="0"/>
              <w:adjustRightInd w:val="0"/>
              <w:snapToGrid w:val="0"/>
              <w:spacing w:line="360" w:lineRule="auto"/>
              <w:ind w:firstLine="480" w:firstLineChars="200"/>
              <w:rPr>
                <w:bCs/>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779" w:type="dxa"/>
            <w:vAlign w:val="center"/>
          </w:tcPr>
          <w:p>
            <w:pPr>
              <w:pStyle w:val="18"/>
              <w:adjustRightInd w:val="0"/>
              <w:snapToGrid w:val="0"/>
              <w:spacing w:before="0" w:beforeAutospacing="0" w:after="0" w:afterAutospacing="0"/>
              <w:jc w:val="center"/>
              <w:rPr>
                <w:rFonts w:ascii="Times New Roman" w:hAnsi="Times New Roman" w:cs="宋体"/>
                <w:szCs w:val="24"/>
              </w:rPr>
            </w:pPr>
            <w:r>
              <w:rPr>
                <w:rFonts w:hint="eastAsia" w:ascii="Times New Roman" w:hAnsi="Times New Roman" w:cs="宋体"/>
                <w:bCs/>
                <w:kern w:val="2"/>
                <w:szCs w:val="24"/>
              </w:rPr>
              <w:t>与项目有关的原有环境污染问题</w:t>
            </w:r>
          </w:p>
        </w:tc>
        <w:tc>
          <w:tcPr>
            <w:tcW w:w="8205" w:type="dxa"/>
            <w:vAlign w:val="center"/>
          </w:tcPr>
          <w:p>
            <w:pPr>
              <w:spacing w:line="360" w:lineRule="auto"/>
              <w:ind w:firstLine="482" w:firstLineChars="200"/>
              <w:rPr>
                <w:b/>
                <w:sz w:val="24"/>
                <w:u w:val="single"/>
              </w:rPr>
            </w:pPr>
          </w:p>
          <w:p>
            <w:pPr>
              <w:spacing w:line="360" w:lineRule="auto"/>
              <w:ind w:firstLine="482" w:firstLineChars="200"/>
              <w:rPr>
                <w:b/>
                <w:sz w:val="24"/>
                <w:u w:val="single"/>
              </w:rPr>
            </w:pPr>
          </w:p>
          <w:p>
            <w:pPr>
              <w:spacing w:line="360" w:lineRule="auto"/>
              <w:ind w:firstLine="482" w:firstLineChars="200"/>
              <w:rPr>
                <w:b/>
                <w:sz w:val="24"/>
                <w:u w:val="single"/>
              </w:rPr>
            </w:pPr>
          </w:p>
          <w:p>
            <w:pPr>
              <w:spacing w:line="360" w:lineRule="auto"/>
              <w:ind w:firstLine="482" w:firstLineChars="200"/>
              <w:rPr>
                <w:b/>
                <w:sz w:val="24"/>
                <w:u w:val="single"/>
              </w:rPr>
            </w:pPr>
          </w:p>
          <w:p>
            <w:pPr>
              <w:spacing w:line="360" w:lineRule="auto"/>
              <w:ind w:firstLine="482" w:firstLineChars="200"/>
              <w:rPr>
                <w:rFonts w:cs="宋体"/>
                <w:b/>
                <w:kern w:val="0"/>
                <w:sz w:val="24"/>
                <w:u w:val="single"/>
              </w:rPr>
            </w:pPr>
            <w:r>
              <w:rPr>
                <w:rFonts w:hint="eastAsia"/>
                <w:b/>
                <w:sz w:val="24"/>
                <w:u w:val="single"/>
              </w:rPr>
              <w:t>本项目属于新建项目，</w:t>
            </w:r>
            <w:r>
              <w:rPr>
                <w:rFonts w:hint="eastAsia" w:cs="宋体"/>
                <w:b/>
                <w:kern w:val="0"/>
                <w:sz w:val="24"/>
                <w:u w:val="single"/>
              </w:rPr>
              <w:t>租用鲁山县远宏炭素材料有限公司原生产车间西侧空闲用地进行建设。</w:t>
            </w:r>
          </w:p>
          <w:p>
            <w:pPr>
              <w:spacing w:line="360" w:lineRule="auto"/>
              <w:ind w:firstLine="482" w:firstLineChars="200"/>
              <w:rPr>
                <w:rFonts w:cs="宋体"/>
                <w:b/>
                <w:kern w:val="0"/>
                <w:sz w:val="24"/>
                <w:u w:val="single"/>
              </w:rPr>
            </w:pPr>
            <w:r>
              <w:rPr>
                <w:rFonts w:hint="eastAsia" w:cs="宋体"/>
                <w:b/>
                <w:kern w:val="0"/>
                <w:sz w:val="24"/>
                <w:u w:val="single"/>
              </w:rPr>
              <w:t>根据</w:t>
            </w:r>
            <w:r>
              <w:rPr>
                <w:rFonts w:cs="宋体"/>
                <w:b/>
                <w:kern w:val="0"/>
                <w:sz w:val="24"/>
                <w:u w:val="single"/>
              </w:rPr>
              <w:t>调查，</w:t>
            </w:r>
            <w:r>
              <w:rPr>
                <w:rFonts w:hint="eastAsia" w:cs="宋体"/>
                <w:b/>
                <w:kern w:val="0"/>
                <w:sz w:val="24"/>
                <w:u w:val="single"/>
              </w:rPr>
              <w:t>鲁山县远宏炭素材料有限公司于20</w:t>
            </w:r>
            <w:r>
              <w:rPr>
                <w:rFonts w:cs="宋体"/>
                <w:b/>
                <w:kern w:val="0"/>
                <w:sz w:val="24"/>
                <w:u w:val="single"/>
              </w:rPr>
              <w:t>11</w:t>
            </w:r>
            <w:r>
              <w:rPr>
                <w:rFonts w:hint="eastAsia" w:cs="宋体"/>
                <w:b/>
                <w:kern w:val="0"/>
                <w:sz w:val="24"/>
                <w:u w:val="single"/>
              </w:rPr>
              <w:t>年在此</w:t>
            </w:r>
            <w:r>
              <w:rPr>
                <w:rFonts w:cs="宋体"/>
                <w:b/>
                <w:kern w:val="0"/>
                <w:sz w:val="24"/>
                <w:u w:val="single"/>
              </w:rPr>
              <w:t>建厂，主要产品为</w:t>
            </w:r>
            <w:r>
              <w:rPr>
                <w:rFonts w:hint="eastAsia" w:cs="宋体"/>
                <w:b/>
                <w:kern w:val="0"/>
                <w:sz w:val="24"/>
                <w:u w:val="single"/>
              </w:rPr>
              <w:t>炭素</w:t>
            </w:r>
            <w:r>
              <w:rPr>
                <w:rFonts w:cs="宋体"/>
                <w:b/>
                <w:kern w:val="0"/>
                <w:sz w:val="24"/>
                <w:u w:val="single"/>
              </w:rPr>
              <w:t>，</w:t>
            </w:r>
            <w:r>
              <w:rPr>
                <w:rFonts w:hint="eastAsia" w:cs="宋体"/>
                <w:b/>
                <w:kern w:val="0"/>
                <w:sz w:val="24"/>
                <w:u w:val="single"/>
              </w:rPr>
              <w:t>由于手续不全，仅生产约2年时间就停产了，之后一直空置。该厂址现留一些破损的厂房和少量的废弃</w:t>
            </w:r>
            <w:r>
              <w:rPr>
                <w:rFonts w:cs="宋体"/>
                <w:b/>
                <w:kern w:val="0"/>
                <w:sz w:val="24"/>
                <w:u w:val="single"/>
              </w:rPr>
              <w:t>设备</w:t>
            </w:r>
            <w:r>
              <w:rPr>
                <w:rFonts w:hint="eastAsia" w:cs="宋体"/>
                <w:b/>
                <w:kern w:val="0"/>
                <w:sz w:val="24"/>
                <w:u w:val="single"/>
              </w:rPr>
              <w:t>。经调查，该厂区</w:t>
            </w:r>
            <w:r>
              <w:rPr>
                <w:rFonts w:cs="宋体"/>
                <w:b/>
                <w:kern w:val="0"/>
                <w:sz w:val="24"/>
                <w:u w:val="single"/>
              </w:rPr>
              <w:t>未进行</w:t>
            </w:r>
            <w:r>
              <w:rPr>
                <w:rFonts w:hint="eastAsia" w:cs="宋体"/>
                <w:b/>
                <w:kern w:val="0"/>
                <w:sz w:val="24"/>
                <w:u w:val="single"/>
              </w:rPr>
              <w:t>过</w:t>
            </w:r>
            <w:r>
              <w:rPr>
                <w:rFonts w:cs="宋体"/>
                <w:b/>
                <w:kern w:val="0"/>
                <w:sz w:val="24"/>
                <w:u w:val="single"/>
              </w:rPr>
              <w:t>场地</w:t>
            </w:r>
            <w:r>
              <w:rPr>
                <w:rFonts w:hint="eastAsia" w:cs="宋体"/>
                <w:b/>
                <w:kern w:val="0"/>
                <w:sz w:val="24"/>
                <w:u w:val="single"/>
              </w:rPr>
              <w:t>环境</w:t>
            </w:r>
            <w:r>
              <w:rPr>
                <w:rFonts w:cs="宋体"/>
                <w:b/>
                <w:kern w:val="0"/>
                <w:sz w:val="24"/>
                <w:u w:val="single"/>
              </w:rPr>
              <w:t>调查</w:t>
            </w:r>
            <w:r>
              <w:rPr>
                <w:rFonts w:hint="eastAsia" w:cs="宋体"/>
                <w:b/>
                <w:kern w:val="0"/>
                <w:sz w:val="24"/>
                <w:u w:val="single"/>
              </w:rPr>
              <w:t>、环境</w:t>
            </w:r>
            <w:r>
              <w:rPr>
                <w:rFonts w:cs="宋体"/>
                <w:b/>
                <w:kern w:val="0"/>
                <w:sz w:val="24"/>
                <w:u w:val="single"/>
              </w:rPr>
              <w:t>风险评估</w:t>
            </w:r>
            <w:r>
              <w:rPr>
                <w:rFonts w:hint="eastAsia" w:cs="宋体"/>
                <w:b/>
                <w:kern w:val="0"/>
                <w:sz w:val="24"/>
                <w:u w:val="single"/>
              </w:rPr>
              <w:t>、</w:t>
            </w:r>
            <w:r>
              <w:rPr>
                <w:rFonts w:cs="宋体"/>
                <w:b/>
                <w:kern w:val="0"/>
                <w:sz w:val="24"/>
                <w:u w:val="single"/>
              </w:rPr>
              <w:t>土壤</w:t>
            </w:r>
            <w:r>
              <w:rPr>
                <w:rFonts w:hint="eastAsia" w:cs="宋体"/>
                <w:b/>
                <w:kern w:val="0"/>
                <w:sz w:val="24"/>
                <w:u w:val="single"/>
              </w:rPr>
              <w:t>污染</w:t>
            </w:r>
            <w:r>
              <w:rPr>
                <w:rFonts w:cs="宋体"/>
                <w:b/>
                <w:kern w:val="0"/>
                <w:sz w:val="24"/>
                <w:u w:val="single"/>
              </w:rPr>
              <w:t>隐患排查</w:t>
            </w:r>
            <w:r>
              <w:rPr>
                <w:rFonts w:hint="eastAsia" w:cs="宋体"/>
                <w:b/>
                <w:kern w:val="0"/>
                <w:sz w:val="24"/>
                <w:u w:val="single"/>
              </w:rPr>
              <w:t>等工作</w:t>
            </w:r>
            <w:r>
              <w:rPr>
                <w:rFonts w:cs="宋体"/>
                <w:b/>
                <w:kern w:val="0"/>
                <w:sz w:val="24"/>
                <w:u w:val="single"/>
              </w:rPr>
              <w:t>。</w:t>
            </w:r>
          </w:p>
          <w:p>
            <w:pPr>
              <w:spacing w:line="360" w:lineRule="auto"/>
              <w:ind w:firstLine="482" w:firstLineChars="200"/>
              <w:rPr>
                <w:rFonts w:cs="宋体"/>
                <w:b/>
                <w:kern w:val="0"/>
                <w:sz w:val="24"/>
                <w:u w:val="single"/>
              </w:rPr>
            </w:pPr>
            <w:r>
              <w:rPr>
                <w:rFonts w:cs="宋体"/>
                <w:b/>
                <w:kern w:val="0"/>
                <w:sz w:val="24"/>
                <w:u w:val="single"/>
              </w:rPr>
              <w:t>本次所租用的</w:t>
            </w:r>
            <w:r>
              <w:rPr>
                <w:rFonts w:hint="eastAsia" w:cs="宋体"/>
                <w:b/>
                <w:kern w:val="0"/>
                <w:sz w:val="24"/>
                <w:u w:val="single"/>
              </w:rPr>
              <w:t>生产区</w:t>
            </w:r>
            <w:r>
              <w:rPr>
                <w:rFonts w:cs="宋体"/>
                <w:b/>
                <w:kern w:val="0"/>
                <w:sz w:val="24"/>
                <w:u w:val="single"/>
              </w:rPr>
              <w:t>原为</w:t>
            </w:r>
            <w:r>
              <w:rPr>
                <w:rFonts w:hint="eastAsia" w:cs="宋体"/>
                <w:b/>
                <w:kern w:val="0"/>
                <w:sz w:val="24"/>
                <w:u w:val="single"/>
              </w:rPr>
              <w:t>远宏炭素生产车间西侧的</w:t>
            </w:r>
            <w:r>
              <w:rPr>
                <w:rFonts w:cs="宋体"/>
                <w:b/>
                <w:kern w:val="0"/>
                <w:sz w:val="24"/>
                <w:u w:val="single"/>
              </w:rPr>
              <w:t>空地，</w:t>
            </w:r>
            <w:r>
              <w:rPr>
                <w:b/>
                <w:sz w:val="24"/>
                <w:u w:val="single"/>
              </w:rPr>
              <w:t>不存在与项目有关的</w:t>
            </w:r>
            <w:r>
              <w:rPr>
                <w:rFonts w:hint="eastAsia"/>
                <w:b/>
                <w:sz w:val="24"/>
                <w:u w:val="single"/>
              </w:rPr>
              <w:t>其它原有</w:t>
            </w:r>
            <w:r>
              <w:rPr>
                <w:b/>
                <w:sz w:val="24"/>
                <w:u w:val="single"/>
              </w:rPr>
              <w:t>污染问题。</w:t>
            </w:r>
          </w:p>
          <w:p>
            <w:pPr>
              <w:spacing w:line="360" w:lineRule="auto"/>
              <w:ind w:firstLine="480" w:firstLineChars="200"/>
              <w:rPr>
                <w:sz w:val="24"/>
              </w:rPr>
            </w:pPr>
          </w:p>
          <w:p>
            <w:pPr>
              <w:spacing w:line="360" w:lineRule="auto"/>
              <w:ind w:firstLine="480" w:firstLineChars="200"/>
              <w:rPr>
                <w:sz w:val="24"/>
              </w:rPr>
            </w:pPr>
          </w:p>
          <w:p>
            <w:pPr>
              <w:spacing w:line="360" w:lineRule="auto"/>
              <w:ind w:firstLine="480" w:firstLineChars="200"/>
              <w:rPr>
                <w:sz w:val="24"/>
              </w:rPr>
            </w:pPr>
          </w:p>
          <w:p>
            <w:pPr>
              <w:spacing w:line="360" w:lineRule="auto"/>
              <w:ind w:firstLine="480" w:firstLineChars="200"/>
              <w:rPr>
                <w:sz w:val="24"/>
              </w:rPr>
            </w:pPr>
          </w:p>
          <w:p>
            <w:pPr>
              <w:spacing w:line="360" w:lineRule="auto"/>
              <w:ind w:firstLine="480" w:firstLineChars="200"/>
              <w:rPr>
                <w:sz w:val="24"/>
              </w:rPr>
            </w:pPr>
          </w:p>
          <w:p>
            <w:pPr>
              <w:spacing w:line="360" w:lineRule="auto"/>
              <w:ind w:firstLine="480" w:firstLineChars="200"/>
              <w:rPr>
                <w:sz w:val="24"/>
              </w:rPr>
            </w:pPr>
          </w:p>
          <w:p>
            <w:pPr>
              <w:spacing w:line="360" w:lineRule="auto"/>
              <w:ind w:firstLine="480" w:firstLineChars="200"/>
              <w:rPr>
                <w:sz w:val="24"/>
              </w:rPr>
            </w:pPr>
          </w:p>
          <w:p>
            <w:pPr>
              <w:spacing w:line="360" w:lineRule="auto"/>
              <w:ind w:firstLine="480" w:firstLineChars="200"/>
              <w:rPr>
                <w:sz w:val="24"/>
              </w:rPr>
            </w:pPr>
          </w:p>
          <w:p>
            <w:pPr>
              <w:spacing w:line="360" w:lineRule="auto"/>
              <w:ind w:firstLine="480" w:firstLineChars="200"/>
              <w:rPr>
                <w:sz w:val="24"/>
              </w:rPr>
            </w:pPr>
          </w:p>
          <w:p>
            <w:pPr>
              <w:spacing w:line="360" w:lineRule="auto"/>
              <w:rPr>
                <w:sz w:val="24"/>
              </w:rPr>
            </w:pPr>
          </w:p>
        </w:tc>
      </w:tr>
    </w:tbl>
    <w:p>
      <w:pPr>
        <w:pStyle w:val="18"/>
        <w:adjustRightInd w:val="0"/>
        <w:snapToGrid w:val="0"/>
        <w:spacing w:before="0" w:beforeAutospacing="0" w:after="0" w:afterAutospacing="0" w:line="14" w:lineRule="auto"/>
        <w:jc w:val="center"/>
        <w:outlineLvl w:val="0"/>
        <w:rPr>
          <w:rFonts w:ascii="Times New Roman" w:hAnsi="Times New Roman"/>
          <w:snapToGrid w:val="0"/>
          <w:sz w:val="30"/>
          <w:szCs w:val="30"/>
        </w:rPr>
        <w:sectPr>
          <w:pgSz w:w="11907" w:h="16840"/>
          <w:pgMar w:top="1701" w:right="1531" w:bottom="2127" w:left="1531" w:header="851" w:footer="851" w:gutter="0"/>
          <w:cols w:space="720" w:num="1"/>
          <w:docGrid w:linePitch="312" w:charSpace="0"/>
        </w:sectPr>
      </w:pPr>
    </w:p>
    <w:p>
      <w:pPr>
        <w:pStyle w:val="18"/>
        <w:jc w:val="center"/>
        <w:outlineLvl w:val="0"/>
        <w:rPr>
          <w:rFonts w:ascii="Times New Roman" w:hAnsi="Times New Roman"/>
          <w:b/>
          <w:bCs/>
          <w:snapToGrid w:val="0"/>
          <w:sz w:val="30"/>
          <w:szCs w:val="30"/>
        </w:rPr>
      </w:pPr>
      <w:r>
        <w:rPr>
          <w:rFonts w:hint="eastAsia" w:ascii="Times New Roman" w:hAnsi="Times New Roman"/>
          <w:b/>
          <w:bCs/>
          <w:snapToGrid w:val="0"/>
          <w:sz w:val="30"/>
          <w:szCs w:val="30"/>
        </w:rPr>
        <w:t>三、区域环境质量现状、环境保护目标及评价标准</w:t>
      </w:r>
    </w:p>
    <w:tbl>
      <w:tblPr>
        <w:tblStyle w:val="22"/>
        <w:tblW w:w="899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00"/>
        <w:gridCol w:w="819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06" w:hRule="atLeast"/>
          <w:jc w:val="center"/>
        </w:trPr>
        <w:tc>
          <w:tcPr>
            <w:tcW w:w="800" w:type="dxa"/>
            <w:vAlign w:val="center"/>
          </w:tcPr>
          <w:p>
            <w:pPr>
              <w:adjustRightInd w:val="0"/>
              <w:snapToGrid w:val="0"/>
              <w:jc w:val="center"/>
              <w:rPr>
                <w:rFonts w:cs="宋体"/>
                <w:kern w:val="0"/>
                <w:sz w:val="24"/>
              </w:rPr>
            </w:pPr>
          </w:p>
          <w:p>
            <w:pPr>
              <w:adjustRightInd w:val="0"/>
              <w:snapToGrid w:val="0"/>
              <w:jc w:val="center"/>
              <w:rPr>
                <w:rFonts w:cs="宋体"/>
                <w:kern w:val="0"/>
                <w:sz w:val="24"/>
              </w:rPr>
            </w:pPr>
          </w:p>
          <w:p>
            <w:pPr>
              <w:adjustRightInd w:val="0"/>
              <w:snapToGrid w:val="0"/>
              <w:jc w:val="center"/>
              <w:rPr>
                <w:rFonts w:cs="宋体"/>
                <w:kern w:val="0"/>
                <w:sz w:val="24"/>
              </w:rPr>
            </w:pPr>
          </w:p>
          <w:p>
            <w:pPr>
              <w:adjustRightInd w:val="0"/>
              <w:snapToGrid w:val="0"/>
              <w:jc w:val="center"/>
              <w:rPr>
                <w:rFonts w:cs="宋体"/>
                <w:kern w:val="0"/>
                <w:sz w:val="24"/>
              </w:rPr>
            </w:pPr>
          </w:p>
          <w:p>
            <w:pPr>
              <w:adjustRightInd w:val="0"/>
              <w:snapToGrid w:val="0"/>
              <w:jc w:val="center"/>
              <w:rPr>
                <w:rFonts w:cs="宋体"/>
                <w:kern w:val="0"/>
                <w:sz w:val="24"/>
              </w:rPr>
            </w:pPr>
          </w:p>
          <w:p>
            <w:pPr>
              <w:adjustRightInd w:val="0"/>
              <w:snapToGrid w:val="0"/>
              <w:jc w:val="center"/>
              <w:rPr>
                <w:rFonts w:cs="宋体"/>
                <w:kern w:val="0"/>
                <w:sz w:val="24"/>
              </w:rPr>
            </w:pPr>
          </w:p>
          <w:p>
            <w:pPr>
              <w:adjustRightInd w:val="0"/>
              <w:snapToGrid w:val="0"/>
              <w:jc w:val="center"/>
              <w:rPr>
                <w:rFonts w:cs="宋体"/>
                <w:kern w:val="0"/>
                <w:sz w:val="24"/>
              </w:rPr>
            </w:pPr>
          </w:p>
          <w:p>
            <w:pPr>
              <w:adjustRightInd w:val="0"/>
              <w:snapToGrid w:val="0"/>
              <w:jc w:val="center"/>
              <w:rPr>
                <w:rFonts w:cs="宋体"/>
                <w:kern w:val="0"/>
                <w:sz w:val="24"/>
              </w:rPr>
            </w:pPr>
          </w:p>
          <w:p>
            <w:pPr>
              <w:adjustRightInd w:val="0"/>
              <w:snapToGrid w:val="0"/>
              <w:jc w:val="center"/>
              <w:rPr>
                <w:rFonts w:cs="宋体"/>
                <w:kern w:val="0"/>
                <w:sz w:val="24"/>
              </w:rPr>
            </w:pPr>
          </w:p>
          <w:p>
            <w:pPr>
              <w:adjustRightInd w:val="0"/>
              <w:snapToGrid w:val="0"/>
              <w:jc w:val="center"/>
              <w:rPr>
                <w:rFonts w:cs="宋体"/>
                <w:kern w:val="0"/>
                <w:sz w:val="24"/>
              </w:rPr>
            </w:pPr>
          </w:p>
          <w:p>
            <w:pPr>
              <w:adjustRightInd w:val="0"/>
              <w:snapToGrid w:val="0"/>
              <w:jc w:val="center"/>
              <w:rPr>
                <w:rFonts w:cs="宋体"/>
                <w:kern w:val="0"/>
                <w:sz w:val="24"/>
              </w:rPr>
            </w:pPr>
          </w:p>
          <w:p>
            <w:pPr>
              <w:adjustRightInd w:val="0"/>
              <w:snapToGrid w:val="0"/>
              <w:jc w:val="center"/>
              <w:rPr>
                <w:rFonts w:cs="宋体"/>
                <w:kern w:val="0"/>
                <w:sz w:val="24"/>
              </w:rPr>
            </w:pPr>
          </w:p>
          <w:p>
            <w:pPr>
              <w:adjustRightInd w:val="0"/>
              <w:snapToGrid w:val="0"/>
              <w:jc w:val="center"/>
              <w:rPr>
                <w:rFonts w:cs="宋体"/>
                <w:kern w:val="0"/>
                <w:sz w:val="24"/>
              </w:rPr>
            </w:pPr>
          </w:p>
          <w:p>
            <w:pPr>
              <w:adjustRightInd w:val="0"/>
              <w:snapToGrid w:val="0"/>
              <w:jc w:val="center"/>
              <w:rPr>
                <w:rFonts w:cs="宋体"/>
                <w:kern w:val="0"/>
                <w:sz w:val="24"/>
              </w:rPr>
            </w:pPr>
          </w:p>
          <w:p>
            <w:pPr>
              <w:adjustRightInd w:val="0"/>
              <w:snapToGrid w:val="0"/>
              <w:jc w:val="center"/>
              <w:rPr>
                <w:rFonts w:cs="宋体"/>
                <w:kern w:val="0"/>
                <w:sz w:val="24"/>
              </w:rPr>
            </w:pPr>
          </w:p>
          <w:p>
            <w:pPr>
              <w:adjustRightInd w:val="0"/>
              <w:snapToGrid w:val="0"/>
              <w:jc w:val="center"/>
              <w:rPr>
                <w:rFonts w:cs="宋体"/>
                <w:kern w:val="0"/>
                <w:sz w:val="24"/>
              </w:rPr>
            </w:pPr>
          </w:p>
          <w:p>
            <w:pPr>
              <w:adjustRightInd w:val="0"/>
              <w:snapToGrid w:val="0"/>
              <w:jc w:val="center"/>
              <w:rPr>
                <w:rFonts w:cs="宋体"/>
                <w:kern w:val="0"/>
                <w:sz w:val="24"/>
              </w:rPr>
            </w:pPr>
          </w:p>
          <w:p>
            <w:pPr>
              <w:adjustRightInd w:val="0"/>
              <w:snapToGrid w:val="0"/>
              <w:jc w:val="center"/>
              <w:rPr>
                <w:rFonts w:cs="宋体"/>
                <w:kern w:val="0"/>
                <w:sz w:val="24"/>
              </w:rPr>
            </w:pPr>
          </w:p>
          <w:p>
            <w:pPr>
              <w:adjustRightInd w:val="0"/>
              <w:snapToGrid w:val="0"/>
              <w:jc w:val="center"/>
              <w:rPr>
                <w:rFonts w:cs="宋体"/>
                <w:kern w:val="0"/>
                <w:sz w:val="24"/>
              </w:rPr>
            </w:pPr>
            <w:r>
              <w:rPr>
                <w:rFonts w:hint="eastAsia" w:cs="宋体"/>
                <w:kern w:val="0"/>
                <w:sz w:val="24"/>
              </w:rPr>
              <w:t>区域</w:t>
            </w:r>
          </w:p>
          <w:p>
            <w:pPr>
              <w:adjustRightInd w:val="0"/>
              <w:snapToGrid w:val="0"/>
              <w:jc w:val="center"/>
              <w:rPr>
                <w:rFonts w:cs="宋体"/>
                <w:kern w:val="0"/>
                <w:sz w:val="24"/>
              </w:rPr>
            </w:pPr>
            <w:r>
              <w:rPr>
                <w:rFonts w:hint="eastAsia" w:cs="宋体"/>
                <w:kern w:val="0"/>
                <w:sz w:val="24"/>
              </w:rPr>
              <w:t>环境</w:t>
            </w:r>
          </w:p>
          <w:p>
            <w:pPr>
              <w:adjustRightInd w:val="0"/>
              <w:snapToGrid w:val="0"/>
              <w:jc w:val="center"/>
              <w:rPr>
                <w:rFonts w:cs="宋体"/>
                <w:kern w:val="0"/>
                <w:sz w:val="24"/>
              </w:rPr>
            </w:pPr>
            <w:r>
              <w:rPr>
                <w:rFonts w:hint="eastAsia" w:cs="宋体"/>
                <w:kern w:val="0"/>
                <w:sz w:val="24"/>
              </w:rPr>
              <w:t>质量</w:t>
            </w:r>
          </w:p>
          <w:p>
            <w:pPr>
              <w:adjustRightInd w:val="0"/>
              <w:snapToGrid w:val="0"/>
              <w:jc w:val="center"/>
              <w:rPr>
                <w:rFonts w:cs="宋体"/>
                <w:kern w:val="0"/>
                <w:sz w:val="24"/>
              </w:rPr>
            </w:pPr>
            <w:r>
              <w:rPr>
                <w:rFonts w:hint="eastAsia" w:cs="宋体"/>
                <w:kern w:val="0"/>
                <w:sz w:val="24"/>
              </w:rPr>
              <w:t>现状</w:t>
            </w:r>
          </w:p>
          <w:p>
            <w:pPr>
              <w:adjustRightInd w:val="0"/>
              <w:snapToGrid w:val="0"/>
              <w:jc w:val="center"/>
              <w:rPr>
                <w:rFonts w:cs="宋体"/>
                <w:kern w:val="0"/>
                <w:sz w:val="24"/>
              </w:rPr>
            </w:pPr>
          </w:p>
          <w:p>
            <w:pPr>
              <w:adjustRightInd w:val="0"/>
              <w:snapToGrid w:val="0"/>
              <w:jc w:val="center"/>
              <w:rPr>
                <w:rFonts w:cs="宋体"/>
                <w:kern w:val="0"/>
                <w:sz w:val="24"/>
              </w:rPr>
            </w:pPr>
          </w:p>
          <w:p>
            <w:pPr>
              <w:adjustRightInd w:val="0"/>
              <w:snapToGrid w:val="0"/>
              <w:jc w:val="center"/>
              <w:rPr>
                <w:rFonts w:cs="宋体"/>
                <w:kern w:val="0"/>
                <w:sz w:val="24"/>
              </w:rPr>
            </w:pPr>
          </w:p>
          <w:p>
            <w:pPr>
              <w:adjustRightInd w:val="0"/>
              <w:snapToGrid w:val="0"/>
              <w:jc w:val="center"/>
              <w:rPr>
                <w:rFonts w:cs="宋体"/>
                <w:kern w:val="0"/>
                <w:sz w:val="24"/>
              </w:rPr>
            </w:pPr>
          </w:p>
          <w:p>
            <w:pPr>
              <w:adjustRightInd w:val="0"/>
              <w:snapToGrid w:val="0"/>
              <w:jc w:val="center"/>
              <w:rPr>
                <w:rFonts w:cs="宋体"/>
                <w:kern w:val="0"/>
                <w:sz w:val="24"/>
              </w:rPr>
            </w:pPr>
          </w:p>
          <w:p>
            <w:pPr>
              <w:adjustRightInd w:val="0"/>
              <w:snapToGrid w:val="0"/>
              <w:jc w:val="center"/>
              <w:rPr>
                <w:rFonts w:cs="宋体"/>
                <w:kern w:val="0"/>
                <w:sz w:val="24"/>
              </w:rPr>
            </w:pPr>
          </w:p>
          <w:p>
            <w:pPr>
              <w:adjustRightInd w:val="0"/>
              <w:snapToGrid w:val="0"/>
              <w:jc w:val="center"/>
              <w:rPr>
                <w:rFonts w:cs="宋体"/>
                <w:kern w:val="0"/>
                <w:sz w:val="24"/>
              </w:rPr>
            </w:pPr>
          </w:p>
          <w:p>
            <w:pPr>
              <w:adjustRightInd w:val="0"/>
              <w:snapToGrid w:val="0"/>
              <w:jc w:val="center"/>
              <w:rPr>
                <w:rFonts w:cs="宋体"/>
                <w:kern w:val="0"/>
                <w:sz w:val="24"/>
              </w:rPr>
            </w:pPr>
          </w:p>
          <w:p>
            <w:pPr>
              <w:adjustRightInd w:val="0"/>
              <w:snapToGrid w:val="0"/>
              <w:jc w:val="center"/>
              <w:rPr>
                <w:rFonts w:cs="宋体"/>
                <w:kern w:val="0"/>
                <w:sz w:val="24"/>
              </w:rPr>
            </w:pPr>
          </w:p>
          <w:p>
            <w:pPr>
              <w:adjustRightInd w:val="0"/>
              <w:snapToGrid w:val="0"/>
              <w:jc w:val="center"/>
              <w:rPr>
                <w:rFonts w:cs="宋体"/>
                <w:kern w:val="0"/>
                <w:sz w:val="24"/>
              </w:rPr>
            </w:pPr>
          </w:p>
          <w:p>
            <w:pPr>
              <w:adjustRightInd w:val="0"/>
              <w:snapToGrid w:val="0"/>
              <w:jc w:val="center"/>
              <w:rPr>
                <w:rFonts w:cs="宋体"/>
                <w:kern w:val="0"/>
                <w:sz w:val="24"/>
              </w:rPr>
            </w:pPr>
          </w:p>
          <w:p>
            <w:pPr>
              <w:adjustRightInd w:val="0"/>
              <w:snapToGrid w:val="0"/>
              <w:jc w:val="center"/>
              <w:rPr>
                <w:rFonts w:cs="宋体"/>
                <w:kern w:val="0"/>
                <w:sz w:val="24"/>
              </w:rPr>
            </w:pPr>
          </w:p>
          <w:p>
            <w:pPr>
              <w:adjustRightInd w:val="0"/>
              <w:snapToGrid w:val="0"/>
              <w:jc w:val="center"/>
              <w:rPr>
                <w:rFonts w:cs="宋体"/>
                <w:kern w:val="0"/>
                <w:sz w:val="24"/>
              </w:rPr>
            </w:pPr>
          </w:p>
          <w:p>
            <w:pPr>
              <w:adjustRightInd w:val="0"/>
              <w:snapToGrid w:val="0"/>
              <w:jc w:val="center"/>
              <w:rPr>
                <w:rFonts w:cs="宋体"/>
                <w:kern w:val="0"/>
                <w:sz w:val="24"/>
              </w:rPr>
            </w:pPr>
          </w:p>
          <w:p>
            <w:pPr>
              <w:adjustRightInd w:val="0"/>
              <w:snapToGrid w:val="0"/>
              <w:jc w:val="center"/>
              <w:rPr>
                <w:rFonts w:cs="宋体"/>
                <w:kern w:val="0"/>
                <w:sz w:val="24"/>
              </w:rPr>
            </w:pPr>
          </w:p>
          <w:p>
            <w:pPr>
              <w:adjustRightInd w:val="0"/>
              <w:snapToGrid w:val="0"/>
              <w:jc w:val="center"/>
              <w:rPr>
                <w:rFonts w:cs="宋体"/>
                <w:kern w:val="0"/>
                <w:sz w:val="24"/>
              </w:rPr>
            </w:pPr>
          </w:p>
          <w:p>
            <w:pPr>
              <w:adjustRightInd w:val="0"/>
              <w:snapToGrid w:val="0"/>
              <w:jc w:val="center"/>
              <w:rPr>
                <w:rFonts w:cs="宋体"/>
                <w:kern w:val="0"/>
                <w:sz w:val="24"/>
              </w:rPr>
            </w:pPr>
          </w:p>
          <w:p>
            <w:pPr>
              <w:adjustRightInd w:val="0"/>
              <w:snapToGrid w:val="0"/>
              <w:jc w:val="center"/>
              <w:rPr>
                <w:rFonts w:cs="宋体"/>
                <w:kern w:val="0"/>
                <w:sz w:val="24"/>
              </w:rPr>
            </w:pPr>
          </w:p>
          <w:p>
            <w:pPr>
              <w:adjustRightInd w:val="0"/>
              <w:snapToGrid w:val="0"/>
              <w:jc w:val="center"/>
              <w:rPr>
                <w:rFonts w:cs="宋体"/>
                <w:kern w:val="0"/>
                <w:sz w:val="24"/>
              </w:rPr>
            </w:pPr>
          </w:p>
          <w:p>
            <w:pPr>
              <w:adjustRightInd w:val="0"/>
              <w:snapToGrid w:val="0"/>
              <w:jc w:val="center"/>
              <w:rPr>
                <w:rFonts w:cs="宋体"/>
                <w:kern w:val="0"/>
                <w:sz w:val="24"/>
              </w:rPr>
            </w:pPr>
          </w:p>
          <w:p>
            <w:pPr>
              <w:adjustRightInd w:val="0"/>
              <w:snapToGrid w:val="0"/>
              <w:jc w:val="center"/>
              <w:rPr>
                <w:rFonts w:cs="宋体"/>
                <w:kern w:val="0"/>
                <w:sz w:val="24"/>
              </w:rPr>
            </w:pPr>
          </w:p>
          <w:p>
            <w:pPr>
              <w:adjustRightInd w:val="0"/>
              <w:snapToGrid w:val="0"/>
              <w:jc w:val="center"/>
              <w:rPr>
                <w:rFonts w:cs="宋体"/>
                <w:kern w:val="0"/>
                <w:sz w:val="24"/>
              </w:rPr>
            </w:pPr>
          </w:p>
          <w:p>
            <w:pPr>
              <w:adjustRightInd w:val="0"/>
              <w:snapToGrid w:val="0"/>
              <w:jc w:val="center"/>
              <w:rPr>
                <w:rFonts w:cs="宋体"/>
                <w:kern w:val="0"/>
                <w:sz w:val="24"/>
              </w:rPr>
            </w:pPr>
          </w:p>
          <w:p>
            <w:pPr>
              <w:adjustRightInd w:val="0"/>
              <w:snapToGrid w:val="0"/>
              <w:jc w:val="center"/>
              <w:rPr>
                <w:rFonts w:cs="宋体"/>
                <w:kern w:val="0"/>
                <w:sz w:val="24"/>
              </w:rPr>
            </w:pPr>
          </w:p>
          <w:p>
            <w:pPr>
              <w:adjustRightInd w:val="0"/>
              <w:snapToGrid w:val="0"/>
              <w:jc w:val="center"/>
              <w:rPr>
                <w:rFonts w:cs="宋体"/>
                <w:kern w:val="0"/>
                <w:sz w:val="24"/>
              </w:rPr>
            </w:pPr>
          </w:p>
          <w:p>
            <w:pPr>
              <w:adjustRightInd w:val="0"/>
              <w:snapToGrid w:val="0"/>
              <w:jc w:val="center"/>
              <w:rPr>
                <w:rFonts w:cs="宋体"/>
                <w:kern w:val="0"/>
                <w:sz w:val="24"/>
              </w:rPr>
            </w:pPr>
          </w:p>
          <w:p>
            <w:pPr>
              <w:adjustRightInd w:val="0"/>
              <w:snapToGrid w:val="0"/>
              <w:jc w:val="center"/>
              <w:rPr>
                <w:rFonts w:cs="宋体"/>
                <w:kern w:val="0"/>
                <w:sz w:val="24"/>
              </w:rPr>
            </w:pPr>
          </w:p>
          <w:p>
            <w:pPr>
              <w:adjustRightInd w:val="0"/>
              <w:snapToGrid w:val="0"/>
              <w:jc w:val="center"/>
              <w:rPr>
                <w:rFonts w:cs="宋体"/>
                <w:kern w:val="0"/>
                <w:sz w:val="24"/>
              </w:rPr>
            </w:pPr>
          </w:p>
          <w:p>
            <w:pPr>
              <w:adjustRightInd w:val="0"/>
              <w:snapToGrid w:val="0"/>
              <w:jc w:val="center"/>
              <w:rPr>
                <w:rFonts w:cs="宋体"/>
                <w:kern w:val="0"/>
                <w:sz w:val="24"/>
              </w:rPr>
            </w:pPr>
          </w:p>
          <w:p>
            <w:pPr>
              <w:pStyle w:val="20"/>
              <w:ind w:firstLine="240"/>
              <w:rPr>
                <w:rFonts w:cs="宋体"/>
                <w:kern w:val="0"/>
                <w:sz w:val="24"/>
              </w:rPr>
            </w:pPr>
          </w:p>
          <w:p>
            <w:pPr>
              <w:pStyle w:val="20"/>
              <w:ind w:firstLine="240"/>
              <w:rPr>
                <w:rFonts w:cs="宋体"/>
                <w:kern w:val="0"/>
                <w:sz w:val="24"/>
              </w:rPr>
            </w:pPr>
          </w:p>
          <w:p>
            <w:pPr>
              <w:pStyle w:val="20"/>
              <w:ind w:firstLine="240"/>
              <w:rPr>
                <w:rFonts w:cs="宋体"/>
                <w:kern w:val="0"/>
                <w:sz w:val="24"/>
              </w:rPr>
            </w:pPr>
          </w:p>
          <w:p>
            <w:pPr>
              <w:adjustRightInd w:val="0"/>
              <w:snapToGrid w:val="0"/>
              <w:jc w:val="center"/>
              <w:rPr>
                <w:rFonts w:cs="宋体"/>
                <w:kern w:val="0"/>
                <w:sz w:val="24"/>
              </w:rPr>
            </w:pPr>
          </w:p>
          <w:p>
            <w:pPr>
              <w:adjustRightInd w:val="0"/>
              <w:snapToGrid w:val="0"/>
              <w:jc w:val="center"/>
              <w:rPr>
                <w:rFonts w:cs="宋体"/>
                <w:kern w:val="0"/>
                <w:sz w:val="24"/>
              </w:rPr>
            </w:pPr>
          </w:p>
          <w:p>
            <w:pPr>
              <w:adjustRightInd w:val="0"/>
              <w:snapToGrid w:val="0"/>
              <w:jc w:val="center"/>
              <w:rPr>
                <w:rFonts w:cs="宋体"/>
                <w:kern w:val="0"/>
                <w:sz w:val="24"/>
              </w:rPr>
            </w:pPr>
          </w:p>
          <w:p>
            <w:pPr>
              <w:adjustRightInd w:val="0"/>
              <w:snapToGrid w:val="0"/>
              <w:jc w:val="center"/>
              <w:rPr>
                <w:rFonts w:cs="宋体"/>
                <w:kern w:val="0"/>
                <w:sz w:val="24"/>
              </w:rPr>
            </w:pPr>
          </w:p>
          <w:p>
            <w:pPr>
              <w:adjustRightInd w:val="0"/>
              <w:snapToGrid w:val="0"/>
              <w:jc w:val="center"/>
              <w:rPr>
                <w:rFonts w:cs="宋体"/>
                <w:kern w:val="0"/>
                <w:sz w:val="24"/>
              </w:rPr>
            </w:pPr>
          </w:p>
          <w:p>
            <w:pPr>
              <w:adjustRightInd w:val="0"/>
              <w:snapToGrid w:val="0"/>
              <w:jc w:val="center"/>
              <w:rPr>
                <w:rFonts w:cs="宋体"/>
                <w:kern w:val="0"/>
                <w:sz w:val="24"/>
              </w:rPr>
            </w:pPr>
          </w:p>
          <w:p>
            <w:pPr>
              <w:adjustRightInd w:val="0"/>
              <w:snapToGrid w:val="0"/>
              <w:jc w:val="center"/>
              <w:rPr>
                <w:rFonts w:cs="宋体"/>
                <w:kern w:val="0"/>
                <w:sz w:val="24"/>
              </w:rPr>
            </w:pPr>
            <w:r>
              <w:rPr>
                <w:rFonts w:hint="eastAsia" w:cs="宋体"/>
                <w:kern w:val="0"/>
                <w:sz w:val="24"/>
              </w:rPr>
              <w:t>区域</w:t>
            </w:r>
          </w:p>
          <w:p>
            <w:pPr>
              <w:adjustRightInd w:val="0"/>
              <w:snapToGrid w:val="0"/>
              <w:jc w:val="center"/>
              <w:rPr>
                <w:rFonts w:cs="宋体"/>
                <w:kern w:val="0"/>
                <w:sz w:val="24"/>
              </w:rPr>
            </w:pPr>
            <w:r>
              <w:rPr>
                <w:rFonts w:hint="eastAsia" w:cs="宋体"/>
                <w:kern w:val="0"/>
                <w:sz w:val="24"/>
              </w:rPr>
              <w:t>环境</w:t>
            </w:r>
          </w:p>
          <w:p>
            <w:pPr>
              <w:adjustRightInd w:val="0"/>
              <w:snapToGrid w:val="0"/>
              <w:jc w:val="center"/>
              <w:rPr>
                <w:rFonts w:cs="宋体"/>
                <w:kern w:val="0"/>
                <w:sz w:val="24"/>
              </w:rPr>
            </w:pPr>
            <w:r>
              <w:rPr>
                <w:rFonts w:hint="eastAsia" w:cs="宋体"/>
                <w:kern w:val="0"/>
                <w:sz w:val="24"/>
              </w:rPr>
              <w:t>质量</w:t>
            </w:r>
          </w:p>
          <w:p>
            <w:pPr>
              <w:adjustRightInd w:val="0"/>
              <w:snapToGrid w:val="0"/>
              <w:jc w:val="center"/>
              <w:rPr>
                <w:rFonts w:cs="宋体"/>
                <w:kern w:val="0"/>
                <w:sz w:val="24"/>
              </w:rPr>
            </w:pPr>
            <w:r>
              <w:rPr>
                <w:rFonts w:hint="eastAsia" w:cs="宋体"/>
                <w:kern w:val="0"/>
                <w:sz w:val="24"/>
              </w:rPr>
              <w:t>现状</w:t>
            </w:r>
          </w:p>
          <w:p>
            <w:pPr>
              <w:adjustRightInd w:val="0"/>
              <w:snapToGrid w:val="0"/>
              <w:jc w:val="center"/>
              <w:rPr>
                <w:rFonts w:cs="宋体"/>
                <w:kern w:val="0"/>
                <w:sz w:val="24"/>
              </w:rPr>
            </w:pPr>
          </w:p>
          <w:p>
            <w:pPr>
              <w:adjustRightInd w:val="0"/>
              <w:snapToGrid w:val="0"/>
              <w:jc w:val="center"/>
              <w:rPr>
                <w:rFonts w:cs="宋体"/>
                <w:kern w:val="0"/>
                <w:sz w:val="24"/>
              </w:rPr>
            </w:pPr>
          </w:p>
          <w:p>
            <w:pPr>
              <w:adjustRightInd w:val="0"/>
              <w:snapToGrid w:val="0"/>
              <w:jc w:val="center"/>
              <w:rPr>
                <w:rFonts w:cs="宋体"/>
                <w:kern w:val="0"/>
                <w:sz w:val="24"/>
              </w:rPr>
            </w:pPr>
          </w:p>
          <w:p>
            <w:pPr>
              <w:adjustRightInd w:val="0"/>
              <w:snapToGrid w:val="0"/>
              <w:jc w:val="center"/>
              <w:rPr>
                <w:rFonts w:cs="宋体"/>
                <w:kern w:val="0"/>
                <w:sz w:val="24"/>
              </w:rPr>
            </w:pPr>
          </w:p>
          <w:p>
            <w:pPr>
              <w:adjustRightInd w:val="0"/>
              <w:snapToGrid w:val="0"/>
              <w:jc w:val="center"/>
              <w:rPr>
                <w:rFonts w:cs="宋体"/>
                <w:kern w:val="0"/>
                <w:sz w:val="24"/>
              </w:rPr>
            </w:pPr>
          </w:p>
          <w:p>
            <w:pPr>
              <w:adjustRightInd w:val="0"/>
              <w:snapToGrid w:val="0"/>
              <w:jc w:val="center"/>
              <w:rPr>
                <w:rFonts w:cs="宋体"/>
                <w:kern w:val="0"/>
                <w:sz w:val="24"/>
              </w:rPr>
            </w:pPr>
          </w:p>
          <w:p>
            <w:pPr>
              <w:pStyle w:val="20"/>
              <w:ind w:firstLine="240"/>
              <w:rPr>
                <w:rFonts w:cs="宋体"/>
                <w:kern w:val="0"/>
                <w:sz w:val="24"/>
              </w:rPr>
            </w:pPr>
          </w:p>
          <w:p>
            <w:pPr>
              <w:pStyle w:val="20"/>
              <w:ind w:firstLine="240"/>
              <w:rPr>
                <w:rFonts w:cs="宋体"/>
                <w:kern w:val="0"/>
                <w:sz w:val="24"/>
              </w:rPr>
            </w:pPr>
          </w:p>
          <w:p>
            <w:pPr>
              <w:pStyle w:val="20"/>
              <w:ind w:firstLine="240"/>
              <w:rPr>
                <w:rFonts w:cs="宋体"/>
                <w:kern w:val="0"/>
                <w:sz w:val="24"/>
              </w:rPr>
            </w:pPr>
          </w:p>
          <w:p>
            <w:pPr>
              <w:pStyle w:val="20"/>
              <w:ind w:firstLine="240"/>
              <w:rPr>
                <w:rFonts w:cs="宋体"/>
                <w:kern w:val="0"/>
                <w:sz w:val="24"/>
              </w:rPr>
            </w:pPr>
          </w:p>
          <w:p>
            <w:pPr>
              <w:pStyle w:val="20"/>
              <w:ind w:firstLine="240"/>
              <w:rPr>
                <w:rFonts w:cs="宋体"/>
                <w:kern w:val="0"/>
                <w:sz w:val="24"/>
              </w:rPr>
            </w:pPr>
          </w:p>
          <w:p>
            <w:pPr>
              <w:pStyle w:val="20"/>
              <w:ind w:firstLine="240"/>
              <w:rPr>
                <w:rFonts w:cs="宋体"/>
                <w:kern w:val="0"/>
                <w:sz w:val="24"/>
              </w:rPr>
            </w:pPr>
          </w:p>
          <w:p>
            <w:pPr>
              <w:adjustRightInd w:val="0"/>
              <w:snapToGrid w:val="0"/>
              <w:jc w:val="center"/>
              <w:rPr>
                <w:rFonts w:cs="宋体"/>
                <w:kern w:val="0"/>
                <w:sz w:val="24"/>
              </w:rPr>
            </w:pPr>
          </w:p>
          <w:p>
            <w:pPr>
              <w:adjustRightInd w:val="0"/>
              <w:snapToGrid w:val="0"/>
              <w:jc w:val="center"/>
              <w:rPr>
                <w:rFonts w:cs="宋体"/>
                <w:kern w:val="0"/>
                <w:sz w:val="24"/>
              </w:rPr>
            </w:pPr>
          </w:p>
          <w:p>
            <w:pPr>
              <w:adjustRightInd w:val="0"/>
              <w:snapToGrid w:val="0"/>
              <w:jc w:val="center"/>
              <w:rPr>
                <w:rFonts w:cs="宋体"/>
                <w:kern w:val="0"/>
                <w:sz w:val="24"/>
              </w:rPr>
            </w:pPr>
          </w:p>
          <w:p>
            <w:pPr>
              <w:adjustRightInd w:val="0"/>
              <w:snapToGrid w:val="0"/>
              <w:jc w:val="center"/>
              <w:rPr>
                <w:rFonts w:cs="宋体"/>
                <w:kern w:val="0"/>
                <w:sz w:val="24"/>
              </w:rPr>
            </w:pPr>
          </w:p>
          <w:p>
            <w:pPr>
              <w:adjustRightInd w:val="0"/>
              <w:snapToGrid w:val="0"/>
              <w:jc w:val="center"/>
              <w:rPr>
                <w:rFonts w:cs="宋体"/>
                <w:kern w:val="0"/>
                <w:sz w:val="24"/>
              </w:rPr>
            </w:pPr>
          </w:p>
          <w:p>
            <w:pPr>
              <w:adjustRightInd w:val="0"/>
              <w:snapToGrid w:val="0"/>
              <w:jc w:val="center"/>
              <w:rPr>
                <w:rFonts w:cs="宋体"/>
                <w:kern w:val="0"/>
                <w:sz w:val="24"/>
              </w:rPr>
            </w:pPr>
          </w:p>
          <w:p>
            <w:pPr>
              <w:adjustRightInd w:val="0"/>
              <w:snapToGrid w:val="0"/>
              <w:jc w:val="center"/>
              <w:rPr>
                <w:rFonts w:cs="宋体"/>
                <w:kern w:val="0"/>
                <w:sz w:val="24"/>
              </w:rPr>
            </w:pPr>
          </w:p>
          <w:p>
            <w:pPr>
              <w:adjustRightInd w:val="0"/>
              <w:snapToGrid w:val="0"/>
              <w:jc w:val="center"/>
              <w:rPr>
                <w:rFonts w:cs="宋体"/>
                <w:kern w:val="0"/>
                <w:sz w:val="24"/>
              </w:rPr>
            </w:pPr>
          </w:p>
        </w:tc>
        <w:tc>
          <w:tcPr>
            <w:tcW w:w="8190" w:type="dxa"/>
            <w:vAlign w:val="center"/>
          </w:tcPr>
          <w:p>
            <w:pPr>
              <w:autoSpaceDE w:val="0"/>
              <w:autoSpaceDN w:val="0"/>
              <w:adjustRightInd w:val="0"/>
              <w:snapToGrid w:val="0"/>
              <w:spacing w:line="360" w:lineRule="auto"/>
              <w:ind w:firstLine="482" w:firstLineChars="200"/>
              <w:rPr>
                <w:rFonts w:cs="宋体"/>
                <w:b/>
                <w:bCs/>
                <w:kern w:val="0"/>
                <w:sz w:val="24"/>
              </w:rPr>
            </w:pPr>
            <w:r>
              <w:rPr>
                <w:rFonts w:hint="eastAsia" w:cs="宋体"/>
                <w:b/>
                <w:bCs/>
                <w:kern w:val="0"/>
                <w:sz w:val="24"/>
              </w:rPr>
              <w:t>1 环境空气质量现状</w:t>
            </w:r>
          </w:p>
          <w:p>
            <w:pPr>
              <w:autoSpaceDE w:val="0"/>
              <w:autoSpaceDN w:val="0"/>
              <w:adjustRightInd w:val="0"/>
              <w:snapToGrid w:val="0"/>
              <w:spacing w:line="360" w:lineRule="auto"/>
              <w:ind w:firstLine="480" w:firstLineChars="200"/>
              <w:rPr>
                <w:rFonts w:cs="宋体"/>
                <w:kern w:val="0"/>
                <w:sz w:val="24"/>
              </w:rPr>
            </w:pPr>
            <w:r>
              <w:rPr>
                <w:rFonts w:cs="宋体"/>
                <w:kern w:val="0"/>
                <w:sz w:val="24"/>
              </w:rPr>
              <w:t>根据环境空气质量功能区划分，项目所在地为二类功能区</w:t>
            </w:r>
            <w:r>
              <w:rPr>
                <w:rFonts w:hint="eastAsia" w:cs="宋体"/>
                <w:kern w:val="0"/>
                <w:sz w:val="24"/>
              </w:rPr>
              <w:t>，</w:t>
            </w:r>
            <w:r>
              <w:rPr>
                <w:rFonts w:cs="宋体"/>
                <w:kern w:val="0"/>
                <w:sz w:val="24"/>
              </w:rPr>
              <w:t>环境空气质量执行《环境空气质量标准》（GB3095-2012）中规定的二级标准。</w:t>
            </w:r>
          </w:p>
          <w:p>
            <w:pPr>
              <w:autoSpaceDE w:val="0"/>
              <w:autoSpaceDN w:val="0"/>
              <w:adjustRightInd w:val="0"/>
              <w:snapToGrid w:val="0"/>
              <w:spacing w:line="360" w:lineRule="auto"/>
              <w:ind w:firstLine="480" w:firstLineChars="200"/>
              <w:rPr>
                <w:rFonts w:cs="宋体"/>
                <w:kern w:val="0"/>
                <w:sz w:val="24"/>
              </w:rPr>
            </w:pPr>
            <w:r>
              <w:rPr>
                <w:rFonts w:cs="宋体"/>
                <w:kern w:val="0"/>
                <w:sz w:val="24"/>
              </w:rPr>
              <w:t>本次环境空气质量现状引用河南省城市环境空气质量自动监控中</w:t>
            </w:r>
            <w:r>
              <w:rPr>
                <w:rFonts w:hint="eastAsia" w:cs="宋体"/>
                <w:kern w:val="0"/>
                <w:sz w:val="24"/>
              </w:rPr>
              <w:t>心</w:t>
            </w:r>
            <w:r>
              <w:rPr>
                <w:rFonts w:cs="宋体"/>
                <w:kern w:val="0"/>
                <w:sz w:val="24"/>
              </w:rPr>
              <w:t>对鲁山县的监测数据</w:t>
            </w:r>
            <w:r>
              <w:rPr>
                <w:rFonts w:hint="eastAsia" w:cs="宋体"/>
                <w:kern w:val="0"/>
                <w:sz w:val="24"/>
              </w:rPr>
              <w:t>（</w:t>
            </w:r>
            <w:r>
              <w:rPr>
                <w:rFonts w:hint="eastAsia" w:cs="宋体"/>
                <w:bCs/>
                <w:kern w:val="0"/>
                <w:sz w:val="24"/>
              </w:rPr>
              <w:t>本项目西距鲁山县县城约</w:t>
            </w:r>
            <w:r>
              <w:rPr>
                <w:rFonts w:cs="宋体"/>
                <w:bCs/>
                <w:kern w:val="0"/>
                <w:sz w:val="24"/>
              </w:rPr>
              <w:t>1.6</w:t>
            </w:r>
            <w:r>
              <w:rPr>
                <w:rFonts w:hint="eastAsia" w:cs="宋体"/>
                <w:bCs/>
                <w:kern w:val="0"/>
                <w:sz w:val="24"/>
              </w:rPr>
              <w:t>km</w:t>
            </w:r>
            <w:r>
              <w:rPr>
                <w:rFonts w:hint="eastAsia" w:cs="宋体"/>
                <w:kern w:val="0"/>
                <w:sz w:val="24"/>
              </w:rPr>
              <w:t>）</w:t>
            </w:r>
            <w:r>
              <w:rPr>
                <w:rFonts w:cs="宋体"/>
                <w:kern w:val="0"/>
                <w:sz w:val="24"/>
              </w:rPr>
              <w:t>，监测时间为</w:t>
            </w:r>
            <w:r>
              <w:rPr>
                <w:rFonts w:hint="eastAsia" w:cs="宋体"/>
                <w:kern w:val="0"/>
                <w:sz w:val="24"/>
              </w:rPr>
              <w:t>2020</w:t>
            </w:r>
            <w:r>
              <w:rPr>
                <w:rFonts w:cs="宋体"/>
                <w:kern w:val="0"/>
                <w:sz w:val="24"/>
              </w:rPr>
              <w:t>年</w:t>
            </w:r>
            <w:r>
              <w:rPr>
                <w:rFonts w:hint="eastAsia" w:cs="宋体"/>
                <w:kern w:val="0"/>
                <w:sz w:val="24"/>
              </w:rPr>
              <w:t>01月~2020年12月</w:t>
            </w:r>
            <w:r>
              <w:rPr>
                <w:rFonts w:cs="宋体"/>
                <w:kern w:val="0"/>
                <w:sz w:val="24"/>
              </w:rPr>
              <w:t>，监测因子为SO</w:t>
            </w:r>
            <w:r>
              <w:rPr>
                <w:rFonts w:cs="宋体"/>
                <w:kern w:val="0"/>
                <w:sz w:val="24"/>
                <w:vertAlign w:val="subscript"/>
              </w:rPr>
              <w:t>2</w:t>
            </w:r>
            <w:r>
              <w:rPr>
                <w:rFonts w:cs="宋体"/>
                <w:kern w:val="0"/>
                <w:sz w:val="24"/>
              </w:rPr>
              <w:t>、NO</w:t>
            </w:r>
            <w:r>
              <w:rPr>
                <w:rFonts w:cs="宋体"/>
                <w:kern w:val="0"/>
                <w:sz w:val="24"/>
                <w:vertAlign w:val="subscript"/>
              </w:rPr>
              <w:t>2</w:t>
            </w:r>
            <w:r>
              <w:rPr>
                <w:rFonts w:cs="宋体"/>
                <w:kern w:val="0"/>
                <w:sz w:val="24"/>
              </w:rPr>
              <w:t>、PM</w:t>
            </w:r>
            <w:r>
              <w:rPr>
                <w:rFonts w:cs="宋体"/>
                <w:kern w:val="0"/>
                <w:sz w:val="24"/>
                <w:vertAlign w:val="subscript"/>
              </w:rPr>
              <w:t>10</w:t>
            </w:r>
            <w:r>
              <w:rPr>
                <w:rFonts w:cs="宋体"/>
                <w:kern w:val="0"/>
                <w:sz w:val="24"/>
              </w:rPr>
              <w:t>、PM</w:t>
            </w:r>
            <w:r>
              <w:rPr>
                <w:rFonts w:cs="宋体"/>
                <w:kern w:val="0"/>
                <w:sz w:val="24"/>
                <w:vertAlign w:val="subscript"/>
              </w:rPr>
              <w:t>2.5</w:t>
            </w:r>
            <w:r>
              <w:rPr>
                <w:rFonts w:cs="宋体"/>
                <w:kern w:val="0"/>
                <w:sz w:val="24"/>
              </w:rPr>
              <w:t>、CO、O</w:t>
            </w:r>
            <w:r>
              <w:rPr>
                <w:rFonts w:cs="宋体"/>
                <w:kern w:val="0"/>
                <w:sz w:val="24"/>
                <w:vertAlign w:val="subscript"/>
              </w:rPr>
              <w:t>3</w:t>
            </w:r>
            <w:r>
              <w:rPr>
                <w:rFonts w:cs="宋体"/>
                <w:kern w:val="0"/>
                <w:sz w:val="24"/>
              </w:rPr>
              <w:t>共6项，环境空气质量常规监测数据统计结果见下表。</w:t>
            </w:r>
          </w:p>
          <w:p>
            <w:pPr>
              <w:autoSpaceDE w:val="0"/>
              <w:autoSpaceDN w:val="0"/>
              <w:adjustRightInd w:val="0"/>
              <w:snapToGrid w:val="0"/>
              <w:spacing w:line="400" w:lineRule="exact"/>
              <w:ind w:firstLine="960" w:firstLineChars="400"/>
              <w:rPr>
                <w:rFonts w:eastAsia="黑体"/>
                <w:sz w:val="24"/>
                <w:szCs w:val="22"/>
              </w:rPr>
            </w:pPr>
            <w:r>
              <w:rPr>
                <w:rFonts w:eastAsia="黑体"/>
                <w:sz w:val="24"/>
                <w:szCs w:val="22"/>
              </w:rPr>
              <w:t>表16          环境空气质量常规监测数据</w:t>
            </w:r>
          </w:p>
          <w:tbl>
            <w:tblPr>
              <w:tblStyle w:val="22"/>
              <w:tblW w:w="7964"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720"/>
              <w:gridCol w:w="1134"/>
              <w:gridCol w:w="1842"/>
              <w:gridCol w:w="1134"/>
              <w:gridCol w:w="1276"/>
              <w:gridCol w:w="992"/>
              <w:gridCol w:w="866"/>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20" w:type="dxa"/>
                  <w:tcMar>
                    <w:top w:w="28" w:type="dxa"/>
                    <w:bottom w:w="28" w:type="dxa"/>
                  </w:tcMar>
                  <w:vAlign w:val="center"/>
                </w:tcPr>
                <w:p>
                  <w:pPr>
                    <w:pStyle w:val="12"/>
                    <w:spacing w:before="0" w:line="240" w:lineRule="auto"/>
                    <w:ind w:left="0" w:right="0"/>
                    <w:jc w:val="center"/>
                    <w:rPr>
                      <w:bCs/>
                      <w:sz w:val="21"/>
                      <w:szCs w:val="21"/>
                    </w:rPr>
                  </w:pPr>
                  <w:r>
                    <w:rPr>
                      <w:bCs/>
                      <w:sz w:val="21"/>
                      <w:szCs w:val="21"/>
                    </w:rPr>
                    <w:t>监测点位</w:t>
                  </w:r>
                </w:p>
              </w:tc>
              <w:tc>
                <w:tcPr>
                  <w:tcW w:w="1134" w:type="dxa"/>
                  <w:tcMar>
                    <w:top w:w="28" w:type="dxa"/>
                    <w:bottom w:w="28" w:type="dxa"/>
                  </w:tcMar>
                  <w:vAlign w:val="center"/>
                </w:tcPr>
                <w:p>
                  <w:pPr>
                    <w:pStyle w:val="12"/>
                    <w:spacing w:before="0" w:line="240" w:lineRule="auto"/>
                    <w:ind w:left="0" w:right="0"/>
                    <w:jc w:val="center"/>
                    <w:rPr>
                      <w:bCs/>
                      <w:sz w:val="21"/>
                      <w:szCs w:val="21"/>
                    </w:rPr>
                  </w:pPr>
                  <w:r>
                    <w:rPr>
                      <w:bCs/>
                      <w:sz w:val="21"/>
                      <w:szCs w:val="21"/>
                    </w:rPr>
                    <w:t>监测因子</w:t>
                  </w:r>
                </w:p>
              </w:tc>
              <w:tc>
                <w:tcPr>
                  <w:tcW w:w="1842" w:type="dxa"/>
                  <w:tcMar>
                    <w:top w:w="28" w:type="dxa"/>
                    <w:bottom w:w="28" w:type="dxa"/>
                  </w:tcMar>
                  <w:vAlign w:val="center"/>
                </w:tcPr>
                <w:p>
                  <w:pPr>
                    <w:pStyle w:val="12"/>
                    <w:spacing w:before="0" w:line="240" w:lineRule="auto"/>
                    <w:ind w:left="0" w:right="0"/>
                    <w:jc w:val="center"/>
                    <w:rPr>
                      <w:bCs/>
                      <w:sz w:val="21"/>
                      <w:szCs w:val="21"/>
                    </w:rPr>
                  </w:pPr>
                  <w:r>
                    <w:rPr>
                      <w:rFonts w:hint="eastAsia"/>
                      <w:bCs/>
                      <w:sz w:val="21"/>
                      <w:szCs w:val="21"/>
                    </w:rPr>
                    <w:t>评价指标</w:t>
                  </w:r>
                </w:p>
              </w:tc>
              <w:tc>
                <w:tcPr>
                  <w:tcW w:w="1134" w:type="dxa"/>
                  <w:tcMar>
                    <w:top w:w="28" w:type="dxa"/>
                    <w:bottom w:w="28" w:type="dxa"/>
                  </w:tcMar>
                  <w:vAlign w:val="center"/>
                </w:tcPr>
                <w:p>
                  <w:pPr>
                    <w:pStyle w:val="12"/>
                    <w:spacing w:before="0" w:line="240" w:lineRule="auto"/>
                    <w:ind w:left="0" w:right="0"/>
                    <w:jc w:val="center"/>
                    <w:rPr>
                      <w:bCs/>
                      <w:sz w:val="21"/>
                      <w:szCs w:val="21"/>
                    </w:rPr>
                  </w:pPr>
                  <w:r>
                    <w:rPr>
                      <w:bCs/>
                      <w:sz w:val="21"/>
                      <w:szCs w:val="21"/>
                    </w:rPr>
                    <w:t>监测结果</w:t>
                  </w:r>
                </w:p>
              </w:tc>
              <w:tc>
                <w:tcPr>
                  <w:tcW w:w="1276" w:type="dxa"/>
                  <w:tcMar>
                    <w:top w:w="28" w:type="dxa"/>
                    <w:bottom w:w="28" w:type="dxa"/>
                  </w:tcMar>
                  <w:vAlign w:val="center"/>
                </w:tcPr>
                <w:p>
                  <w:pPr>
                    <w:pStyle w:val="12"/>
                    <w:spacing w:before="0" w:line="240" w:lineRule="auto"/>
                    <w:ind w:left="0" w:right="0"/>
                    <w:jc w:val="center"/>
                    <w:rPr>
                      <w:bCs/>
                      <w:sz w:val="21"/>
                      <w:szCs w:val="21"/>
                    </w:rPr>
                  </w:pPr>
                  <w:r>
                    <w:rPr>
                      <w:bCs/>
                      <w:sz w:val="21"/>
                      <w:szCs w:val="21"/>
                    </w:rPr>
                    <w:t>标准限值</w:t>
                  </w:r>
                </w:p>
              </w:tc>
              <w:tc>
                <w:tcPr>
                  <w:tcW w:w="992" w:type="dxa"/>
                  <w:tcMar>
                    <w:top w:w="28" w:type="dxa"/>
                    <w:bottom w:w="28" w:type="dxa"/>
                  </w:tcMar>
                  <w:vAlign w:val="center"/>
                </w:tcPr>
                <w:p>
                  <w:pPr>
                    <w:pStyle w:val="12"/>
                    <w:spacing w:before="0" w:line="240" w:lineRule="auto"/>
                    <w:ind w:left="0" w:right="0"/>
                    <w:jc w:val="center"/>
                    <w:rPr>
                      <w:bCs/>
                      <w:sz w:val="21"/>
                      <w:szCs w:val="21"/>
                    </w:rPr>
                  </w:pPr>
                  <w:r>
                    <w:rPr>
                      <w:bCs/>
                      <w:sz w:val="21"/>
                      <w:szCs w:val="21"/>
                    </w:rPr>
                    <w:t>占标率%</w:t>
                  </w:r>
                </w:p>
              </w:tc>
              <w:tc>
                <w:tcPr>
                  <w:tcW w:w="866" w:type="dxa"/>
                  <w:tcMar>
                    <w:top w:w="28" w:type="dxa"/>
                    <w:bottom w:w="28" w:type="dxa"/>
                  </w:tcMar>
                  <w:vAlign w:val="center"/>
                </w:tcPr>
                <w:p>
                  <w:pPr>
                    <w:pStyle w:val="12"/>
                    <w:spacing w:before="0" w:line="240" w:lineRule="auto"/>
                    <w:ind w:left="0" w:right="0"/>
                    <w:jc w:val="center"/>
                    <w:rPr>
                      <w:bCs/>
                      <w:sz w:val="21"/>
                      <w:szCs w:val="21"/>
                    </w:rPr>
                  </w:pPr>
                  <w:r>
                    <w:rPr>
                      <w:bCs/>
                      <w:sz w:val="21"/>
                      <w:szCs w:val="21"/>
                    </w:rPr>
                    <w:t>是否</w:t>
                  </w:r>
                </w:p>
                <w:p>
                  <w:pPr>
                    <w:pStyle w:val="12"/>
                    <w:spacing w:before="0" w:line="240" w:lineRule="auto"/>
                    <w:ind w:left="0" w:right="0"/>
                    <w:jc w:val="center"/>
                    <w:rPr>
                      <w:bCs/>
                      <w:sz w:val="21"/>
                      <w:szCs w:val="21"/>
                    </w:rPr>
                  </w:pPr>
                  <w:r>
                    <w:rPr>
                      <w:bCs/>
                      <w:sz w:val="21"/>
                      <w:szCs w:val="21"/>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20" w:type="dxa"/>
                  <w:vMerge w:val="restart"/>
                  <w:tcMar>
                    <w:top w:w="28" w:type="dxa"/>
                    <w:bottom w:w="28" w:type="dxa"/>
                  </w:tcMar>
                  <w:vAlign w:val="center"/>
                </w:tcPr>
                <w:p>
                  <w:pPr>
                    <w:pStyle w:val="12"/>
                    <w:spacing w:before="0" w:line="240" w:lineRule="auto"/>
                    <w:ind w:left="0" w:right="0"/>
                    <w:jc w:val="center"/>
                    <w:rPr>
                      <w:bCs/>
                      <w:sz w:val="21"/>
                      <w:szCs w:val="21"/>
                    </w:rPr>
                  </w:pPr>
                  <w:r>
                    <w:rPr>
                      <w:bCs/>
                      <w:sz w:val="21"/>
                      <w:szCs w:val="21"/>
                    </w:rPr>
                    <w:t>鲁山县</w:t>
                  </w:r>
                </w:p>
              </w:tc>
              <w:tc>
                <w:tcPr>
                  <w:tcW w:w="1134" w:type="dxa"/>
                  <w:tcMar>
                    <w:top w:w="28" w:type="dxa"/>
                    <w:bottom w:w="28" w:type="dxa"/>
                  </w:tcMar>
                  <w:vAlign w:val="center"/>
                </w:tcPr>
                <w:p>
                  <w:pPr>
                    <w:pStyle w:val="12"/>
                    <w:spacing w:before="0" w:line="240" w:lineRule="auto"/>
                    <w:ind w:left="0" w:right="0"/>
                    <w:jc w:val="center"/>
                    <w:rPr>
                      <w:bCs/>
                      <w:sz w:val="21"/>
                      <w:szCs w:val="21"/>
                    </w:rPr>
                  </w:pPr>
                  <w:r>
                    <w:rPr>
                      <w:bCs/>
                      <w:sz w:val="21"/>
                      <w:szCs w:val="21"/>
                    </w:rPr>
                    <w:t>SO</w:t>
                  </w:r>
                  <w:r>
                    <w:rPr>
                      <w:bCs/>
                      <w:sz w:val="21"/>
                      <w:szCs w:val="21"/>
                      <w:vertAlign w:val="subscript"/>
                    </w:rPr>
                    <w:t>2</w:t>
                  </w:r>
                </w:p>
              </w:tc>
              <w:tc>
                <w:tcPr>
                  <w:tcW w:w="1842" w:type="dxa"/>
                  <w:tcMar>
                    <w:top w:w="28" w:type="dxa"/>
                    <w:bottom w:w="28" w:type="dxa"/>
                  </w:tcMar>
                  <w:vAlign w:val="center"/>
                </w:tcPr>
                <w:p>
                  <w:pPr>
                    <w:pStyle w:val="12"/>
                    <w:spacing w:before="0" w:line="240" w:lineRule="auto"/>
                    <w:ind w:left="0" w:right="0"/>
                    <w:jc w:val="center"/>
                    <w:rPr>
                      <w:bCs/>
                      <w:sz w:val="21"/>
                      <w:szCs w:val="21"/>
                    </w:rPr>
                  </w:pPr>
                  <w:r>
                    <w:rPr>
                      <w:bCs/>
                      <w:sz w:val="21"/>
                      <w:szCs w:val="21"/>
                    </w:rPr>
                    <w:t>年平均</w:t>
                  </w:r>
                  <w:r>
                    <w:rPr>
                      <w:rFonts w:hint="eastAsia"/>
                      <w:bCs/>
                      <w:sz w:val="21"/>
                      <w:szCs w:val="21"/>
                    </w:rPr>
                    <w:t>质量浓度</w:t>
                  </w:r>
                </w:p>
              </w:tc>
              <w:tc>
                <w:tcPr>
                  <w:tcW w:w="1134" w:type="dxa"/>
                  <w:tcMar>
                    <w:top w:w="28" w:type="dxa"/>
                    <w:bottom w:w="28" w:type="dxa"/>
                  </w:tcMar>
                  <w:vAlign w:val="center"/>
                </w:tcPr>
                <w:p>
                  <w:pPr>
                    <w:pStyle w:val="12"/>
                    <w:spacing w:before="0" w:line="240" w:lineRule="auto"/>
                    <w:ind w:left="0" w:right="0"/>
                    <w:jc w:val="center"/>
                    <w:rPr>
                      <w:bCs/>
                      <w:sz w:val="21"/>
                      <w:szCs w:val="21"/>
                    </w:rPr>
                  </w:pPr>
                  <w:r>
                    <w:rPr>
                      <w:rFonts w:hint="eastAsia"/>
                      <w:bCs/>
                      <w:sz w:val="21"/>
                      <w:szCs w:val="21"/>
                    </w:rPr>
                    <w:t>10</w:t>
                  </w:r>
                  <w:r>
                    <w:rPr>
                      <w:bCs/>
                      <w:sz w:val="21"/>
                      <w:szCs w:val="21"/>
                    </w:rPr>
                    <w:t>ug/m</w:t>
                  </w:r>
                  <w:r>
                    <w:rPr>
                      <w:bCs/>
                      <w:sz w:val="21"/>
                      <w:szCs w:val="21"/>
                      <w:vertAlign w:val="superscript"/>
                    </w:rPr>
                    <w:t>3</w:t>
                  </w:r>
                </w:p>
              </w:tc>
              <w:tc>
                <w:tcPr>
                  <w:tcW w:w="1276" w:type="dxa"/>
                  <w:tcMar>
                    <w:top w:w="28" w:type="dxa"/>
                    <w:bottom w:w="28" w:type="dxa"/>
                  </w:tcMar>
                  <w:vAlign w:val="center"/>
                </w:tcPr>
                <w:p>
                  <w:pPr>
                    <w:pStyle w:val="12"/>
                    <w:spacing w:before="0" w:line="240" w:lineRule="auto"/>
                    <w:ind w:left="0" w:right="0"/>
                    <w:jc w:val="center"/>
                    <w:rPr>
                      <w:bCs/>
                      <w:sz w:val="21"/>
                      <w:szCs w:val="21"/>
                    </w:rPr>
                  </w:pPr>
                  <w:r>
                    <w:rPr>
                      <w:bCs/>
                      <w:sz w:val="21"/>
                      <w:szCs w:val="21"/>
                    </w:rPr>
                    <w:t>60ug/m</w:t>
                  </w:r>
                  <w:r>
                    <w:rPr>
                      <w:bCs/>
                      <w:sz w:val="21"/>
                      <w:szCs w:val="21"/>
                      <w:vertAlign w:val="superscript"/>
                    </w:rPr>
                    <w:t>3</w:t>
                  </w:r>
                </w:p>
              </w:tc>
              <w:tc>
                <w:tcPr>
                  <w:tcW w:w="992" w:type="dxa"/>
                  <w:tcMar>
                    <w:top w:w="28" w:type="dxa"/>
                    <w:bottom w:w="28" w:type="dxa"/>
                  </w:tcMar>
                  <w:vAlign w:val="center"/>
                </w:tcPr>
                <w:p>
                  <w:pPr>
                    <w:pStyle w:val="12"/>
                    <w:spacing w:before="0" w:line="240" w:lineRule="auto"/>
                    <w:ind w:left="0" w:right="0"/>
                    <w:jc w:val="center"/>
                    <w:rPr>
                      <w:bCs/>
                      <w:sz w:val="21"/>
                      <w:szCs w:val="21"/>
                    </w:rPr>
                  </w:pPr>
                  <w:r>
                    <w:rPr>
                      <w:bCs/>
                      <w:sz w:val="21"/>
                      <w:szCs w:val="21"/>
                    </w:rPr>
                    <w:t>16.7</w:t>
                  </w:r>
                </w:p>
              </w:tc>
              <w:tc>
                <w:tcPr>
                  <w:tcW w:w="866" w:type="dxa"/>
                  <w:tcMar>
                    <w:top w:w="28" w:type="dxa"/>
                    <w:bottom w:w="28" w:type="dxa"/>
                  </w:tcMar>
                  <w:vAlign w:val="center"/>
                </w:tcPr>
                <w:p>
                  <w:pPr>
                    <w:pStyle w:val="12"/>
                    <w:spacing w:before="0" w:line="240" w:lineRule="auto"/>
                    <w:ind w:left="0" w:right="0"/>
                    <w:jc w:val="center"/>
                    <w:rPr>
                      <w:bCs/>
                      <w:sz w:val="21"/>
                      <w:szCs w:val="21"/>
                    </w:rPr>
                  </w:pPr>
                  <w:r>
                    <w:rPr>
                      <w:bCs/>
                      <w:sz w:val="21"/>
                      <w:szCs w:val="21"/>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20" w:type="dxa"/>
                  <w:vMerge w:val="continue"/>
                  <w:tcMar>
                    <w:top w:w="28" w:type="dxa"/>
                    <w:bottom w:w="28" w:type="dxa"/>
                  </w:tcMar>
                  <w:vAlign w:val="center"/>
                </w:tcPr>
                <w:p>
                  <w:pPr>
                    <w:pStyle w:val="12"/>
                    <w:spacing w:before="0" w:line="240" w:lineRule="auto"/>
                    <w:ind w:left="0" w:right="0"/>
                    <w:jc w:val="center"/>
                    <w:rPr>
                      <w:bCs/>
                      <w:sz w:val="21"/>
                      <w:szCs w:val="21"/>
                    </w:rPr>
                  </w:pPr>
                </w:p>
              </w:tc>
              <w:tc>
                <w:tcPr>
                  <w:tcW w:w="1134" w:type="dxa"/>
                  <w:tcMar>
                    <w:top w:w="28" w:type="dxa"/>
                    <w:bottom w:w="28" w:type="dxa"/>
                  </w:tcMar>
                  <w:vAlign w:val="center"/>
                </w:tcPr>
                <w:p>
                  <w:pPr>
                    <w:pStyle w:val="12"/>
                    <w:spacing w:before="0" w:line="240" w:lineRule="auto"/>
                    <w:ind w:left="0" w:right="0"/>
                    <w:jc w:val="center"/>
                    <w:rPr>
                      <w:bCs/>
                      <w:sz w:val="21"/>
                      <w:szCs w:val="21"/>
                    </w:rPr>
                  </w:pPr>
                  <w:r>
                    <w:rPr>
                      <w:bCs/>
                      <w:sz w:val="21"/>
                      <w:szCs w:val="21"/>
                    </w:rPr>
                    <w:t>NO</w:t>
                  </w:r>
                  <w:r>
                    <w:rPr>
                      <w:bCs/>
                      <w:sz w:val="21"/>
                      <w:szCs w:val="21"/>
                      <w:vertAlign w:val="subscript"/>
                    </w:rPr>
                    <w:t>2</w:t>
                  </w:r>
                </w:p>
              </w:tc>
              <w:tc>
                <w:tcPr>
                  <w:tcW w:w="1842" w:type="dxa"/>
                  <w:tcMar>
                    <w:top w:w="28" w:type="dxa"/>
                    <w:bottom w:w="28" w:type="dxa"/>
                  </w:tcMar>
                  <w:vAlign w:val="center"/>
                </w:tcPr>
                <w:p>
                  <w:pPr>
                    <w:pStyle w:val="12"/>
                    <w:spacing w:before="0" w:line="240" w:lineRule="auto"/>
                    <w:ind w:left="0" w:right="0"/>
                    <w:jc w:val="center"/>
                    <w:rPr>
                      <w:bCs/>
                      <w:sz w:val="21"/>
                      <w:szCs w:val="21"/>
                    </w:rPr>
                  </w:pPr>
                  <w:r>
                    <w:rPr>
                      <w:bCs/>
                      <w:sz w:val="21"/>
                      <w:szCs w:val="21"/>
                    </w:rPr>
                    <w:t>年平均</w:t>
                  </w:r>
                  <w:r>
                    <w:rPr>
                      <w:rFonts w:hint="eastAsia"/>
                      <w:bCs/>
                      <w:sz w:val="21"/>
                      <w:szCs w:val="21"/>
                    </w:rPr>
                    <w:t>质量浓度</w:t>
                  </w:r>
                </w:p>
              </w:tc>
              <w:tc>
                <w:tcPr>
                  <w:tcW w:w="1134" w:type="dxa"/>
                  <w:tcMar>
                    <w:top w:w="28" w:type="dxa"/>
                    <w:bottom w:w="28" w:type="dxa"/>
                  </w:tcMar>
                  <w:vAlign w:val="center"/>
                </w:tcPr>
                <w:p>
                  <w:pPr>
                    <w:pStyle w:val="12"/>
                    <w:spacing w:before="0" w:line="240" w:lineRule="auto"/>
                    <w:ind w:left="0" w:right="0"/>
                    <w:jc w:val="center"/>
                    <w:rPr>
                      <w:bCs/>
                      <w:sz w:val="21"/>
                      <w:szCs w:val="21"/>
                    </w:rPr>
                  </w:pPr>
                  <w:r>
                    <w:rPr>
                      <w:rFonts w:hint="eastAsia"/>
                      <w:bCs/>
                      <w:sz w:val="21"/>
                      <w:szCs w:val="21"/>
                    </w:rPr>
                    <w:t>24</w:t>
                  </w:r>
                  <w:r>
                    <w:rPr>
                      <w:bCs/>
                      <w:sz w:val="21"/>
                      <w:szCs w:val="21"/>
                    </w:rPr>
                    <w:t>ug/m</w:t>
                  </w:r>
                  <w:r>
                    <w:rPr>
                      <w:bCs/>
                      <w:sz w:val="21"/>
                      <w:szCs w:val="21"/>
                      <w:vertAlign w:val="superscript"/>
                    </w:rPr>
                    <w:t>3</w:t>
                  </w:r>
                </w:p>
              </w:tc>
              <w:tc>
                <w:tcPr>
                  <w:tcW w:w="1276" w:type="dxa"/>
                  <w:tcMar>
                    <w:top w:w="28" w:type="dxa"/>
                    <w:bottom w:w="28" w:type="dxa"/>
                  </w:tcMar>
                  <w:vAlign w:val="center"/>
                </w:tcPr>
                <w:p>
                  <w:pPr>
                    <w:pStyle w:val="12"/>
                    <w:spacing w:before="0" w:line="240" w:lineRule="auto"/>
                    <w:ind w:left="0" w:right="0"/>
                    <w:jc w:val="center"/>
                    <w:rPr>
                      <w:bCs/>
                      <w:sz w:val="21"/>
                      <w:szCs w:val="21"/>
                    </w:rPr>
                  </w:pPr>
                  <w:r>
                    <w:rPr>
                      <w:bCs/>
                      <w:sz w:val="21"/>
                      <w:szCs w:val="21"/>
                    </w:rPr>
                    <w:t>40ug/m</w:t>
                  </w:r>
                  <w:r>
                    <w:rPr>
                      <w:bCs/>
                      <w:sz w:val="21"/>
                      <w:szCs w:val="21"/>
                      <w:vertAlign w:val="superscript"/>
                    </w:rPr>
                    <w:t>3</w:t>
                  </w:r>
                </w:p>
              </w:tc>
              <w:tc>
                <w:tcPr>
                  <w:tcW w:w="992" w:type="dxa"/>
                  <w:tcMar>
                    <w:top w:w="28" w:type="dxa"/>
                    <w:bottom w:w="28" w:type="dxa"/>
                  </w:tcMar>
                  <w:vAlign w:val="center"/>
                </w:tcPr>
                <w:p>
                  <w:pPr>
                    <w:pStyle w:val="12"/>
                    <w:spacing w:before="0" w:line="240" w:lineRule="auto"/>
                    <w:ind w:left="0" w:right="0"/>
                    <w:jc w:val="center"/>
                    <w:rPr>
                      <w:bCs/>
                      <w:sz w:val="21"/>
                      <w:szCs w:val="21"/>
                    </w:rPr>
                  </w:pPr>
                  <w:r>
                    <w:rPr>
                      <w:bCs/>
                      <w:sz w:val="21"/>
                      <w:szCs w:val="21"/>
                    </w:rPr>
                    <w:t>60</w:t>
                  </w:r>
                </w:p>
              </w:tc>
              <w:tc>
                <w:tcPr>
                  <w:tcW w:w="866" w:type="dxa"/>
                  <w:tcMar>
                    <w:top w:w="28" w:type="dxa"/>
                    <w:bottom w:w="28" w:type="dxa"/>
                  </w:tcMar>
                  <w:vAlign w:val="center"/>
                </w:tcPr>
                <w:p>
                  <w:pPr>
                    <w:pStyle w:val="12"/>
                    <w:spacing w:before="0" w:line="240" w:lineRule="auto"/>
                    <w:ind w:left="0" w:right="0"/>
                    <w:jc w:val="center"/>
                    <w:rPr>
                      <w:bCs/>
                      <w:sz w:val="21"/>
                      <w:szCs w:val="21"/>
                    </w:rPr>
                  </w:pPr>
                  <w:r>
                    <w:rPr>
                      <w:bCs/>
                      <w:sz w:val="21"/>
                      <w:szCs w:val="21"/>
                    </w:rPr>
                    <w:t>达标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20" w:type="dxa"/>
                  <w:vMerge w:val="continue"/>
                  <w:tcMar>
                    <w:top w:w="28" w:type="dxa"/>
                    <w:bottom w:w="28" w:type="dxa"/>
                  </w:tcMar>
                  <w:vAlign w:val="center"/>
                </w:tcPr>
                <w:p>
                  <w:pPr>
                    <w:pStyle w:val="12"/>
                    <w:spacing w:before="0" w:line="240" w:lineRule="auto"/>
                    <w:ind w:left="0" w:right="0"/>
                    <w:jc w:val="center"/>
                    <w:rPr>
                      <w:bCs/>
                      <w:sz w:val="21"/>
                      <w:szCs w:val="21"/>
                    </w:rPr>
                  </w:pPr>
                </w:p>
              </w:tc>
              <w:tc>
                <w:tcPr>
                  <w:tcW w:w="1134" w:type="dxa"/>
                  <w:tcMar>
                    <w:top w:w="28" w:type="dxa"/>
                    <w:bottom w:w="28" w:type="dxa"/>
                  </w:tcMar>
                  <w:vAlign w:val="center"/>
                </w:tcPr>
                <w:p>
                  <w:pPr>
                    <w:pStyle w:val="12"/>
                    <w:spacing w:before="0" w:line="240" w:lineRule="auto"/>
                    <w:ind w:left="0" w:right="0"/>
                    <w:jc w:val="center"/>
                    <w:rPr>
                      <w:bCs/>
                      <w:sz w:val="21"/>
                      <w:szCs w:val="21"/>
                    </w:rPr>
                  </w:pPr>
                  <w:r>
                    <w:rPr>
                      <w:bCs/>
                      <w:sz w:val="21"/>
                      <w:szCs w:val="21"/>
                    </w:rPr>
                    <w:t>PM</w:t>
                  </w:r>
                  <w:r>
                    <w:rPr>
                      <w:bCs/>
                      <w:sz w:val="21"/>
                      <w:szCs w:val="21"/>
                      <w:vertAlign w:val="subscript"/>
                    </w:rPr>
                    <w:t>10</w:t>
                  </w:r>
                </w:p>
              </w:tc>
              <w:tc>
                <w:tcPr>
                  <w:tcW w:w="1842" w:type="dxa"/>
                  <w:tcMar>
                    <w:top w:w="28" w:type="dxa"/>
                    <w:bottom w:w="28" w:type="dxa"/>
                  </w:tcMar>
                  <w:vAlign w:val="center"/>
                </w:tcPr>
                <w:p>
                  <w:pPr>
                    <w:pStyle w:val="12"/>
                    <w:spacing w:before="0" w:line="240" w:lineRule="auto"/>
                    <w:ind w:left="0" w:right="0"/>
                    <w:jc w:val="center"/>
                    <w:rPr>
                      <w:bCs/>
                      <w:sz w:val="21"/>
                      <w:szCs w:val="21"/>
                    </w:rPr>
                  </w:pPr>
                  <w:r>
                    <w:rPr>
                      <w:bCs/>
                      <w:sz w:val="21"/>
                      <w:szCs w:val="21"/>
                    </w:rPr>
                    <w:t>年平均</w:t>
                  </w:r>
                  <w:r>
                    <w:rPr>
                      <w:rFonts w:hint="eastAsia"/>
                      <w:bCs/>
                      <w:sz w:val="21"/>
                      <w:szCs w:val="21"/>
                    </w:rPr>
                    <w:t>质量浓度</w:t>
                  </w:r>
                </w:p>
              </w:tc>
              <w:tc>
                <w:tcPr>
                  <w:tcW w:w="1134" w:type="dxa"/>
                  <w:tcMar>
                    <w:top w:w="28" w:type="dxa"/>
                    <w:bottom w:w="28" w:type="dxa"/>
                  </w:tcMar>
                  <w:vAlign w:val="center"/>
                </w:tcPr>
                <w:p>
                  <w:pPr>
                    <w:pStyle w:val="12"/>
                    <w:spacing w:before="0" w:line="240" w:lineRule="auto"/>
                    <w:ind w:left="0" w:right="0"/>
                    <w:jc w:val="center"/>
                    <w:rPr>
                      <w:bCs/>
                      <w:sz w:val="21"/>
                      <w:szCs w:val="21"/>
                    </w:rPr>
                  </w:pPr>
                  <w:r>
                    <w:rPr>
                      <w:rFonts w:hint="eastAsia"/>
                      <w:bCs/>
                      <w:sz w:val="21"/>
                      <w:szCs w:val="21"/>
                    </w:rPr>
                    <w:t>89</w:t>
                  </w:r>
                  <w:r>
                    <w:rPr>
                      <w:bCs/>
                      <w:sz w:val="21"/>
                      <w:szCs w:val="21"/>
                    </w:rPr>
                    <w:t>ug/m</w:t>
                  </w:r>
                  <w:r>
                    <w:rPr>
                      <w:bCs/>
                      <w:sz w:val="21"/>
                      <w:szCs w:val="21"/>
                      <w:vertAlign w:val="superscript"/>
                    </w:rPr>
                    <w:t>3</w:t>
                  </w:r>
                </w:p>
              </w:tc>
              <w:tc>
                <w:tcPr>
                  <w:tcW w:w="1276" w:type="dxa"/>
                  <w:tcMar>
                    <w:top w:w="28" w:type="dxa"/>
                    <w:bottom w:w="28" w:type="dxa"/>
                  </w:tcMar>
                  <w:vAlign w:val="center"/>
                </w:tcPr>
                <w:p>
                  <w:pPr>
                    <w:pStyle w:val="12"/>
                    <w:spacing w:before="0" w:line="240" w:lineRule="auto"/>
                    <w:ind w:left="0" w:right="0"/>
                    <w:jc w:val="center"/>
                    <w:rPr>
                      <w:bCs/>
                      <w:sz w:val="21"/>
                      <w:szCs w:val="21"/>
                    </w:rPr>
                  </w:pPr>
                  <w:r>
                    <w:rPr>
                      <w:bCs/>
                      <w:sz w:val="21"/>
                      <w:szCs w:val="21"/>
                    </w:rPr>
                    <w:t>70ug/m</w:t>
                  </w:r>
                  <w:r>
                    <w:rPr>
                      <w:bCs/>
                      <w:sz w:val="21"/>
                      <w:szCs w:val="21"/>
                      <w:vertAlign w:val="superscript"/>
                    </w:rPr>
                    <w:t>3</w:t>
                  </w:r>
                </w:p>
              </w:tc>
              <w:tc>
                <w:tcPr>
                  <w:tcW w:w="992" w:type="dxa"/>
                  <w:tcMar>
                    <w:top w:w="28" w:type="dxa"/>
                    <w:bottom w:w="28" w:type="dxa"/>
                  </w:tcMar>
                  <w:vAlign w:val="center"/>
                </w:tcPr>
                <w:p>
                  <w:pPr>
                    <w:pStyle w:val="12"/>
                    <w:spacing w:before="0" w:line="240" w:lineRule="auto"/>
                    <w:ind w:left="0" w:right="0"/>
                    <w:jc w:val="center"/>
                    <w:rPr>
                      <w:bCs/>
                      <w:sz w:val="21"/>
                      <w:szCs w:val="21"/>
                    </w:rPr>
                  </w:pPr>
                  <w:r>
                    <w:rPr>
                      <w:bCs/>
                      <w:sz w:val="21"/>
                      <w:szCs w:val="21"/>
                    </w:rPr>
                    <w:t>127.1</w:t>
                  </w:r>
                </w:p>
              </w:tc>
              <w:tc>
                <w:tcPr>
                  <w:tcW w:w="866" w:type="dxa"/>
                  <w:tcMar>
                    <w:top w:w="28" w:type="dxa"/>
                    <w:bottom w:w="28" w:type="dxa"/>
                  </w:tcMar>
                  <w:vAlign w:val="center"/>
                </w:tcPr>
                <w:p>
                  <w:pPr>
                    <w:pStyle w:val="12"/>
                    <w:spacing w:before="0" w:line="240" w:lineRule="auto"/>
                    <w:ind w:left="0" w:right="0"/>
                    <w:jc w:val="center"/>
                    <w:rPr>
                      <w:bCs/>
                      <w:sz w:val="21"/>
                      <w:szCs w:val="21"/>
                    </w:rPr>
                  </w:pPr>
                  <w:r>
                    <w:rPr>
                      <w:bCs/>
                      <w:sz w:val="21"/>
                      <w:szCs w:val="21"/>
                    </w:rPr>
                    <w:t>超标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20" w:type="dxa"/>
                  <w:vMerge w:val="continue"/>
                  <w:tcMar>
                    <w:top w:w="28" w:type="dxa"/>
                    <w:bottom w:w="28" w:type="dxa"/>
                  </w:tcMar>
                  <w:vAlign w:val="center"/>
                </w:tcPr>
                <w:p>
                  <w:pPr>
                    <w:pStyle w:val="12"/>
                    <w:spacing w:before="0" w:line="240" w:lineRule="auto"/>
                    <w:ind w:left="0" w:right="0"/>
                    <w:jc w:val="center"/>
                    <w:rPr>
                      <w:bCs/>
                      <w:sz w:val="21"/>
                      <w:szCs w:val="21"/>
                    </w:rPr>
                  </w:pPr>
                </w:p>
              </w:tc>
              <w:tc>
                <w:tcPr>
                  <w:tcW w:w="1134" w:type="dxa"/>
                  <w:tcMar>
                    <w:top w:w="28" w:type="dxa"/>
                    <w:bottom w:w="28" w:type="dxa"/>
                  </w:tcMar>
                  <w:vAlign w:val="center"/>
                </w:tcPr>
                <w:p>
                  <w:pPr>
                    <w:pStyle w:val="12"/>
                    <w:spacing w:before="0" w:line="240" w:lineRule="auto"/>
                    <w:ind w:left="0" w:right="0"/>
                    <w:jc w:val="center"/>
                    <w:rPr>
                      <w:bCs/>
                      <w:sz w:val="21"/>
                      <w:szCs w:val="21"/>
                    </w:rPr>
                  </w:pPr>
                  <w:r>
                    <w:rPr>
                      <w:bCs/>
                      <w:sz w:val="21"/>
                      <w:szCs w:val="21"/>
                    </w:rPr>
                    <w:t>PM</w:t>
                  </w:r>
                  <w:r>
                    <w:rPr>
                      <w:bCs/>
                      <w:sz w:val="21"/>
                      <w:szCs w:val="21"/>
                      <w:vertAlign w:val="subscript"/>
                    </w:rPr>
                    <w:t>2.5</w:t>
                  </w:r>
                </w:p>
              </w:tc>
              <w:tc>
                <w:tcPr>
                  <w:tcW w:w="1842" w:type="dxa"/>
                  <w:tcMar>
                    <w:top w:w="28" w:type="dxa"/>
                    <w:bottom w:w="28" w:type="dxa"/>
                  </w:tcMar>
                  <w:vAlign w:val="center"/>
                </w:tcPr>
                <w:p>
                  <w:pPr>
                    <w:pStyle w:val="12"/>
                    <w:spacing w:before="0" w:line="240" w:lineRule="auto"/>
                    <w:ind w:left="0" w:right="0"/>
                    <w:jc w:val="center"/>
                    <w:rPr>
                      <w:bCs/>
                      <w:sz w:val="21"/>
                      <w:szCs w:val="21"/>
                    </w:rPr>
                  </w:pPr>
                  <w:r>
                    <w:rPr>
                      <w:bCs/>
                      <w:sz w:val="21"/>
                      <w:szCs w:val="21"/>
                    </w:rPr>
                    <w:t>年平均</w:t>
                  </w:r>
                  <w:r>
                    <w:rPr>
                      <w:rFonts w:hint="eastAsia"/>
                      <w:bCs/>
                      <w:sz w:val="21"/>
                      <w:szCs w:val="21"/>
                    </w:rPr>
                    <w:t>质量浓度</w:t>
                  </w:r>
                </w:p>
              </w:tc>
              <w:tc>
                <w:tcPr>
                  <w:tcW w:w="1134" w:type="dxa"/>
                  <w:tcMar>
                    <w:top w:w="28" w:type="dxa"/>
                    <w:bottom w:w="28" w:type="dxa"/>
                  </w:tcMar>
                  <w:vAlign w:val="center"/>
                </w:tcPr>
                <w:p>
                  <w:pPr>
                    <w:pStyle w:val="12"/>
                    <w:spacing w:before="0" w:line="240" w:lineRule="auto"/>
                    <w:ind w:left="0" w:right="0"/>
                    <w:jc w:val="center"/>
                    <w:rPr>
                      <w:bCs/>
                      <w:sz w:val="21"/>
                      <w:szCs w:val="21"/>
                    </w:rPr>
                  </w:pPr>
                  <w:r>
                    <w:rPr>
                      <w:rFonts w:hint="eastAsia"/>
                      <w:bCs/>
                      <w:sz w:val="21"/>
                      <w:szCs w:val="21"/>
                    </w:rPr>
                    <w:t>41</w:t>
                  </w:r>
                  <w:r>
                    <w:rPr>
                      <w:bCs/>
                      <w:sz w:val="21"/>
                      <w:szCs w:val="21"/>
                    </w:rPr>
                    <w:t>ug/m</w:t>
                  </w:r>
                  <w:r>
                    <w:rPr>
                      <w:bCs/>
                      <w:sz w:val="21"/>
                      <w:szCs w:val="21"/>
                      <w:vertAlign w:val="superscript"/>
                    </w:rPr>
                    <w:t>3</w:t>
                  </w:r>
                </w:p>
              </w:tc>
              <w:tc>
                <w:tcPr>
                  <w:tcW w:w="1276" w:type="dxa"/>
                  <w:tcMar>
                    <w:top w:w="28" w:type="dxa"/>
                    <w:bottom w:w="28" w:type="dxa"/>
                  </w:tcMar>
                  <w:vAlign w:val="center"/>
                </w:tcPr>
                <w:p>
                  <w:pPr>
                    <w:pStyle w:val="12"/>
                    <w:spacing w:before="0" w:line="240" w:lineRule="auto"/>
                    <w:ind w:left="0" w:right="0"/>
                    <w:jc w:val="center"/>
                    <w:rPr>
                      <w:bCs/>
                      <w:sz w:val="21"/>
                      <w:szCs w:val="21"/>
                    </w:rPr>
                  </w:pPr>
                  <w:r>
                    <w:rPr>
                      <w:bCs/>
                      <w:sz w:val="21"/>
                      <w:szCs w:val="21"/>
                    </w:rPr>
                    <w:t>35ug/m</w:t>
                  </w:r>
                  <w:r>
                    <w:rPr>
                      <w:bCs/>
                      <w:sz w:val="21"/>
                      <w:szCs w:val="21"/>
                      <w:vertAlign w:val="superscript"/>
                    </w:rPr>
                    <w:t>3</w:t>
                  </w:r>
                </w:p>
              </w:tc>
              <w:tc>
                <w:tcPr>
                  <w:tcW w:w="992" w:type="dxa"/>
                  <w:tcMar>
                    <w:top w:w="28" w:type="dxa"/>
                    <w:bottom w:w="28" w:type="dxa"/>
                  </w:tcMar>
                  <w:vAlign w:val="center"/>
                </w:tcPr>
                <w:p>
                  <w:pPr>
                    <w:pStyle w:val="12"/>
                    <w:spacing w:before="0" w:line="240" w:lineRule="auto"/>
                    <w:ind w:left="0" w:right="0"/>
                    <w:jc w:val="center"/>
                    <w:rPr>
                      <w:bCs/>
                      <w:sz w:val="21"/>
                      <w:szCs w:val="21"/>
                    </w:rPr>
                  </w:pPr>
                  <w:r>
                    <w:rPr>
                      <w:bCs/>
                      <w:sz w:val="21"/>
                      <w:szCs w:val="21"/>
                    </w:rPr>
                    <w:t>117.1</w:t>
                  </w:r>
                </w:p>
              </w:tc>
              <w:tc>
                <w:tcPr>
                  <w:tcW w:w="866" w:type="dxa"/>
                  <w:tcMar>
                    <w:top w:w="28" w:type="dxa"/>
                    <w:bottom w:w="28" w:type="dxa"/>
                  </w:tcMar>
                  <w:vAlign w:val="center"/>
                </w:tcPr>
                <w:p>
                  <w:pPr>
                    <w:pStyle w:val="12"/>
                    <w:spacing w:before="0" w:line="240" w:lineRule="auto"/>
                    <w:ind w:left="0" w:right="0"/>
                    <w:jc w:val="center"/>
                    <w:rPr>
                      <w:bCs/>
                      <w:sz w:val="21"/>
                      <w:szCs w:val="21"/>
                    </w:rPr>
                  </w:pPr>
                  <w:r>
                    <w:rPr>
                      <w:bCs/>
                      <w:sz w:val="21"/>
                      <w:szCs w:val="21"/>
                    </w:rPr>
                    <w:t>超标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20" w:type="dxa"/>
                  <w:vMerge w:val="continue"/>
                  <w:tcMar>
                    <w:top w:w="28" w:type="dxa"/>
                    <w:bottom w:w="28" w:type="dxa"/>
                  </w:tcMar>
                  <w:vAlign w:val="center"/>
                </w:tcPr>
                <w:p>
                  <w:pPr>
                    <w:pStyle w:val="12"/>
                    <w:spacing w:before="0" w:line="240" w:lineRule="auto"/>
                    <w:ind w:left="0" w:right="0"/>
                    <w:jc w:val="center"/>
                    <w:rPr>
                      <w:bCs/>
                      <w:sz w:val="21"/>
                      <w:szCs w:val="21"/>
                    </w:rPr>
                  </w:pPr>
                </w:p>
              </w:tc>
              <w:tc>
                <w:tcPr>
                  <w:tcW w:w="1134" w:type="dxa"/>
                  <w:tcMar>
                    <w:top w:w="28" w:type="dxa"/>
                    <w:bottom w:w="28" w:type="dxa"/>
                  </w:tcMar>
                  <w:vAlign w:val="center"/>
                </w:tcPr>
                <w:p>
                  <w:pPr>
                    <w:pStyle w:val="12"/>
                    <w:spacing w:before="0" w:line="240" w:lineRule="auto"/>
                    <w:ind w:left="0" w:right="0"/>
                    <w:jc w:val="center"/>
                    <w:rPr>
                      <w:bCs/>
                      <w:sz w:val="21"/>
                      <w:szCs w:val="21"/>
                    </w:rPr>
                  </w:pPr>
                  <w:r>
                    <w:rPr>
                      <w:bCs/>
                      <w:sz w:val="21"/>
                      <w:szCs w:val="21"/>
                    </w:rPr>
                    <w:t>O</w:t>
                  </w:r>
                  <w:r>
                    <w:rPr>
                      <w:bCs/>
                      <w:sz w:val="21"/>
                      <w:szCs w:val="21"/>
                      <w:vertAlign w:val="subscript"/>
                    </w:rPr>
                    <w:t>3</w:t>
                  </w:r>
                </w:p>
              </w:tc>
              <w:tc>
                <w:tcPr>
                  <w:tcW w:w="1842" w:type="dxa"/>
                  <w:tcMar>
                    <w:top w:w="28" w:type="dxa"/>
                    <w:bottom w:w="28" w:type="dxa"/>
                  </w:tcMar>
                  <w:vAlign w:val="center"/>
                </w:tcPr>
                <w:p>
                  <w:pPr>
                    <w:pStyle w:val="12"/>
                    <w:spacing w:before="0" w:line="240" w:lineRule="auto"/>
                    <w:ind w:left="0" w:right="0"/>
                    <w:jc w:val="center"/>
                    <w:rPr>
                      <w:bCs/>
                      <w:sz w:val="21"/>
                      <w:szCs w:val="21"/>
                    </w:rPr>
                  </w:pPr>
                  <w:r>
                    <w:rPr>
                      <w:rFonts w:hint="eastAsia"/>
                      <w:bCs/>
                      <w:sz w:val="21"/>
                      <w:szCs w:val="21"/>
                    </w:rPr>
                    <w:t>第90百分位数8h平均质量浓度</w:t>
                  </w:r>
                </w:p>
              </w:tc>
              <w:tc>
                <w:tcPr>
                  <w:tcW w:w="1134" w:type="dxa"/>
                  <w:tcMar>
                    <w:top w:w="28" w:type="dxa"/>
                    <w:bottom w:w="28" w:type="dxa"/>
                  </w:tcMar>
                  <w:vAlign w:val="center"/>
                </w:tcPr>
                <w:p>
                  <w:pPr>
                    <w:pStyle w:val="12"/>
                    <w:spacing w:before="0" w:line="240" w:lineRule="auto"/>
                    <w:ind w:left="0" w:right="0"/>
                    <w:jc w:val="center"/>
                    <w:rPr>
                      <w:bCs/>
                      <w:sz w:val="21"/>
                      <w:szCs w:val="21"/>
                    </w:rPr>
                  </w:pPr>
                  <w:r>
                    <w:rPr>
                      <w:rFonts w:hint="eastAsia"/>
                      <w:bCs/>
                      <w:sz w:val="21"/>
                      <w:szCs w:val="21"/>
                    </w:rPr>
                    <w:t>147</w:t>
                  </w:r>
                  <w:r>
                    <w:rPr>
                      <w:bCs/>
                      <w:sz w:val="21"/>
                      <w:szCs w:val="21"/>
                    </w:rPr>
                    <w:t>ug/m</w:t>
                  </w:r>
                  <w:r>
                    <w:rPr>
                      <w:bCs/>
                      <w:sz w:val="21"/>
                      <w:szCs w:val="21"/>
                      <w:vertAlign w:val="superscript"/>
                    </w:rPr>
                    <w:t>3</w:t>
                  </w:r>
                </w:p>
              </w:tc>
              <w:tc>
                <w:tcPr>
                  <w:tcW w:w="1276" w:type="dxa"/>
                  <w:tcMar>
                    <w:top w:w="28" w:type="dxa"/>
                    <w:bottom w:w="28" w:type="dxa"/>
                  </w:tcMar>
                  <w:vAlign w:val="center"/>
                </w:tcPr>
                <w:p>
                  <w:pPr>
                    <w:pStyle w:val="12"/>
                    <w:spacing w:before="0" w:line="240" w:lineRule="auto"/>
                    <w:ind w:left="0" w:right="0"/>
                    <w:jc w:val="center"/>
                    <w:rPr>
                      <w:bCs/>
                      <w:sz w:val="21"/>
                      <w:szCs w:val="21"/>
                    </w:rPr>
                  </w:pPr>
                  <w:r>
                    <w:rPr>
                      <w:bCs/>
                      <w:sz w:val="21"/>
                      <w:szCs w:val="21"/>
                    </w:rPr>
                    <w:t>160ug/m</w:t>
                  </w:r>
                  <w:r>
                    <w:rPr>
                      <w:bCs/>
                      <w:sz w:val="21"/>
                      <w:szCs w:val="21"/>
                      <w:vertAlign w:val="superscript"/>
                    </w:rPr>
                    <w:t>3</w:t>
                  </w:r>
                </w:p>
              </w:tc>
              <w:tc>
                <w:tcPr>
                  <w:tcW w:w="992" w:type="dxa"/>
                  <w:tcMar>
                    <w:top w:w="28" w:type="dxa"/>
                    <w:bottom w:w="28" w:type="dxa"/>
                  </w:tcMar>
                  <w:vAlign w:val="center"/>
                </w:tcPr>
                <w:p>
                  <w:pPr>
                    <w:pStyle w:val="12"/>
                    <w:spacing w:before="0" w:line="240" w:lineRule="auto"/>
                    <w:ind w:left="0" w:right="0"/>
                    <w:jc w:val="center"/>
                    <w:rPr>
                      <w:bCs/>
                      <w:sz w:val="21"/>
                      <w:szCs w:val="21"/>
                    </w:rPr>
                  </w:pPr>
                  <w:r>
                    <w:rPr>
                      <w:bCs/>
                      <w:sz w:val="21"/>
                      <w:szCs w:val="21"/>
                    </w:rPr>
                    <w:t>91.9</w:t>
                  </w:r>
                </w:p>
              </w:tc>
              <w:tc>
                <w:tcPr>
                  <w:tcW w:w="866" w:type="dxa"/>
                  <w:tcMar>
                    <w:top w:w="28" w:type="dxa"/>
                    <w:bottom w:w="28" w:type="dxa"/>
                  </w:tcMar>
                  <w:vAlign w:val="center"/>
                </w:tcPr>
                <w:p>
                  <w:pPr>
                    <w:pStyle w:val="12"/>
                    <w:spacing w:before="0" w:line="240" w:lineRule="auto"/>
                    <w:ind w:left="0" w:right="0"/>
                    <w:jc w:val="center"/>
                    <w:rPr>
                      <w:bCs/>
                      <w:sz w:val="21"/>
                      <w:szCs w:val="21"/>
                    </w:rPr>
                  </w:pPr>
                  <w:r>
                    <w:rPr>
                      <w:rFonts w:hint="eastAsia"/>
                      <w:bCs/>
                      <w:sz w:val="21"/>
                      <w:szCs w:val="21"/>
                    </w:rPr>
                    <w:t>达</w:t>
                  </w:r>
                  <w:r>
                    <w:rPr>
                      <w:bCs/>
                      <w:sz w:val="21"/>
                      <w:szCs w:val="21"/>
                    </w:rPr>
                    <w:t>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20" w:type="dxa"/>
                  <w:vMerge w:val="continue"/>
                  <w:tcMar>
                    <w:top w:w="28" w:type="dxa"/>
                    <w:bottom w:w="28" w:type="dxa"/>
                  </w:tcMar>
                  <w:vAlign w:val="center"/>
                </w:tcPr>
                <w:p>
                  <w:pPr>
                    <w:pStyle w:val="12"/>
                    <w:spacing w:before="0" w:line="240" w:lineRule="auto"/>
                    <w:ind w:left="0" w:right="0"/>
                    <w:jc w:val="center"/>
                    <w:rPr>
                      <w:bCs/>
                      <w:sz w:val="21"/>
                      <w:szCs w:val="21"/>
                    </w:rPr>
                  </w:pPr>
                </w:p>
              </w:tc>
              <w:tc>
                <w:tcPr>
                  <w:tcW w:w="1134" w:type="dxa"/>
                  <w:tcMar>
                    <w:top w:w="28" w:type="dxa"/>
                    <w:bottom w:w="28" w:type="dxa"/>
                  </w:tcMar>
                  <w:vAlign w:val="center"/>
                </w:tcPr>
                <w:p>
                  <w:pPr>
                    <w:pStyle w:val="12"/>
                    <w:spacing w:before="0" w:line="240" w:lineRule="auto"/>
                    <w:ind w:left="0" w:right="0"/>
                    <w:jc w:val="center"/>
                    <w:rPr>
                      <w:bCs/>
                      <w:sz w:val="21"/>
                      <w:szCs w:val="21"/>
                    </w:rPr>
                  </w:pPr>
                  <w:r>
                    <w:rPr>
                      <w:bCs/>
                      <w:sz w:val="21"/>
                      <w:szCs w:val="21"/>
                    </w:rPr>
                    <w:t>CO</w:t>
                  </w:r>
                </w:p>
              </w:tc>
              <w:tc>
                <w:tcPr>
                  <w:tcW w:w="1842" w:type="dxa"/>
                  <w:tcMar>
                    <w:top w:w="28" w:type="dxa"/>
                    <w:bottom w:w="28" w:type="dxa"/>
                  </w:tcMar>
                  <w:vAlign w:val="center"/>
                </w:tcPr>
                <w:p>
                  <w:pPr>
                    <w:pStyle w:val="12"/>
                    <w:spacing w:before="0" w:line="240" w:lineRule="auto"/>
                    <w:ind w:left="0" w:right="0"/>
                    <w:jc w:val="center"/>
                    <w:rPr>
                      <w:bCs/>
                      <w:sz w:val="21"/>
                      <w:szCs w:val="21"/>
                    </w:rPr>
                  </w:pPr>
                  <w:r>
                    <w:rPr>
                      <w:rFonts w:hint="eastAsia"/>
                      <w:bCs/>
                      <w:sz w:val="21"/>
                      <w:szCs w:val="21"/>
                    </w:rPr>
                    <w:t>第95百分位数日平均质量浓度</w:t>
                  </w:r>
                </w:p>
              </w:tc>
              <w:tc>
                <w:tcPr>
                  <w:tcW w:w="1134" w:type="dxa"/>
                  <w:tcMar>
                    <w:top w:w="28" w:type="dxa"/>
                    <w:bottom w:w="28" w:type="dxa"/>
                  </w:tcMar>
                  <w:vAlign w:val="center"/>
                </w:tcPr>
                <w:p>
                  <w:pPr>
                    <w:pStyle w:val="12"/>
                    <w:spacing w:before="0" w:line="240" w:lineRule="auto"/>
                    <w:ind w:left="0" w:right="0"/>
                    <w:jc w:val="center"/>
                    <w:rPr>
                      <w:bCs/>
                      <w:sz w:val="21"/>
                      <w:szCs w:val="21"/>
                    </w:rPr>
                  </w:pPr>
                  <w:r>
                    <w:rPr>
                      <w:rFonts w:hint="eastAsia"/>
                      <w:bCs/>
                      <w:sz w:val="21"/>
                      <w:szCs w:val="21"/>
                    </w:rPr>
                    <w:t>1.4</w:t>
                  </w:r>
                  <w:r>
                    <w:rPr>
                      <w:bCs/>
                      <w:sz w:val="21"/>
                      <w:szCs w:val="21"/>
                    </w:rPr>
                    <w:t>mg/m</w:t>
                  </w:r>
                  <w:r>
                    <w:rPr>
                      <w:bCs/>
                      <w:sz w:val="21"/>
                      <w:szCs w:val="21"/>
                      <w:vertAlign w:val="superscript"/>
                    </w:rPr>
                    <w:t>3</w:t>
                  </w:r>
                </w:p>
              </w:tc>
              <w:tc>
                <w:tcPr>
                  <w:tcW w:w="1276" w:type="dxa"/>
                  <w:tcMar>
                    <w:top w:w="28" w:type="dxa"/>
                    <w:bottom w:w="28" w:type="dxa"/>
                  </w:tcMar>
                  <w:vAlign w:val="center"/>
                </w:tcPr>
                <w:p>
                  <w:pPr>
                    <w:pStyle w:val="12"/>
                    <w:spacing w:before="0" w:line="240" w:lineRule="auto"/>
                    <w:ind w:left="0" w:right="0"/>
                    <w:jc w:val="center"/>
                    <w:rPr>
                      <w:bCs/>
                      <w:sz w:val="21"/>
                      <w:szCs w:val="21"/>
                    </w:rPr>
                  </w:pPr>
                  <w:r>
                    <w:rPr>
                      <w:bCs/>
                      <w:sz w:val="21"/>
                      <w:szCs w:val="21"/>
                    </w:rPr>
                    <w:t>4mg/m</w:t>
                  </w:r>
                  <w:r>
                    <w:rPr>
                      <w:bCs/>
                      <w:sz w:val="21"/>
                      <w:szCs w:val="21"/>
                      <w:vertAlign w:val="superscript"/>
                    </w:rPr>
                    <w:t>3</w:t>
                  </w:r>
                </w:p>
              </w:tc>
              <w:tc>
                <w:tcPr>
                  <w:tcW w:w="992" w:type="dxa"/>
                  <w:tcMar>
                    <w:top w:w="28" w:type="dxa"/>
                    <w:bottom w:w="28" w:type="dxa"/>
                  </w:tcMar>
                  <w:vAlign w:val="center"/>
                </w:tcPr>
                <w:p>
                  <w:pPr>
                    <w:pStyle w:val="12"/>
                    <w:spacing w:before="0" w:line="240" w:lineRule="auto"/>
                    <w:ind w:left="0" w:right="0"/>
                    <w:jc w:val="center"/>
                    <w:rPr>
                      <w:bCs/>
                      <w:sz w:val="21"/>
                      <w:szCs w:val="21"/>
                    </w:rPr>
                  </w:pPr>
                  <w:r>
                    <w:rPr>
                      <w:bCs/>
                      <w:sz w:val="21"/>
                      <w:szCs w:val="21"/>
                    </w:rPr>
                    <w:t>35</w:t>
                  </w:r>
                </w:p>
              </w:tc>
              <w:tc>
                <w:tcPr>
                  <w:tcW w:w="866" w:type="dxa"/>
                  <w:tcMar>
                    <w:top w:w="28" w:type="dxa"/>
                    <w:bottom w:w="28" w:type="dxa"/>
                  </w:tcMar>
                  <w:vAlign w:val="center"/>
                </w:tcPr>
                <w:p>
                  <w:pPr>
                    <w:pStyle w:val="12"/>
                    <w:spacing w:before="0" w:line="240" w:lineRule="auto"/>
                    <w:ind w:left="0" w:right="0"/>
                    <w:jc w:val="center"/>
                    <w:rPr>
                      <w:bCs/>
                      <w:sz w:val="21"/>
                      <w:szCs w:val="21"/>
                    </w:rPr>
                  </w:pPr>
                  <w:r>
                    <w:rPr>
                      <w:bCs/>
                      <w:sz w:val="21"/>
                      <w:szCs w:val="21"/>
                    </w:rPr>
                    <w:t>达标</w:t>
                  </w:r>
                </w:p>
              </w:tc>
            </w:tr>
          </w:tbl>
          <w:p>
            <w:pPr>
              <w:autoSpaceDE w:val="0"/>
              <w:autoSpaceDN w:val="0"/>
              <w:adjustRightInd w:val="0"/>
              <w:snapToGrid w:val="0"/>
              <w:spacing w:line="60" w:lineRule="exact"/>
              <w:ind w:firstLine="480" w:firstLineChars="200"/>
              <w:rPr>
                <w:rFonts w:cs="宋体"/>
                <w:kern w:val="0"/>
                <w:sz w:val="24"/>
              </w:rPr>
            </w:pPr>
          </w:p>
          <w:p>
            <w:pPr>
              <w:spacing w:line="440" w:lineRule="exact"/>
              <w:ind w:firstLine="480" w:firstLineChars="200"/>
              <w:rPr>
                <w:snapToGrid w:val="0"/>
                <w:kern w:val="0"/>
                <w:sz w:val="24"/>
              </w:rPr>
            </w:pPr>
            <w:r>
              <w:rPr>
                <w:rFonts w:cs="宋体"/>
                <w:kern w:val="0"/>
                <w:sz w:val="24"/>
              </w:rPr>
              <w:t>由监测结果可知，</w:t>
            </w:r>
            <w:r>
              <w:rPr>
                <w:snapToGrid w:val="0"/>
                <w:kern w:val="0"/>
                <w:sz w:val="24"/>
              </w:rPr>
              <w:t>2020年鲁山县环境空气常规监测因子中SO</w:t>
            </w:r>
            <w:r>
              <w:rPr>
                <w:snapToGrid w:val="0"/>
                <w:kern w:val="0"/>
                <w:sz w:val="24"/>
                <w:vertAlign w:val="subscript"/>
              </w:rPr>
              <w:t>2</w:t>
            </w:r>
            <w:r>
              <w:rPr>
                <w:snapToGrid w:val="0"/>
                <w:kern w:val="0"/>
                <w:sz w:val="24"/>
              </w:rPr>
              <w:t>年平均质量浓度、NO</w:t>
            </w:r>
            <w:r>
              <w:rPr>
                <w:snapToGrid w:val="0"/>
                <w:kern w:val="0"/>
                <w:sz w:val="24"/>
                <w:vertAlign w:val="subscript"/>
              </w:rPr>
              <w:t>2</w:t>
            </w:r>
            <w:r>
              <w:rPr>
                <w:snapToGrid w:val="0"/>
                <w:kern w:val="0"/>
                <w:sz w:val="24"/>
              </w:rPr>
              <w:t>年平均质量浓度、O</w:t>
            </w:r>
            <w:r>
              <w:rPr>
                <w:snapToGrid w:val="0"/>
                <w:kern w:val="0"/>
                <w:sz w:val="24"/>
                <w:vertAlign w:val="subscript"/>
              </w:rPr>
              <w:t>3</w:t>
            </w:r>
            <w:r>
              <w:rPr>
                <w:snapToGrid w:val="0"/>
                <w:kern w:val="0"/>
                <w:sz w:val="24"/>
              </w:rPr>
              <w:t>8小时平均质量浓度、CO年平均质量浓度均满足《环境空气质量标准》（GB3095-2012）二级标准，PM</w:t>
            </w:r>
            <w:r>
              <w:rPr>
                <w:snapToGrid w:val="0"/>
                <w:kern w:val="0"/>
                <w:sz w:val="24"/>
                <w:vertAlign w:val="subscript"/>
              </w:rPr>
              <w:t>10</w:t>
            </w:r>
            <w:r>
              <w:rPr>
                <w:snapToGrid w:val="0"/>
                <w:kern w:val="0"/>
                <w:sz w:val="24"/>
              </w:rPr>
              <w:t>年平均质量浓度和PM</w:t>
            </w:r>
            <w:r>
              <w:rPr>
                <w:snapToGrid w:val="0"/>
                <w:kern w:val="0"/>
                <w:sz w:val="24"/>
                <w:vertAlign w:val="subscript"/>
              </w:rPr>
              <w:t>2.5</w:t>
            </w:r>
            <w:r>
              <w:rPr>
                <w:snapToGrid w:val="0"/>
                <w:kern w:val="0"/>
                <w:sz w:val="24"/>
              </w:rPr>
              <w:t>年平均质量浓度不满足《环境空气质量标准》（GB3095-2012）二级标准限值，属于不达标区域。</w:t>
            </w:r>
          </w:p>
          <w:p>
            <w:pPr>
              <w:autoSpaceDE w:val="0"/>
              <w:autoSpaceDN w:val="0"/>
              <w:adjustRightInd w:val="0"/>
              <w:snapToGrid w:val="0"/>
              <w:spacing w:line="440" w:lineRule="exact"/>
              <w:ind w:firstLine="480" w:firstLineChars="200"/>
              <w:rPr>
                <w:kern w:val="0"/>
                <w:sz w:val="24"/>
              </w:rPr>
            </w:pPr>
            <w:r>
              <w:rPr>
                <w:snapToGrid w:val="0"/>
                <w:kern w:val="0"/>
                <w:sz w:val="24"/>
              </w:rPr>
              <w:t>随着</w:t>
            </w:r>
            <w:r>
              <w:rPr>
                <w:bCs/>
                <w:sz w:val="24"/>
              </w:rPr>
              <w:t>《河南省2021年大气、水、土壤、污染防治攻坚战及农业农村污染治理攻坚战实施方案》（豫环攻坚办〔2021〕20号）</w:t>
            </w:r>
            <w:r>
              <w:rPr>
                <w:rFonts w:hint="eastAsia"/>
                <w:bCs/>
                <w:sz w:val="24"/>
              </w:rPr>
              <w:t>、</w:t>
            </w:r>
            <w:r>
              <w:rPr>
                <w:snapToGrid w:val="0"/>
                <w:kern w:val="0"/>
                <w:sz w:val="24"/>
              </w:rPr>
              <w:t>《平顶山市</w:t>
            </w:r>
            <w:r>
              <w:rPr>
                <w:rFonts w:hint="eastAsia"/>
                <w:snapToGrid w:val="0"/>
                <w:kern w:val="0"/>
                <w:sz w:val="24"/>
              </w:rPr>
              <w:t>2021</w:t>
            </w:r>
            <w:r>
              <w:rPr>
                <w:snapToGrid w:val="0"/>
                <w:kern w:val="0"/>
                <w:sz w:val="24"/>
              </w:rPr>
              <w:t>年</w:t>
            </w:r>
            <w:r>
              <w:rPr>
                <w:rFonts w:hint="eastAsia"/>
                <w:snapToGrid w:val="0"/>
                <w:kern w:val="0"/>
                <w:sz w:val="24"/>
              </w:rPr>
              <w:t>工业企业</w:t>
            </w:r>
            <w:r>
              <w:rPr>
                <w:snapToGrid w:val="0"/>
                <w:kern w:val="0"/>
                <w:sz w:val="24"/>
              </w:rPr>
              <w:t>大气污染</w:t>
            </w:r>
            <w:r>
              <w:rPr>
                <w:rFonts w:hint="eastAsia"/>
                <w:snapToGrid w:val="0"/>
                <w:kern w:val="0"/>
                <w:sz w:val="24"/>
              </w:rPr>
              <w:t>物全面达标提升行动</w:t>
            </w:r>
            <w:r>
              <w:rPr>
                <w:snapToGrid w:val="0"/>
                <w:kern w:val="0"/>
                <w:sz w:val="24"/>
              </w:rPr>
              <w:t>方案》等一系列措施的实施</w:t>
            </w:r>
            <w:r>
              <w:rPr>
                <w:rFonts w:hint="eastAsia"/>
                <w:snapToGrid w:val="0"/>
                <w:kern w:val="0"/>
                <w:sz w:val="24"/>
              </w:rPr>
              <w:t>，</w:t>
            </w:r>
            <w:r>
              <w:rPr>
                <w:snapToGrid w:val="0"/>
                <w:kern w:val="0"/>
                <w:sz w:val="24"/>
              </w:rPr>
              <w:t>通过控制扬尘、削减燃煤总量、</w:t>
            </w:r>
            <w:r>
              <w:rPr>
                <w:bCs/>
                <w:sz w:val="24"/>
              </w:rPr>
              <w:t>构建全区清洁取暖体系，开展工业燃煤设施拆改，推进燃煤锅炉综合整治，强化重点工业企业无组织排放治理，加强物料堆场，施工工地等管理，切实减少细颗粒物产生和排放，改善当地环境质量，空气质量将逐渐转好。</w:t>
            </w:r>
          </w:p>
          <w:p>
            <w:pPr>
              <w:autoSpaceDE w:val="0"/>
              <w:autoSpaceDN w:val="0"/>
              <w:adjustRightInd w:val="0"/>
              <w:snapToGrid w:val="0"/>
              <w:spacing w:line="440" w:lineRule="exact"/>
              <w:ind w:firstLine="482" w:firstLineChars="200"/>
              <w:rPr>
                <w:rFonts w:cs="宋体"/>
                <w:b/>
                <w:bCs/>
                <w:kern w:val="0"/>
                <w:sz w:val="24"/>
              </w:rPr>
            </w:pPr>
            <w:r>
              <w:rPr>
                <w:rFonts w:hint="eastAsia" w:cs="宋体"/>
                <w:b/>
                <w:bCs/>
                <w:kern w:val="0"/>
                <w:sz w:val="24"/>
              </w:rPr>
              <w:t>2、地表水环境质量现状</w:t>
            </w:r>
          </w:p>
          <w:p>
            <w:pPr>
              <w:autoSpaceDE w:val="0"/>
              <w:autoSpaceDN w:val="0"/>
              <w:adjustRightInd w:val="0"/>
              <w:snapToGrid w:val="0"/>
              <w:spacing w:line="440" w:lineRule="exact"/>
              <w:ind w:firstLine="480" w:firstLineChars="200"/>
              <w:rPr>
                <w:rFonts w:cs="宋体"/>
                <w:kern w:val="0"/>
                <w:sz w:val="24"/>
              </w:rPr>
            </w:pPr>
            <w:r>
              <w:rPr>
                <w:rFonts w:hint="eastAsia" w:cs="宋体"/>
                <w:kern w:val="0"/>
                <w:sz w:val="24"/>
              </w:rPr>
              <w:t>项目所在区域地表水体为大浪河，位于项目厂址西侧</w:t>
            </w:r>
            <w:r>
              <w:rPr>
                <w:rFonts w:cs="宋体"/>
                <w:kern w:val="0"/>
                <w:sz w:val="24"/>
              </w:rPr>
              <w:t>1.35k</w:t>
            </w:r>
            <w:r>
              <w:rPr>
                <w:rFonts w:hint="eastAsia" w:cs="宋体"/>
                <w:kern w:val="0"/>
                <w:sz w:val="24"/>
              </w:rPr>
              <w:t>m处。根据2020年7月平顶山市地表水水质状况报告，包括大浪河军营沟等2</w:t>
            </w:r>
            <w:r>
              <w:rPr>
                <w:rFonts w:cs="宋体"/>
                <w:kern w:val="0"/>
                <w:sz w:val="24"/>
              </w:rPr>
              <w:t>7个断面，根据监测和评价结果，</w:t>
            </w:r>
            <w:r>
              <w:rPr>
                <w:rFonts w:hint="eastAsia" w:cs="宋体"/>
                <w:kern w:val="0"/>
                <w:sz w:val="24"/>
              </w:rPr>
              <w:t>大浪河军营沟水质满足《地表水环境质量标准》（GB3838-2002）III类标准的规定限值，说明本项目所在区域地表水环境质量较好。</w:t>
            </w:r>
          </w:p>
          <w:p>
            <w:pPr>
              <w:autoSpaceDE w:val="0"/>
              <w:autoSpaceDN w:val="0"/>
              <w:adjustRightInd w:val="0"/>
              <w:snapToGrid w:val="0"/>
              <w:spacing w:line="440" w:lineRule="exact"/>
              <w:ind w:firstLine="482" w:firstLineChars="200"/>
              <w:rPr>
                <w:rFonts w:cs="宋体"/>
                <w:b/>
                <w:bCs/>
                <w:kern w:val="0"/>
                <w:sz w:val="24"/>
              </w:rPr>
            </w:pPr>
            <w:r>
              <w:rPr>
                <w:rFonts w:hint="eastAsia" w:cs="宋体"/>
                <w:b/>
                <w:bCs/>
                <w:kern w:val="0"/>
                <w:sz w:val="24"/>
              </w:rPr>
              <w:t>3、声环境质量现状</w:t>
            </w:r>
          </w:p>
          <w:p>
            <w:pPr>
              <w:autoSpaceDE w:val="0"/>
              <w:autoSpaceDN w:val="0"/>
              <w:adjustRightInd w:val="0"/>
              <w:snapToGrid w:val="0"/>
              <w:spacing w:line="440" w:lineRule="exact"/>
              <w:ind w:firstLine="480" w:firstLineChars="200"/>
              <w:rPr>
                <w:szCs w:val="21"/>
              </w:rPr>
            </w:pPr>
            <w:r>
              <w:rPr>
                <w:rFonts w:hint="eastAsia" w:cs="宋体"/>
                <w:kern w:val="0"/>
                <w:sz w:val="24"/>
              </w:rPr>
              <w:t>本项目区域</w:t>
            </w:r>
            <w:r>
              <w:rPr>
                <w:rFonts w:hint="eastAsia"/>
                <w:kern w:val="0"/>
                <w:sz w:val="24"/>
              </w:rPr>
              <w:t>声环境执行</w:t>
            </w:r>
            <w:r>
              <w:rPr>
                <w:sz w:val="24"/>
              </w:rPr>
              <w:t>《声环境质量标准》（GB3096-2008）2类标准（昼间</w:t>
            </w:r>
            <w:r>
              <w:rPr>
                <w:rFonts w:asciiTheme="minorEastAsia" w:hAnsiTheme="minorEastAsia" w:eastAsiaTheme="minorEastAsia"/>
                <w:sz w:val="24"/>
              </w:rPr>
              <w:t>≤</w:t>
            </w:r>
            <w:r>
              <w:rPr>
                <w:sz w:val="24"/>
              </w:rPr>
              <w:t>60dB（A）夜间</w:t>
            </w:r>
            <w:r>
              <w:rPr>
                <w:rFonts w:asciiTheme="minorEastAsia" w:hAnsiTheme="minorEastAsia" w:eastAsiaTheme="minorEastAsia"/>
                <w:sz w:val="24"/>
              </w:rPr>
              <w:t>≤</w:t>
            </w:r>
            <w:r>
              <w:rPr>
                <w:sz w:val="24"/>
              </w:rPr>
              <w:t>50B（A））</w:t>
            </w:r>
            <w:r>
              <w:rPr>
                <w:rFonts w:hint="eastAsia"/>
                <w:szCs w:val="21"/>
              </w:rPr>
              <w:t>，</w:t>
            </w:r>
            <w:r>
              <w:rPr>
                <w:sz w:val="24"/>
              </w:rPr>
              <w:t>为了解本项目声环境质量现状，</w:t>
            </w:r>
            <w:r>
              <w:rPr>
                <w:rFonts w:hint="eastAsia"/>
                <w:sz w:val="24"/>
              </w:rPr>
              <w:t>河南豫洁源检测技术服务有限公司</w:t>
            </w:r>
            <w:r>
              <w:rPr>
                <w:sz w:val="24"/>
              </w:rPr>
              <w:t>于</w:t>
            </w:r>
            <w:r>
              <w:rPr>
                <w:bCs/>
                <w:sz w:val="24"/>
              </w:rPr>
              <w:t>2021年12月19日～12月20日</w:t>
            </w:r>
            <w:r>
              <w:rPr>
                <w:sz w:val="24"/>
              </w:rPr>
              <w:t>对本项目厂界噪声进行了监测，监测结果见</w:t>
            </w:r>
            <w:r>
              <w:rPr>
                <w:rFonts w:hint="eastAsia"/>
                <w:sz w:val="24"/>
              </w:rPr>
              <w:t>下</w:t>
            </w:r>
            <w:r>
              <w:rPr>
                <w:sz w:val="24"/>
              </w:rPr>
              <w:t>表</w:t>
            </w:r>
            <w:r>
              <w:rPr>
                <w:rFonts w:hint="eastAsia"/>
                <w:sz w:val="24"/>
              </w:rPr>
              <w:t>及</w:t>
            </w:r>
            <w:r>
              <w:rPr>
                <w:sz w:val="24"/>
              </w:rPr>
              <w:t>附件</w:t>
            </w:r>
            <w:r>
              <w:rPr>
                <w:rFonts w:hint="eastAsia"/>
                <w:sz w:val="24"/>
              </w:rPr>
              <w:t>六。</w:t>
            </w:r>
          </w:p>
          <w:p>
            <w:pPr>
              <w:autoSpaceDE w:val="0"/>
              <w:autoSpaceDN w:val="0"/>
              <w:adjustRightInd w:val="0"/>
              <w:snapToGrid w:val="0"/>
              <w:spacing w:line="400" w:lineRule="exact"/>
              <w:ind w:firstLine="960" w:firstLineChars="400"/>
              <w:rPr>
                <w:rFonts w:eastAsia="黑体"/>
                <w:sz w:val="24"/>
                <w:szCs w:val="22"/>
              </w:rPr>
            </w:pPr>
            <w:r>
              <w:rPr>
                <w:rFonts w:hint="eastAsia" w:eastAsia="黑体"/>
                <w:sz w:val="24"/>
                <w:szCs w:val="22"/>
              </w:rPr>
              <w:t>表1</w:t>
            </w:r>
            <w:r>
              <w:rPr>
                <w:rFonts w:eastAsia="黑体"/>
                <w:sz w:val="24"/>
                <w:szCs w:val="22"/>
              </w:rPr>
              <w:t>7</w:t>
            </w:r>
            <w:r>
              <w:rPr>
                <w:rFonts w:hint="eastAsia" w:eastAsia="黑体"/>
                <w:sz w:val="24"/>
                <w:szCs w:val="22"/>
              </w:rPr>
              <w:t xml:space="preserve">   </w:t>
            </w:r>
            <w:r>
              <w:rPr>
                <w:rFonts w:eastAsia="黑体"/>
                <w:sz w:val="24"/>
                <w:szCs w:val="22"/>
              </w:rPr>
              <w:t xml:space="preserve">      </w:t>
            </w:r>
            <w:r>
              <w:rPr>
                <w:rFonts w:hint="eastAsia" w:eastAsia="黑体"/>
                <w:sz w:val="24"/>
                <w:szCs w:val="22"/>
              </w:rPr>
              <w:t xml:space="preserve">声环境现状监测结果 </w:t>
            </w:r>
            <w:r>
              <w:rPr>
                <w:rFonts w:eastAsia="黑体"/>
                <w:sz w:val="24"/>
                <w:szCs w:val="22"/>
              </w:rPr>
              <w:t xml:space="preserve">          单位：</w:t>
            </w:r>
            <w:r>
              <w:rPr>
                <w:rFonts w:hint="eastAsia" w:eastAsia="黑体"/>
                <w:sz w:val="24"/>
                <w:szCs w:val="22"/>
              </w:rPr>
              <w:t>dB(A)</w:t>
            </w:r>
          </w:p>
          <w:tbl>
            <w:tblPr>
              <w:tblStyle w:val="22"/>
              <w:tblW w:w="7908"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98"/>
              <w:gridCol w:w="830"/>
              <w:gridCol w:w="840"/>
              <w:gridCol w:w="829"/>
              <w:gridCol w:w="780"/>
              <w:gridCol w:w="811"/>
              <w:gridCol w:w="834"/>
              <w:gridCol w:w="881"/>
              <w:gridCol w:w="80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81" w:hRule="atLeast"/>
              </w:trPr>
              <w:tc>
                <w:tcPr>
                  <w:tcW w:w="821" w:type="pct"/>
                  <w:vMerge w:val="restart"/>
                  <w:tcBorders>
                    <w:tl2br w:val="single" w:color="auto" w:sz="4" w:space="0"/>
                  </w:tcBorders>
                  <w:vAlign w:val="center"/>
                </w:tcPr>
                <w:p>
                  <w:pPr>
                    <w:adjustRightInd w:val="0"/>
                    <w:snapToGrid w:val="0"/>
                    <w:ind w:left="210" w:hanging="210" w:hangingChars="100"/>
                    <w:rPr>
                      <w:szCs w:val="21"/>
                    </w:rPr>
                  </w:pPr>
                  <w:r>
                    <w:rPr>
                      <w:szCs w:val="21"/>
                    </w:rPr>
                    <w:t xml:space="preserve">   点位</w:t>
                  </w:r>
                </w:p>
                <w:p>
                  <w:pPr>
                    <w:adjustRightInd w:val="0"/>
                    <w:snapToGrid w:val="0"/>
                    <w:rPr>
                      <w:szCs w:val="21"/>
                    </w:rPr>
                  </w:pPr>
                </w:p>
                <w:p>
                  <w:pPr>
                    <w:adjustRightInd w:val="0"/>
                    <w:snapToGrid w:val="0"/>
                    <w:rPr>
                      <w:szCs w:val="21"/>
                    </w:rPr>
                  </w:pPr>
                  <w:r>
                    <w:rPr>
                      <w:szCs w:val="21"/>
                    </w:rPr>
                    <w:t>时间</w:t>
                  </w:r>
                </w:p>
              </w:tc>
              <w:tc>
                <w:tcPr>
                  <w:tcW w:w="1056" w:type="pct"/>
                  <w:gridSpan w:val="2"/>
                  <w:vAlign w:val="center"/>
                </w:tcPr>
                <w:p>
                  <w:pPr>
                    <w:adjustRightInd w:val="0"/>
                    <w:snapToGrid w:val="0"/>
                    <w:jc w:val="center"/>
                    <w:rPr>
                      <w:szCs w:val="21"/>
                    </w:rPr>
                  </w:pPr>
                  <w:r>
                    <w:rPr>
                      <w:szCs w:val="21"/>
                    </w:rPr>
                    <w:t>东厂界</w:t>
                  </w:r>
                </w:p>
              </w:tc>
              <w:tc>
                <w:tcPr>
                  <w:tcW w:w="1017" w:type="pct"/>
                  <w:gridSpan w:val="2"/>
                  <w:vAlign w:val="center"/>
                </w:tcPr>
                <w:p>
                  <w:pPr>
                    <w:adjustRightInd w:val="0"/>
                    <w:snapToGrid w:val="0"/>
                    <w:jc w:val="center"/>
                    <w:rPr>
                      <w:szCs w:val="21"/>
                    </w:rPr>
                  </w:pPr>
                  <w:r>
                    <w:rPr>
                      <w:szCs w:val="21"/>
                    </w:rPr>
                    <w:t>西</w:t>
                  </w:r>
                  <w:r>
                    <w:rPr>
                      <w:rFonts w:hint="eastAsia"/>
                      <w:szCs w:val="21"/>
                    </w:rPr>
                    <w:t>厂</w:t>
                  </w:r>
                  <w:r>
                    <w:rPr>
                      <w:szCs w:val="21"/>
                    </w:rPr>
                    <w:t>界</w:t>
                  </w:r>
                </w:p>
              </w:tc>
              <w:tc>
                <w:tcPr>
                  <w:tcW w:w="1040" w:type="pct"/>
                  <w:gridSpan w:val="2"/>
                  <w:vAlign w:val="center"/>
                </w:tcPr>
                <w:p>
                  <w:pPr>
                    <w:adjustRightInd w:val="0"/>
                    <w:snapToGrid w:val="0"/>
                    <w:jc w:val="center"/>
                    <w:rPr>
                      <w:szCs w:val="21"/>
                    </w:rPr>
                  </w:pPr>
                  <w:r>
                    <w:rPr>
                      <w:szCs w:val="21"/>
                    </w:rPr>
                    <w:t>南厂界</w:t>
                  </w:r>
                </w:p>
              </w:tc>
              <w:tc>
                <w:tcPr>
                  <w:tcW w:w="1066" w:type="pct"/>
                  <w:gridSpan w:val="2"/>
                  <w:vAlign w:val="center"/>
                </w:tcPr>
                <w:p>
                  <w:pPr>
                    <w:adjustRightInd w:val="0"/>
                    <w:snapToGrid w:val="0"/>
                    <w:jc w:val="center"/>
                    <w:rPr>
                      <w:szCs w:val="21"/>
                    </w:rPr>
                  </w:pPr>
                  <w:r>
                    <w:rPr>
                      <w:szCs w:val="21"/>
                    </w:rPr>
                    <w:t>北厂界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821" w:type="pct"/>
                  <w:vMerge w:val="continue"/>
                  <w:vAlign w:val="center"/>
                </w:tcPr>
                <w:p>
                  <w:pPr>
                    <w:adjustRightInd w:val="0"/>
                    <w:snapToGrid w:val="0"/>
                    <w:jc w:val="center"/>
                    <w:rPr>
                      <w:szCs w:val="21"/>
                    </w:rPr>
                  </w:pPr>
                </w:p>
              </w:tc>
              <w:tc>
                <w:tcPr>
                  <w:tcW w:w="525" w:type="pct"/>
                  <w:vAlign w:val="center"/>
                </w:tcPr>
                <w:p>
                  <w:pPr>
                    <w:adjustRightInd w:val="0"/>
                    <w:snapToGrid w:val="0"/>
                    <w:jc w:val="center"/>
                    <w:rPr>
                      <w:szCs w:val="21"/>
                    </w:rPr>
                  </w:pPr>
                  <w:r>
                    <w:rPr>
                      <w:szCs w:val="21"/>
                    </w:rPr>
                    <w:t>昼间</w:t>
                  </w:r>
                </w:p>
              </w:tc>
              <w:tc>
                <w:tcPr>
                  <w:tcW w:w="530" w:type="pct"/>
                  <w:vAlign w:val="center"/>
                </w:tcPr>
                <w:p>
                  <w:pPr>
                    <w:adjustRightInd w:val="0"/>
                    <w:snapToGrid w:val="0"/>
                    <w:jc w:val="center"/>
                    <w:rPr>
                      <w:szCs w:val="21"/>
                    </w:rPr>
                  </w:pPr>
                  <w:r>
                    <w:rPr>
                      <w:szCs w:val="21"/>
                    </w:rPr>
                    <w:t>夜间</w:t>
                  </w:r>
                </w:p>
              </w:tc>
              <w:tc>
                <w:tcPr>
                  <w:tcW w:w="524" w:type="pct"/>
                  <w:vAlign w:val="center"/>
                </w:tcPr>
                <w:p>
                  <w:pPr>
                    <w:adjustRightInd w:val="0"/>
                    <w:snapToGrid w:val="0"/>
                    <w:jc w:val="center"/>
                    <w:rPr>
                      <w:szCs w:val="21"/>
                    </w:rPr>
                  </w:pPr>
                  <w:r>
                    <w:rPr>
                      <w:szCs w:val="21"/>
                    </w:rPr>
                    <w:t>昼间</w:t>
                  </w:r>
                </w:p>
              </w:tc>
              <w:tc>
                <w:tcPr>
                  <w:tcW w:w="492" w:type="pct"/>
                  <w:vAlign w:val="center"/>
                </w:tcPr>
                <w:p>
                  <w:pPr>
                    <w:adjustRightInd w:val="0"/>
                    <w:snapToGrid w:val="0"/>
                    <w:jc w:val="center"/>
                    <w:rPr>
                      <w:szCs w:val="21"/>
                    </w:rPr>
                  </w:pPr>
                  <w:r>
                    <w:rPr>
                      <w:szCs w:val="21"/>
                    </w:rPr>
                    <w:t>夜间</w:t>
                  </w:r>
                </w:p>
              </w:tc>
              <w:tc>
                <w:tcPr>
                  <w:tcW w:w="513" w:type="pct"/>
                  <w:vAlign w:val="center"/>
                </w:tcPr>
                <w:p>
                  <w:pPr>
                    <w:adjustRightInd w:val="0"/>
                    <w:snapToGrid w:val="0"/>
                    <w:jc w:val="center"/>
                    <w:rPr>
                      <w:szCs w:val="21"/>
                    </w:rPr>
                  </w:pPr>
                  <w:r>
                    <w:rPr>
                      <w:szCs w:val="21"/>
                    </w:rPr>
                    <w:t>昼间</w:t>
                  </w:r>
                </w:p>
              </w:tc>
              <w:tc>
                <w:tcPr>
                  <w:tcW w:w="527" w:type="pct"/>
                  <w:vAlign w:val="center"/>
                </w:tcPr>
                <w:p>
                  <w:pPr>
                    <w:adjustRightInd w:val="0"/>
                    <w:snapToGrid w:val="0"/>
                    <w:jc w:val="center"/>
                    <w:rPr>
                      <w:szCs w:val="21"/>
                    </w:rPr>
                  </w:pPr>
                  <w:r>
                    <w:rPr>
                      <w:szCs w:val="21"/>
                    </w:rPr>
                    <w:t>夜间</w:t>
                  </w:r>
                </w:p>
              </w:tc>
              <w:tc>
                <w:tcPr>
                  <w:tcW w:w="557" w:type="pct"/>
                  <w:vAlign w:val="center"/>
                </w:tcPr>
                <w:p>
                  <w:pPr>
                    <w:adjustRightInd w:val="0"/>
                    <w:snapToGrid w:val="0"/>
                    <w:jc w:val="center"/>
                    <w:rPr>
                      <w:szCs w:val="21"/>
                    </w:rPr>
                  </w:pPr>
                  <w:r>
                    <w:rPr>
                      <w:szCs w:val="21"/>
                    </w:rPr>
                    <w:t>昼间</w:t>
                  </w:r>
                </w:p>
              </w:tc>
              <w:tc>
                <w:tcPr>
                  <w:tcW w:w="509" w:type="pct"/>
                  <w:vAlign w:val="center"/>
                </w:tcPr>
                <w:p>
                  <w:pPr>
                    <w:adjustRightInd w:val="0"/>
                    <w:snapToGrid w:val="0"/>
                    <w:jc w:val="center"/>
                    <w:rPr>
                      <w:szCs w:val="21"/>
                    </w:rPr>
                  </w:pPr>
                  <w:r>
                    <w:rPr>
                      <w:szCs w:val="21"/>
                    </w:rPr>
                    <w:t>夜间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821" w:type="pct"/>
                  <w:vAlign w:val="center"/>
                </w:tcPr>
                <w:p>
                  <w:pPr>
                    <w:adjustRightInd w:val="0"/>
                    <w:snapToGrid w:val="0"/>
                    <w:jc w:val="center"/>
                    <w:rPr>
                      <w:szCs w:val="21"/>
                    </w:rPr>
                  </w:pPr>
                  <w:r>
                    <w:rPr>
                      <w:szCs w:val="21"/>
                    </w:rPr>
                    <w:t>12.19</w:t>
                  </w:r>
                </w:p>
              </w:tc>
              <w:tc>
                <w:tcPr>
                  <w:tcW w:w="525" w:type="pct"/>
                  <w:vAlign w:val="center"/>
                </w:tcPr>
                <w:p>
                  <w:pPr>
                    <w:snapToGrid w:val="0"/>
                    <w:spacing w:line="240" w:lineRule="atLeast"/>
                    <w:jc w:val="center"/>
                    <w:rPr>
                      <w:szCs w:val="21"/>
                    </w:rPr>
                  </w:pPr>
                  <w:r>
                    <w:rPr>
                      <w:rFonts w:hint="eastAsia"/>
                      <w:szCs w:val="21"/>
                    </w:rPr>
                    <w:t>42</w:t>
                  </w:r>
                </w:p>
              </w:tc>
              <w:tc>
                <w:tcPr>
                  <w:tcW w:w="530" w:type="pct"/>
                  <w:vAlign w:val="center"/>
                </w:tcPr>
                <w:p>
                  <w:pPr>
                    <w:snapToGrid w:val="0"/>
                    <w:spacing w:line="240" w:lineRule="atLeast"/>
                    <w:jc w:val="center"/>
                    <w:rPr>
                      <w:szCs w:val="21"/>
                    </w:rPr>
                  </w:pPr>
                  <w:r>
                    <w:rPr>
                      <w:rFonts w:hint="eastAsia"/>
                      <w:szCs w:val="21"/>
                    </w:rPr>
                    <w:t>33</w:t>
                  </w:r>
                </w:p>
              </w:tc>
              <w:tc>
                <w:tcPr>
                  <w:tcW w:w="524" w:type="pct"/>
                  <w:vAlign w:val="center"/>
                </w:tcPr>
                <w:p>
                  <w:pPr>
                    <w:snapToGrid w:val="0"/>
                    <w:spacing w:line="240" w:lineRule="atLeast"/>
                    <w:jc w:val="center"/>
                    <w:rPr>
                      <w:szCs w:val="21"/>
                    </w:rPr>
                  </w:pPr>
                  <w:r>
                    <w:rPr>
                      <w:rFonts w:hint="eastAsia"/>
                      <w:szCs w:val="21"/>
                    </w:rPr>
                    <w:t>42</w:t>
                  </w:r>
                </w:p>
              </w:tc>
              <w:tc>
                <w:tcPr>
                  <w:tcW w:w="492" w:type="pct"/>
                  <w:vAlign w:val="center"/>
                </w:tcPr>
                <w:p>
                  <w:pPr>
                    <w:snapToGrid w:val="0"/>
                    <w:spacing w:line="240" w:lineRule="atLeast"/>
                    <w:jc w:val="center"/>
                    <w:rPr>
                      <w:szCs w:val="21"/>
                    </w:rPr>
                  </w:pPr>
                  <w:r>
                    <w:rPr>
                      <w:rFonts w:hint="eastAsia"/>
                      <w:szCs w:val="21"/>
                    </w:rPr>
                    <w:t>31</w:t>
                  </w:r>
                </w:p>
              </w:tc>
              <w:tc>
                <w:tcPr>
                  <w:tcW w:w="513" w:type="pct"/>
                  <w:vAlign w:val="center"/>
                </w:tcPr>
                <w:p>
                  <w:pPr>
                    <w:snapToGrid w:val="0"/>
                    <w:spacing w:line="240" w:lineRule="atLeast"/>
                    <w:jc w:val="center"/>
                    <w:rPr>
                      <w:szCs w:val="21"/>
                    </w:rPr>
                  </w:pPr>
                  <w:r>
                    <w:rPr>
                      <w:rFonts w:hint="eastAsia"/>
                      <w:szCs w:val="21"/>
                    </w:rPr>
                    <w:t>43</w:t>
                  </w:r>
                </w:p>
              </w:tc>
              <w:tc>
                <w:tcPr>
                  <w:tcW w:w="527" w:type="pct"/>
                  <w:vAlign w:val="center"/>
                </w:tcPr>
                <w:p>
                  <w:pPr>
                    <w:snapToGrid w:val="0"/>
                    <w:spacing w:line="240" w:lineRule="atLeast"/>
                    <w:jc w:val="center"/>
                    <w:rPr>
                      <w:szCs w:val="21"/>
                    </w:rPr>
                  </w:pPr>
                  <w:r>
                    <w:rPr>
                      <w:rFonts w:hint="eastAsia"/>
                      <w:szCs w:val="21"/>
                    </w:rPr>
                    <w:t>33</w:t>
                  </w:r>
                </w:p>
              </w:tc>
              <w:tc>
                <w:tcPr>
                  <w:tcW w:w="557" w:type="pct"/>
                  <w:vAlign w:val="center"/>
                </w:tcPr>
                <w:p>
                  <w:pPr>
                    <w:snapToGrid w:val="0"/>
                    <w:spacing w:line="240" w:lineRule="atLeast"/>
                    <w:jc w:val="center"/>
                    <w:rPr>
                      <w:szCs w:val="21"/>
                    </w:rPr>
                  </w:pPr>
                  <w:r>
                    <w:rPr>
                      <w:rFonts w:hint="eastAsia"/>
                      <w:szCs w:val="21"/>
                    </w:rPr>
                    <w:t>41</w:t>
                  </w:r>
                </w:p>
              </w:tc>
              <w:tc>
                <w:tcPr>
                  <w:tcW w:w="509" w:type="pct"/>
                  <w:vAlign w:val="center"/>
                </w:tcPr>
                <w:p>
                  <w:pPr>
                    <w:snapToGrid w:val="0"/>
                    <w:spacing w:line="240" w:lineRule="atLeast"/>
                    <w:jc w:val="center"/>
                    <w:rPr>
                      <w:szCs w:val="21"/>
                    </w:rPr>
                  </w:pPr>
                  <w:r>
                    <w:rPr>
                      <w:rFonts w:hint="eastAsia"/>
                      <w:szCs w:val="21"/>
                    </w:rPr>
                    <w:t>31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821" w:type="pct"/>
                  <w:vAlign w:val="center"/>
                </w:tcPr>
                <w:p>
                  <w:pPr>
                    <w:adjustRightInd w:val="0"/>
                    <w:snapToGrid w:val="0"/>
                    <w:jc w:val="center"/>
                    <w:rPr>
                      <w:szCs w:val="21"/>
                    </w:rPr>
                  </w:pPr>
                  <w:r>
                    <w:rPr>
                      <w:szCs w:val="21"/>
                    </w:rPr>
                    <w:t>12.20</w:t>
                  </w:r>
                </w:p>
              </w:tc>
              <w:tc>
                <w:tcPr>
                  <w:tcW w:w="525" w:type="pct"/>
                  <w:vAlign w:val="center"/>
                </w:tcPr>
                <w:p>
                  <w:pPr>
                    <w:snapToGrid w:val="0"/>
                    <w:spacing w:line="240" w:lineRule="atLeast"/>
                    <w:jc w:val="center"/>
                    <w:rPr>
                      <w:szCs w:val="21"/>
                    </w:rPr>
                  </w:pPr>
                  <w:r>
                    <w:rPr>
                      <w:rFonts w:hint="eastAsia"/>
                      <w:szCs w:val="21"/>
                    </w:rPr>
                    <w:t>43</w:t>
                  </w:r>
                </w:p>
              </w:tc>
              <w:tc>
                <w:tcPr>
                  <w:tcW w:w="530" w:type="pct"/>
                  <w:vAlign w:val="center"/>
                </w:tcPr>
                <w:p>
                  <w:pPr>
                    <w:snapToGrid w:val="0"/>
                    <w:spacing w:line="240" w:lineRule="atLeast"/>
                    <w:jc w:val="center"/>
                    <w:rPr>
                      <w:szCs w:val="21"/>
                    </w:rPr>
                  </w:pPr>
                  <w:r>
                    <w:rPr>
                      <w:rFonts w:hint="eastAsia"/>
                      <w:szCs w:val="21"/>
                    </w:rPr>
                    <w:t>33</w:t>
                  </w:r>
                </w:p>
              </w:tc>
              <w:tc>
                <w:tcPr>
                  <w:tcW w:w="524" w:type="pct"/>
                  <w:vAlign w:val="center"/>
                </w:tcPr>
                <w:p>
                  <w:pPr>
                    <w:snapToGrid w:val="0"/>
                    <w:spacing w:line="240" w:lineRule="atLeast"/>
                    <w:jc w:val="center"/>
                    <w:rPr>
                      <w:szCs w:val="21"/>
                    </w:rPr>
                  </w:pPr>
                  <w:r>
                    <w:rPr>
                      <w:rFonts w:hint="eastAsia"/>
                      <w:szCs w:val="21"/>
                    </w:rPr>
                    <w:t>42</w:t>
                  </w:r>
                </w:p>
              </w:tc>
              <w:tc>
                <w:tcPr>
                  <w:tcW w:w="492" w:type="pct"/>
                  <w:vAlign w:val="center"/>
                </w:tcPr>
                <w:p>
                  <w:pPr>
                    <w:snapToGrid w:val="0"/>
                    <w:spacing w:line="240" w:lineRule="atLeast"/>
                    <w:jc w:val="center"/>
                    <w:rPr>
                      <w:szCs w:val="21"/>
                    </w:rPr>
                  </w:pPr>
                  <w:r>
                    <w:rPr>
                      <w:rFonts w:hint="eastAsia"/>
                      <w:szCs w:val="21"/>
                    </w:rPr>
                    <w:t>32</w:t>
                  </w:r>
                </w:p>
              </w:tc>
              <w:tc>
                <w:tcPr>
                  <w:tcW w:w="513" w:type="pct"/>
                  <w:vAlign w:val="center"/>
                </w:tcPr>
                <w:p>
                  <w:pPr>
                    <w:snapToGrid w:val="0"/>
                    <w:spacing w:line="240" w:lineRule="atLeast"/>
                    <w:jc w:val="center"/>
                    <w:rPr>
                      <w:szCs w:val="21"/>
                    </w:rPr>
                  </w:pPr>
                  <w:r>
                    <w:rPr>
                      <w:rFonts w:hint="eastAsia"/>
                      <w:szCs w:val="21"/>
                    </w:rPr>
                    <w:t>43</w:t>
                  </w:r>
                </w:p>
              </w:tc>
              <w:tc>
                <w:tcPr>
                  <w:tcW w:w="527" w:type="pct"/>
                  <w:vAlign w:val="center"/>
                </w:tcPr>
                <w:p>
                  <w:pPr>
                    <w:snapToGrid w:val="0"/>
                    <w:spacing w:line="240" w:lineRule="atLeast"/>
                    <w:jc w:val="center"/>
                    <w:rPr>
                      <w:szCs w:val="21"/>
                    </w:rPr>
                  </w:pPr>
                  <w:r>
                    <w:rPr>
                      <w:rFonts w:hint="eastAsia"/>
                      <w:szCs w:val="21"/>
                    </w:rPr>
                    <w:t>32</w:t>
                  </w:r>
                </w:p>
              </w:tc>
              <w:tc>
                <w:tcPr>
                  <w:tcW w:w="557" w:type="pct"/>
                  <w:vAlign w:val="center"/>
                </w:tcPr>
                <w:p>
                  <w:pPr>
                    <w:snapToGrid w:val="0"/>
                    <w:spacing w:line="240" w:lineRule="atLeast"/>
                    <w:jc w:val="center"/>
                    <w:rPr>
                      <w:szCs w:val="21"/>
                    </w:rPr>
                  </w:pPr>
                  <w:r>
                    <w:rPr>
                      <w:rFonts w:hint="eastAsia"/>
                      <w:szCs w:val="21"/>
                    </w:rPr>
                    <w:t>41</w:t>
                  </w:r>
                </w:p>
              </w:tc>
              <w:tc>
                <w:tcPr>
                  <w:tcW w:w="509" w:type="pct"/>
                  <w:vAlign w:val="center"/>
                </w:tcPr>
                <w:p>
                  <w:pPr>
                    <w:snapToGrid w:val="0"/>
                    <w:spacing w:line="240" w:lineRule="atLeast"/>
                    <w:jc w:val="center"/>
                    <w:rPr>
                      <w:szCs w:val="21"/>
                    </w:rPr>
                  </w:pPr>
                  <w:r>
                    <w:rPr>
                      <w:rFonts w:hint="eastAsia"/>
                      <w:szCs w:val="21"/>
                    </w:rPr>
                    <w:t>31</w:t>
                  </w:r>
                </w:p>
              </w:tc>
            </w:tr>
          </w:tbl>
          <w:p>
            <w:pPr>
              <w:spacing w:line="40" w:lineRule="exact"/>
              <w:ind w:firstLine="482"/>
              <w:rPr>
                <w:sz w:val="24"/>
              </w:rPr>
            </w:pPr>
          </w:p>
          <w:p>
            <w:pPr>
              <w:spacing w:line="40" w:lineRule="exact"/>
              <w:ind w:firstLine="482"/>
              <w:rPr>
                <w:sz w:val="24"/>
              </w:rPr>
            </w:pPr>
          </w:p>
          <w:p>
            <w:pPr>
              <w:spacing w:line="40" w:lineRule="exact"/>
              <w:ind w:firstLine="482"/>
              <w:rPr>
                <w:sz w:val="24"/>
              </w:rPr>
            </w:pPr>
          </w:p>
          <w:p>
            <w:pPr>
              <w:spacing w:line="40" w:lineRule="exact"/>
              <w:ind w:firstLine="482"/>
              <w:rPr>
                <w:sz w:val="24"/>
              </w:rPr>
            </w:pPr>
          </w:p>
          <w:p>
            <w:pPr>
              <w:spacing w:line="40" w:lineRule="exact"/>
              <w:ind w:firstLine="482"/>
              <w:rPr>
                <w:sz w:val="24"/>
              </w:rPr>
            </w:pPr>
          </w:p>
          <w:p>
            <w:pPr>
              <w:spacing w:line="40" w:lineRule="exact"/>
              <w:ind w:firstLine="482"/>
              <w:rPr>
                <w:sz w:val="24"/>
              </w:rPr>
            </w:pPr>
          </w:p>
          <w:p>
            <w:pPr>
              <w:spacing w:line="40" w:lineRule="exact"/>
              <w:ind w:firstLine="482"/>
              <w:rPr>
                <w:sz w:val="24"/>
              </w:rPr>
            </w:pPr>
          </w:p>
          <w:p>
            <w:pPr>
              <w:spacing w:line="384" w:lineRule="auto"/>
              <w:ind w:firstLine="480"/>
              <w:rPr>
                <w:sz w:val="24"/>
              </w:rPr>
            </w:pPr>
            <w:r>
              <w:rPr>
                <w:sz w:val="24"/>
              </w:rPr>
              <w:t>根据监测结果分析，该项目所在</w:t>
            </w:r>
            <w:r>
              <w:rPr>
                <w:rFonts w:hint="eastAsia"/>
                <w:sz w:val="24"/>
              </w:rPr>
              <w:t>的厂区各厂界噪声值均满足</w:t>
            </w:r>
            <w:r>
              <w:rPr>
                <w:sz w:val="24"/>
              </w:rPr>
              <w:t>《声环境质量标准》（GB3096－2008）2类标准。</w:t>
            </w:r>
          </w:p>
          <w:p>
            <w:pPr>
              <w:autoSpaceDE w:val="0"/>
              <w:autoSpaceDN w:val="0"/>
              <w:adjustRightInd w:val="0"/>
              <w:snapToGrid w:val="0"/>
              <w:spacing w:line="360" w:lineRule="auto"/>
              <w:ind w:firstLine="482" w:firstLineChars="200"/>
              <w:rPr>
                <w:rFonts w:cs="宋体"/>
                <w:b/>
                <w:bCs/>
                <w:kern w:val="0"/>
                <w:sz w:val="24"/>
              </w:rPr>
            </w:pPr>
            <w:r>
              <w:rPr>
                <w:rFonts w:hint="eastAsia" w:cs="宋体"/>
                <w:b/>
                <w:bCs/>
                <w:kern w:val="0"/>
                <w:sz w:val="24"/>
              </w:rPr>
              <w:t>4、 生态环境质量现状</w:t>
            </w:r>
          </w:p>
          <w:p>
            <w:pPr>
              <w:autoSpaceDE w:val="0"/>
              <w:autoSpaceDN w:val="0"/>
              <w:adjustRightInd w:val="0"/>
              <w:snapToGrid w:val="0"/>
              <w:spacing w:line="360" w:lineRule="auto"/>
              <w:ind w:firstLine="480" w:firstLineChars="200"/>
              <w:rPr>
                <w:rFonts w:cs="宋体"/>
                <w:kern w:val="0"/>
                <w:sz w:val="24"/>
              </w:rPr>
            </w:pPr>
            <w:r>
              <w:rPr>
                <w:rFonts w:hint="eastAsia" w:cs="宋体"/>
                <w:kern w:val="0"/>
                <w:sz w:val="24"/>
              </w:rPr>
              <w:t>本项目租用远宏炭素老厂区空地进行建设，根据现场调查，项目周边地表植被主要为人工种植的植物以及农作物。项目周边500m范围内未发现列入《国家重点保护野生植物名录》和《国家重点保护野生动物名录》的动植物。</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881" w:hRule="atLeast"/>
          <w:jc w:val="center"/>
        </w:trPr>
        <w:tc>
          <w:tcPr>
            <w:tcW w:w="800" w:type="dxa"/>
            <w:vAlign w:val="center"/>
          </w:tcPr>
          <w:p>
            <w:pPr>
              <w:adjustRightInd w:val="0"/>
              <w:snapToGrid w:val="0"/>
              <w:jc w:val="center"/>
              <w:rPr>
                <w:rFonts w:cs="宋体"/>
                <w:kern w:val="0"/>
                <w:sz w:val="24"/>
              </w:rPr>
            </w:pPr>
            <w:r>
              <w:rPr>
                <w:rFonts w:hint="eastAsia" w:cs="宋体"/>
                <w:kern w:val="0"/>
                <w:sz w:val="24"/>
              </w:rPr>
              <w:t>环境</w:t>
            </w:r>
          </w:p>
          <w:p>
            <w:pPr>
              <w:adjustRightInd w:val="0"/>
              <w:snapToGrid w:val="0"/>
              <w:jc w:val="center"/>
              <w:rPr>
                <w:rFonts w:cs="宋体"/>
                <w:kern w:val="0"/>
                <w:sz w:val="24"/>
              </w:rPr>
            </w:pPr>
            <w:r>
              <w:rPr>
                <w:rFonts w:hint="eastAsia" w:cs="宋体"/>
                <w:kern w:val="0"/>
                <w:sz w:val="24"/>
              </w:rPr>
              <w:t>保护</w:t>
            </w:r>
          </w:p>
          <w:p>
            <w:pPr>
              <w:adjustRightInd w:val="0"/>
              <w:snapToGrid w:val="0"/>
              <w:jc w:val="center"/>
              <w:rPr>
                <w:rFonts w:cs="宋体"/>
                <w:kern w:val="0"/>
                <w:sz w:val="24"/>
              </w:rPr>
            </w:pPr>
            <w:r>
              <w:rPr>
                <w:rFonts w:hint="eastAsia" w:cs="宋体"/>
                <w:kern w:val="0"/>
                <w:sz w:val="24"/>
              </w:rPr>
              <w:t>目标</w:t>
            </w:r>
          </w:p>
        </w:tc>
        <w:tc>
          <w:tcPr>
            <w:tcW w:w="8190" w:type="dxa"/>
            <w:vAlign w:val="center"/>
          </w:tcPr>
          <w:p>
            <w:pPr>
              <w:autoSpaceDE w:val="0"/>
              <w:autoSpaceDN w:val="0"/>
              <w:adjustRightInd w:val="0"/>
              <w:snapToGrid w:val="0"/>
              <w:spacing w:line="360" w:lineRule="auto"/>
              <w:ind w:firstLine="480" w:firstLineChars="200"/>
              <w:rPr>
                <w:b/>
                <w:sz w:val="24"/>
                <w:u w:val="single"/>
              </w:rPr>
            </w:pPr>
            <w:r>
              <w:rPr>
                <w:rFonts w:hint="eastAsia" w:cs="宋体"/>
                <w:kern w:val="0"/>
                <w:sz w:val="24"/>
              </w:rPr>
              <w:t>本项目位于鲁山县辛集乡曲店村三组，</w:t>
            </w:r>
            <w:r>
              <w:rPr>
                <w:bCs/>
                <w:sz w:val="24"/>
              </w:rPr>
              <w:t>根据现场调查，项目所在位置500米范围内无自然保护区、风景名胜区、文化区、水源保护区</w:t>
            </w:r>
            <w:r>
              <w:rPr>
                <w:rFonts w:hint="eastAsia"/>
                <w:bCs/>
                <w:sz w:val="24"/>
              </w:rPr>
              <w:t>。</w:t>
            </w:r>
            <w:r>
              <w:rPr>
                <w:b/>
                <w:sz w:val="24"/>
                <w:u w:val="single"/>
              </w:rPr>
              <w:t>厂界外50m内无声环境保护目标，</w:t>
            </w:r>
            <w:r>
              <w:rPr>
                <w:b/>
                <w:bCs/>
                <w:sz w:val="24"/>
                <w:u w:val="single"/>
              </w:rPr>
              <w:t>项目西</w:t>
            </w:r>
            <w:r>
              <w:rPr>
                <w:rFonts w:hint="eastAsia"/>
                <w:b/>
                <w:bCs/>
                <w:sz w:val="24"/>
                <w:u w:val="single"/>
              </w:rPr>
              <w:t>距</w:t>
            </w:r>
            <w:r>
              <w:rPr>
                <w:b/>
                <w:bCs/>
                <w:sz w:val="24"/>
                <w:u w:val="single"/>
              </w:rPr>
              <w:t>大浪河1.35km，</w:t>
            </w:r>
            <w:r>
              <w:rPr>
                <w:rFonts w:hint="eastAsia"/>
                <w:b/>
                <w:bCs/>
                <w:sz w:val="24"/>
                <w:u w:val="single"/>
              </w:rPr>
              <w:t>东</w:t>
            </w:r>
            <w:r>
              <w:rPr>
                <w:b/>
                <w:bCs/>
                <w:sz w:val="24"/>
                <w:u w:val="single"/>
              </w:rPr>
              <w:t>南距南水北调</w:t>
            </w:r>
            <w:r>
              <w:rPr>
                <w:b/>
                <w:sz w:val="24"/>
                <w:u w:val="single"/>
              </w:rPr>
              <w:t>中线一期工程总干渠二级保护区约1.5km</w:t>
            </w:r>
            <w:r>
              <w:rPr>
                <w:rFonts w:hint="eastAsia"/>
                <w:b/>
                <w:sz w:val="24"/>
                <w:u w:val="single"/>
              </w:rPr>
              <w:t>；东距当地的人文</w:t>
            </w:r>
            <w:r>
              <w:rPr>
                <w:b/>
                <w:sz w:val="24"/>
                <w:u w:val="single"/>
              </w:rPr>
              <w:t>景观牛郎洞</w:t>
            </w:r>
            <w:r>
              <w:rPr>
                <w:rFonts w:hint="eastAsia"/>
                <w:b/>
                <w:sz w:val="24"/>
                <w:u w:val="single"/>
              </w:rPr>
              <w:t>2.1</w:t>
            </w:r>
            <w:r>
              <w:rPr>
                <w:b/>
                <w:sz w:val="24"/>
                <w:u w:val="single"/>
              </w:rPr>
              <w:t>8km</w:t>
            </w:r>
            <w:r>
              <w:rPr>
                <w:rFonts w:hint="eastAsia"/>
                <w:b/>
                <w:sz w:val="24"/>
                <w:u w:val="single"/>
              </w:rPr>
              <w:t>、瑞云</w:t>
            </w:r>
            <w:r>
              <w:rPr>
                <w:b/>
                <w:sz w:val="24"/>
                <w:u w:val="single"/>
              </w:rPr>
              <w:t>观</w:t>
            </w:r>
            <w:r>
              <w:rPr>
                <w:rFonts w:hint="eastAsia"/>
                <w:b/>
                <w:sz w:val="24"/>
                <w:u w:val="single"/>
              </w:rPr>
              <w:t>2.15</w:t>
            </w:r>
            <w:r>
              <w:rPr>
                <w:b/>
                <w:sz w:val="24"/>
                <w:u w:val="single"/>
              </w:rPr>
              <w:t>km、</w:t>
            </w:r>
            <w:r>
              <w:rPr>
                <w:rFonts w:hint="eastAsia"/>
                <w:b/>
                <w:sz w:val="24"/>
                <w:u w:val="single"/>
              </w:rPr>
              <w:t>九女潭2.11</w:t>
            </w:r>
            <w:r>
              <w:rPr>
                <w:b/>
                <w:sz w:val="24"/>
                <w:u w:val="single"/>
              </w:rPr>
              <w:t>km</w:t>
            </w:r>
            <w:r>
              <w:rPr>
                <w:rFonts w:hint="eastAsia"/>
                <w:b/>
                <w:sz w:val="24"/>
                <w:u w:val="single"/>
              </w:rPr>
              <w:t>（经调查，这些人文景观没有列入国家和地方各级保护规划）。</w:t>
            </w:r>
          </w:p>
          <w:p>
            <w:pPr>
              <w:autoSpaceDE w:val="0"/>
              <w:autoSpaceDN w:val="0"/>
              <w:adjustRightInd w:val="0"/>
              <w:snapToGrid w:val="0"/>
              <w:spacing w:line="360" w:lineRule="auto"/>
              <w:ind w:firstLine="480" w:firstLineChars="200"/>
              <w:rPr>
                <w:rFonts w:cs="宋体"/>
                <w:b/>
                <w:bCs/>
                <w:kern w:val="0"/>
                <w:sz w:val="24"/>
                <w:u w:val="single"/>
              </w:rPr>
            </w:pPr>
            <w:r>
              <w:rPr>
                <w:kern w:val="0"/>
                <w:sz w:val="24"/>
              </w:rPr>
              <w:t>项目主要环</w:t>
            </w:r>
            <w:r>
              <w:rPr>
                <w:rFonts w:hint="eastAsia" w:cs="宋体"/>
                <w:kern w:val="0"/>
                <w:sz w:val="24"/>
              </w:rPr>
              <w:t>境保护目标见下表</w:t>
            </w:r>
            <w:r>
              <w:rPr>
                <w:rFonts w:cs="宋体"/>
                <w:kern w:val="0"/>
                <w:sz w:val="24"/>
              </w:rPr>
              <w:t>18</w:t>
            </w:r>
            <w:r>
              <w:rPr>
                <w:rFonts w:hint="eastAsia" w:cs="宋体"/>
                <w:kern w:val="0"/>
                <w:sz w:val="24"/>
              </w:rPr>
              <w:t>。</w:t>
            </w:r>
          </w:p>
          <w:p>
            <w:pPr>
              <w:autoSpaceDE w:val="0"/>
              <w:autoSpaceDN w:val="0"/>
              <w:adjustRightInd w:val="0"/>
              <w:snapToGrid w:val="0"/>
              <w:spacing w:line="400" w:lineRule="exact"/>
              <w:ind w:firstLine="960" w:firstLineChars="400"/>
              <w:rPr>
                <w:rFonts w:eastAsia="黑体"/>
                <w:sz w:val="24"/>
                <w:szCs w:val="22"/>
              </w:rPr>
            </w:pPr>
            <w:r>
              <w:rPr>
                <w:rFonts w:eastAsia="黑体"/>
                <w:sz w:val="24"/>
                <w:szCs w:val="22"/>
              </w:rPr>
              <w:t xml:space="preserve">表18           </w:t>
            </w:r>
            <w:r>
              <w:rPr>
                <w:rFonts w:hint="eastAsia" w:eastAsia="黑体"/>
                <w:sz w:val="24"/>
                <w:szCs w:val="22"/>
              </w:rPr>
              <w:t>本项目主要</w:t>
            </w:r>
            <w:r>
              <w:rPr>
                <w:rFonts w:eastAsia="黑体"/>
                <w:sz w:val="24"/>
                <w:szCs w:val="22"/>
              </w:rPr>
              <w:t>环境保护目标</w:t>
            </w:r>
          </w:p>
          <w:tbl>
            <w:tblPr>
              <w:tblStyle w:val="22"/>
              <w:tblW w:w="7964" w:type="dxa"/>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28" w:type="dxa"/>
                <w:left w:w="28" w:type="dxa"/>
                <w:bottom w:w="28" w:type="dxa"/>
                <w:right w:w="28" w:type="dxa"/>
              </w:tblCellMar>
            </w:tblPr>
            <w:tblGrid>
              <w:gridCol w:w="583"/>
              <w:gridCol w:w="567"/>
              <w:gridCol w:w="1276"/>
              <w:gridCol w:w="1275"/>
              <w:gridCol w:w="696"/>
              <w:gridCol w:w="1107"/>
              <w:gridCol w:w="1120"/>
              <w:gridCol w:w="681"/>
              <w:gridCol w:w="659"/>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28" w:type="dxa"/>
                  <w:bottom w:w="28" w:type="dxa"/>
                  <w:right w:w="28" w:type="dxa"/>
                </w:tblCellMar>
              </w:tblPrEx>
              <w:trPr>
                <w:trHeight w:val="451" w:hRule="atLeast"/>
              </w:trPr>
              <w:tc>
                <w:tcPr>
                  <w:tcW w:w="583" w:type="dxa"/>
                  <w:vMerge w:val="restart"/>
                  <w:vAlign w:val="center"/>
                </w:tcPr>
                <w:p>
                  <w:pPr>
                    <w:spacing w:line="240" w:lineRule="exact"/>
                    <w:jc w:val="center"/>
                    <w:rPr>
                      <w:szCs w:val="21"/>
                    </w:rPr>
                  </w:pPr>
                  <w:r>
                    <w:rPr>
                      <w:szCs w:val="21"/>
                    </w:rPr>
                    <w:t>环境要素</w:t>
                  </w:r>
                </w:p>
              </w:tc>
              <w:tc>
                <w:tcPr>
                  <w:tcW w:w="567" w:type="dxa"/>
                  <w:vMerge w:val="restart"/>
                  <w:vAlign w:val="center"/>
                </w:tcPr>
                <w:p>
                  <w:pPr>
                    <w:spacing w:line="240" w:lineRule="exact"/>
                    <w:jc w:val="center"/>
                    <w:rPr>
                      <w:szCs w:val="21"/>
                    </w:rPr>
                  </w:pPr>
                  <w:r>
                    <w:rPr>
                      <w:szCs w:val="21"/>
                    </w:rPr>
                    <w:t>名称</w:t>
                  </w:r>
                </w:p>
              </w:tc>
              <w:tc>
                <w:tcPr>
                  <w:tcW w:w="2551" w:type="dxa"/>
                  <w:gridSpan w:val="2"/>
                  <w:vAlign w:val="center"/>
                </w:tcPr>
                <w:p>
                  <w:pPr>
                    <w:spacing w:line="240" w:lineRule="exact"/>
                    <w:jc w:val="center"/>
                    <w:rPr>
                      <w:szCs w:val="21"/>
                    </w:rPr>
                  </w:pPr>
                  <w:r>
                    <w:rPr>
                      <w:szCs w:val="21"/>
                    </w:rPr>
                    <w:t>坐标</w:t>
                  </w:r>
                </w:p>
              </w:tc>
              <w:tc>
                <w:tcPr>
                  <w:tcW w:w="696" w:type="dxa"/>
                  <w:vMerge w:val="restart"/>
                  <w:vAlign w:val="center"/>
                </w:tcPr>
                <w:p>
                  <w:pPr>
                    <w:spacing w:line="240" w:lineRule="exact"/>
                    <w:jc w:val="center"/>
                    <w:rPr>
                      <w:szCs w:val="21"/>
                    </w:rPr>
                  </w:pPr>
                  <w:r>
                    <w:rPr>
                      <w:szCs w:val="21"/>
                    </w:rPr>
                    <w:t>保护</w:t>
                  </w:r>
                </w:p>
                <w:p>
                  <w:pPr>
                    <w:spacing w:line="240" w:lineRule="exact"/>
                    <w:jc w:val="center"/>
                    <w:rPr>
                      <w:szCs w:val="21"/>
                    </w:rPr>
                  </w:pPr>
                  <w:r>
                    <w:rPr>
                      <w:szCs w:val="21"/>
                    </w:rPr>
                    <w:t>对象</w:t>
                  </w:r>
                </w:p>
              </w:tc>
              <w:tc>
                <w:tcPr>
                  <w:tcW w:w="1107" w:type="dxa"/>
                  <w:vMerge w:val="restart"/>
                  <w:vAlign w:val="center"/>
                </w:tcPr>
                <w:p>
                  <w:pPr>
                    <w:spacing w:line="240" w:lineRule="exact"/>
                    <w:jc w:val="center"/>
                    <w:rPr>
                      <w:szCs w:val="21"/>
                    </w:rPr>
                  </w:pPr>
                  <w:r>
                    <w:rPr>
                      <w:szCs w:val="21"/>
                    </w:rPr>
                    <w:t>保护</w:t>
                  </w:r>
                </w:p>
                <w:p>
                  <w:pPr>
                    <w:spacing w:line="240" w:lineRule="exact"/>
                    <w:jc w:val="center"/>
                    <w:rPr>
                      <w:szCs w:val="21"/>
                    </w:rPr>
                  </w:pPr>
                  <w:r>
                    <w:rPr>
                      <w:szCs w:val="21"/>
                    </w:rPr>
                    <w:t>内容</w:t>
                  </w:r>
                </w:p>
              </w:tc>
              <w:tc>
                <w:tcPr>
                  <w:tcW w:w="1120" w:type="dxa"/>
                  <w:vMerge w:val="restart"/>
                  <w:vAlign w:val="center"/>
                </w:tcPr>
                <w:p>
                  <w:pPr>
                    <w:spacing w:line="240" w:lineRule="exact"/>
                    <w:jc w:val="center"/>
                    <w:rPr>
                      <w:szCs w:val="21"/>
                    </w:rPr>
                  </w:pPr>
                  <w:r>
                    <w:rPr>
                      <w:szCs w:val="21"/>
                    </w:rPr>
                    <w:t>环境</w:t>
                  </w:r>
                </w:p>
                <w:p>
                  <w:pPr>
                    <w:spacing w:line="240" w:lineRule="exact"/>
                    <w:jc w:val="center"/>
                    <w:rPr>
                      <w:szCs w:val="21"/>
                    </w:rPr>
                  </w:pPr>
                  <w:r>
                    <w:rPr>
                      <w:szCs w:val="21"/>
                    </w:rPr>
                    <w:t>功能区</w:t>
                  </w:r>
                </w:p>
              </w:tc>
              <w:tc>
                <w:tcPr>
                  <w:tcW w:w="681" w:type="dxa"/>
                  <w:vMerge w:val="restart"/>
                  <w:vAlign w:val="center"/>
                </w:tcPr>
                <w:p>
                  <w:pPr>
                    <w:spacing w:line="240" w:lineRule="exact"/>
                    <w:jc w:val="center"/>
                    <w:rPr>
                      <w:szCs w:val="21"/>
                    </w:rPr>
                  </w:pPr>
                  <w:r>
                    <w:rPr>
                      <w:szCs w:val="21"/>
                    </w:rPr>
                    <w:t>相对</w:t>
                  </w:r>
                </w:p>
                <w:p>
                  <w:pPr>
                    <w:spacing w:line="240" w:lineRule="exact"/>
                    <w:jc w:val="center"/>
                    <w:rPr>
                      <w:szCs w:val="21"/>
                    </w:rPr>
                  </w:pPr>
                  <w:r>
                    <w:rPr>
                      <w:szCs w:val="21"/>
                    </w:rPr>
                    <w:t>厂区</w:t>
                  </w:r>
                </w:p>
                <w:p>
                  <w:pPr>
                    <w:spacing w:line="240" w:lineRule="exact"/>
                    <w:jc w:val="center"/>
                    <w:rPr>
                      <w:szCs w:val="21"/>
                    </w:rPr>
                  </w:pPr>
                  <w:r>
                    <w:rPr>
                      <w:szCs w:val="21"/>
                    </w:rPr>
                    <w:t>方位</w:t>
                  </w:r>
                </w:p>
              </w:tc>
              <w:tc>
                <w:tcPr>
                  <w:tcW w:w="659" w:type="dxa"/>
                  <w:vMerge w:val="restart"/>
                  <w:vAlign w:val="center"/>
                </w:tcPr>
                <w:p>
                  <w:pPr>
                    <w:spacing w:line="240" w:lineRule="exact"/>
                    <w:jc w:val="center"/>
                    <w:rPr>
                      <w:szCs w:val="21"/>
                    </w:rPr>
                  </w:pPr>
                  <w:r>
                    <w:rPr>
                      <w:szCs w:val="21"/>
                    </w:rPr>
                    <w:t>相对厂界距离</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28" w:type="dxa"/>
                  <w:bottom w:w="28" w:type="dxa"/>
                  <w:right w:w="28" w:type="dxa"/>
                </w:tblCellMar>
              </w:tblPrEx>
              <w:tc>
                <w:tcPr>
                  <w:tcW w:w="583" w:type="dxa"/>
                  <w:vMerge w:val="continue"/>
                  <w:vAlign w:val="center"/>
                </w:tcPr>
                <w:p>
                  <w:pPr>
                    <w:widowControl/>
                    <w:spacing w:line="240" w:lineRule="exact"/>
                    <w:jc w:val="center"/>
                    <w:rPr>
                      <w:szCs w:val="21"/>
                    </w:rPr>
                  </w:pPr>
                </w:p>
              </w:tc>
              <w:tc>
                <w:tcPr>
                  <w:tcW w:w="567" w:type="dxa"/>
                  <w:vMerge w:val="continue"/>
                  <w:vAlign w:val="center"/>
                </w:tcPr>
                <w:p>
                  <w:pPr>
                    <w:widowControl/>
                    <w:spacing w:line="240" w:lineRule="exact"/>
                    <w:jc w:val="center"/>
                    <w:rPr>
                      <w:szCs w:val="21"/>
                    </w:rPr>
                  </w:pPr>
                </w:p>
              </w:tc>
              <w:tc>
                <w:tcPr>
                  <w:tcW w:w="1276" w:type="dxa"/>
                  <w:vAlign w:val="center"/>
                </w:tcPr>
                <w:p>
                  <w:pPr>
                    <w:spacing w:line="240" w:lineRule="exact"/>
                    <w:jc w:val="center"/>
                    <w:rPr>
                      <w:szCs w:val="21"/>
                    </w:rPr>
                  </w:pPr>
                  <w:r>
                    <w:rPr>
                      <w:szCs w:val="21"/>
                    </w:rPr>
                    <w:t>北纬</w:t>
                  </w:r>
                </w:p>
              </w:tc>
              <w:tc>
                <w:tcPr>
                  <w:tcW w:w="1275" w:type="dxa"/>
                  <w:vAlign w:val="center"/>
                </w:tcPr>
                <w:p>
                  <w:pPr>
                    <w:spacing w:line="240" w:lineRule="exact"/>
                    <w:jc w:val="center"/>
                    <w:rPr>
                      <w:szCs w:val="21"/>
                    </w:rPr>
                  </w:pPr>
                  <w:r>
                    <w:rPr>
                      <w:szCs w:val="21"/>
                    </w:rPr>
                    <w:t>东经</w:t>
                  </w:r>
                </w:p>
              </w:tc>
              <w:tc>
                <w:tcPr>
                  <w:tcW w:w="696" w:type="dxa"/>
                  <w:vMerge w:val="continue"/>
                  <w:vAlign w:val="center"/>
                </w:tcPr>
                <w:p>
                  <w:pPr>
                    <w:widowControl/>
                    <w:spacing w:line="240" w:lineRule="exact"/>
                    <w:jc w:val="center"/>
                    <w:rPr>
                      <w:szCs w:val="21"/>
                    </w:rPr>
                  </w:pPr>
                </w:p>
              </w:tc>
              <w:tc>
                <w:tcPr>
                  <w:tcW w:w="1107" w:type="dxa"/>
                  <w:vMerge w:val="continue"/>
                  <w:vAlign w:val="center"/>
                </w:tcPr>
                <w:p>
                  <w:pPr>
                    <w:widowControl/>
                    <w:spacing w:line="240" w:lineRule="exact"/>
                    <w:jc w:val="center"/>
                    <w:rPr>
                      <w:szCs w:val="21"/>
                    </w:rPr>
                  </w:pPr>
                </w:p>
              </w:tc>
              <w:tc>
                <w:tcPr>
                  <w:tcW w:w="1120" w:type="dxa"/>
                  <w:vMerge w:val="continue"/>
                  <w:vAlign w:val="center"/>
                </w:tcPr>
                <w:p>
                  <w:pPr>
                    <w:widowControl/>
                    <w:spacing w:line="240" w:lineRule="exact"/>
                    <w:jc w:val="center"/>
                    <w:rPr>
                      <w:szCs w:val="21"/>
                    </w:rPr>
                  </w:pPr>
                </w:p>
              </w:tc>
              <w:tc>
                <w:tcPr>
                  <w:tcW w:w="681" w:type="dxa"/>
                  <w:vMerge w:val="continue"/>
                  <w:vAlign w:val="center"/>
                </w:tcPr>
                <w:p>
                  <w:pPr>
                    <w:widowControl/>
                    <w:spacing w:line="240" w:lineRule="exact"/>
                    <w:jc w:val="center"/>
                    <w:rPr>
                      <w:szCs w:val="21"/>
                    </w:rPr>
                  </w:pPr>
                </w:p>
              </w:tc>
              <w:tc>
                <w:tcPr>
                  <w:tcW w:w="659" w:type="dxa"/>
                  <w:vMerge w:val="continue"/>
                  <w:vAlign w:val="center"/>
                </w:tcPr>
                <w:p>
                  <w:pPr>
                    <w:widowControl/>
                    <w:spacing w:line="240" w:lineRule="exact"/>
                    <w:jc w:val="center"/>
                    <w:rPr>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28" w:type="dxa"/>
                  <w:bottom w:w="28" w:type="dxa"/>
                  <w:right w:w="28" w:type="dxa"/>
                </w:tblCellMar>
              </w:tblPrEx>
              <w:trPr>
                <w:trHeight w:val="390" w:hRule="atLeast"/>
              </w:trPr>
              <w:tc>
                <w:tcPr>
                  <w:tcW w:w="583" w:type="dxa"/>
                  <w:vMerge w:val="restart"/>
                  <w:vAlign w:val="center"/>
                </w:tcPr>
                <w:p>
                  <w:pPr>
                    <w:spacing w:line="240" w:lineRule="exact"/>
                    <w:jc w:val="center"/>
                    <w:rPr>
                      <w:szCs w:val="21"/>
                    </w:rPr>
                  </w:pPr>
                  <w:r>
                    <w:rPr>
                      <w:szCs w:val="21"/>
                    </w:rPr>
                    <w:t>环境空气</w:t>
                  </w:r>
                </w:p>
              </w:tc>
              <w:tc>
                <w:tcPr>
                  <w:tcW w:w="567" w:type="dxa"/>
                  <w:vAlign w:val="center"/>
                </w:tcPr>
                <w:p>
                  <w:pPr>
                    <w:spacing w:line="240" w:lineRule="exact"/>
                    <w:jc w:val="center"/>
                    <w:rPr>
                      <w:szCs w:val="21"/>
                    </w:rPr>
                  </w:pPr>
                  <w:r>
                    <w:rPr>
                      <w:rFonts w:hint="eastAsia"/>
                      <w:szCs w:val="21"/>
                    </w:rPr>
                    <w:t>曲店村</w:t>
                  </w:r>
                </w:p>
              </w:tc>
              <w:tc>
                <w:tcPr>
                  <w:tcW w:w="1276" w:type="dxa"/>
                  <w:vAlign w:val="center"/>
                </w:tcPr>
                <w:p>
                  <w:pPr>
                    <w:spacing w:line="240" w:lineRule="exact"/>
                    <w:jc w:val="center"/>
                    <w:rPr>
                      <w:szCs w:val="21"/>
                    </w:rPr>
                  </w:pPr>
                  <w:r>
                    <w:rPr>
                      <w:szCs w:val="21"/>
                    </w:rPr>
                    <w:t>33°46′6.46″</w:t>
                  </w:r>
                </w:p>
              </w:tc>
              <w:tc>
                <w:tcPr>
                  <w:tcW w:w="1275" w:type="dxa"/>
                  <w:vAlign w:val="center"/>
                </w:tcPr>
                <w:p>
                  <w:pPr>
                    <w:spacing w:line="240" w:lineRule="exact"/>
                    <w:jc w:val="center"/>
                    <w:rPr>
                      <w:szCs w:val="21"/>
                    </w:rPr>
                  </w:pPr>
                  <w:r>
                    <w:rPr>
                      <w:szCs w:val="21"/>
                    </w:rPr>
                    <w:t>112°57′51.01″</w:t>
                  </w:r>
                </w:p>
              </w:tc>
              <w:tc>
                <w:tcPr>
                  <w:tcW w:w="696" w:type="dxa"/>
                  <w:vAlign w:val="center"/>
                </w:tcPr>
                <w:p>
                  <w:pPr>
                    <w:spacing w:line="240" w:lineRule="exact"/>
                    <w:jc w:val="center"/>
                    <w:rPr>
                      <w:szCs w:val="21"/>
                    </w:rPr>
                  </w:pPr>
                  <w:r>
                    <w:rPr>
                      <w:szCs w:val="21"/>
                    </w:rPr>
                    <w:t>居民区</w:t>
                  </w:r>
                </w:p>
              </w:tc>
              <w:tc>
                <w:tcPr>
                  <w:tcW w:w="1107" w:type="dxa"/>
                  <w:vAlign w:val="center"/>
                </w:tcPr>
                <w:p>
                  <w:pPr>
                    <w:spacing w:line="240" w:lineRule="exact"/>
                    <w:jc w:val="center"/>
                    <w:rPr>
                      <w:szCs w:val="21"/>
                    </w:rPr>
                  </w:pPr>
                  <w:r>
                    <w:rPr>
                      <w:szCs w:val="21"/>
                    </w:rPr>
                    <w:t>128</w:t>
                  </w:r>
                  <w:r>
                    <w:rPr>
                      <w:rFonts w:hint="eastAsia"/>
                      <w:szCs w:val="21"/>
                    </w:rPr>
                    <w:t>户</w:t>
                  </w:r>
                </w:p>
                <w:p>
                  <w:pPr>
                    <w:spacing w:line="240" w:lineRule="exact"/>
                    <w:jc w:val="center"/>
                    <w:rPr>
                      <w:szCs w:val="21"/>
                    </w:rPr>
                  </w:pPr>
                  <w:r>
                    <w:rPr>
                      <w:rFonts w:hint="eastAsia"/>
                      <w:szCs w:val="21"/>
                    </w:rPr>
                    <w:t>（</w:t>
                  </w:r>
                  <w:r>
                    <w:rPr>
                      <w:szCs w:val="21"/>
                    </w:rPr>
                    <w:t>640</w:t>
                  </w:r>
                  <w:r>
                    <w:rPr>
                      <w:rFonts w:hint="eastAsia"/>
                      <w:szCs w:val="21"/>
                    </w:rPr>
                    <w:t>人）</w:t>
                  </w:r>
                </w:p>
              </w:tc>
              <w:tc>
                <w:tcPr>
                  <w:tcW w:w="1120" w:type="dxa"/>
                  <w:vMerge w:val="restart"/>
                  <w:vAlign w:val="center"/>
                </w:tcPr>
                <w:p>
                  <w:pPr>
                    <w:spacing w:line="240" w:lineRule="exact"/>
                    <w:jc w:val="center"/>
                    <w:rPr>
                      <w:szCs w:val="21"/>
                    </w:rPr>
                  </w:pPr>
                  <w:r>
                    <w:rPr>
                      <w:rFonts w:cs="宋体"/>
                      <w:kern w:val="0"/>
                      <w:szCs w:val="21"/>
                    </w:rPr>
                    <w:t>《环境空气质量标准》（GB3095-2012）</w:t>
                  </w:r>
                  <w:r>
                    <w:rPr>
                      <w:rFonts w:hint="eastAsia" w:cs="宋体"/>
                      <w:kern w:val="0"/>
                      <w:szCs w:val="21"/>
                    </w:rPr>
                    <w:t>二类区</w:t>
                  </w:r>
                </w:p>
              </w:tc>
              <w:tc>
                <w:tcPr>
                  <w:tcW w:w="681" w:type="dxa"/>
                  <w:vAlign w:val="center"/>
                </w:tcPr>
                <w:p>
                  <w:pPr>
                    <w:spacing w:line="240" w:lineRule="exact"/>
                    <w:jc w:val="center"/>
                    <w:rPr>
                      <w:szCs w:val="21"/>
                    </w:rPr>
                  </w:pPr>
                  <w:r>
                    <w:rPr>
                      <w:rFonts w:hint="eastAsia"/>
                      <w:szCs w:val="21"/>
                    </w:rPr>
                    <w:t>北</w:t>
                  </w:r>
                </w:p>
              </w:tc>
              <w:tc>
                <w:tcPr>
                  <w:tcW w:w="659" w:type="dxa"/>
                  <w:vAlign w:val="center"/>
                </w:tcPr>
                <w:p>
                  <w:pPr>
                    <w:spacing w:line="240" w:lineRule="exact"/>
                    <w:jc w:val="center"/>
                    <w:rPr>
                      <w:szCs w:val="21"/>
                    </w:rPr>
                  </w:pPr>
                  <w:r>
                    <w:rPr>
                      <w:szCs w:val="21"/>
                    </w:rPr>
                    <w:t>390</w:t>
                  </w:r>
                  <w:r>
                    <w:rPr>
                      <w:rFonts w:hint="eastAsia"/>
                      <w:szCs w:val="21"/>
                    </w:rPr>
                    <w:t>m</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28" w:type="dxa"/>
                  <w:bottom w:w="28" w:type="dxa"/>
                  <w:right w:w="28" w:type="dxa"/>
                </w:tblCellMar>
              </w:tblPrEx>
              <w:trPr>
                <w:trHeight w:val="390" w:hRule="atLeast"/>
              </w:trPr>
              <w:tc>
                <w:tcPr>
                  <w:tcW w:w="583" w:type="dxa"/>
                  <w:vMerge w:val="continue"/>
                  <w:vAlign w:val="center"/>
                </w:tcPr>
                <w:p>
                  <w:pPr>
                    <w:spacing w:line="240" w:lineRule="exact"/>
                    <w:jc w:val="center"/>
                    <w:rPr>
                      <w:szCs w:val="21"/>
                    </w:rPr>
                  </w:pPr>
                </w:p>
              </w:tc>
              <w:tc>
                <w:tcPr>
                  <w:tcW w:w="567" w:type="dxa"/>
                  <w:vAlign w:val="center"/>
                </w:tcPr>
                <w:p>
                  <w:pPr>
                    <w:spacing w:line="240" w:lineRule="exact"/>
                    <w:jc w:val="center"/>
                    <w:rPr>
                      <w:szCs w:val="21"/>
                    </w:rPr>
                  </w:pPr>
                  <w:r>
                    <w:rPr>
                      <w:rFonts w:hint="eastAsia"/>
                      <w:szCs w:val="21"/>
                    </w:rPr>
                    <w:t>新</w:t>
                  </w:r>
                  <w:r>
                    <w:rPr>
                      <w:szCs w:val="21"/>
                    </w:rPr>
                    <w:t>孙</w:t>
                  </w:r>
                  <w:r>
                    <w:rPr>
                      <w:rFonts w:hint="eastAsia"/>
                      <w:szCs w:val="21"/>
                    </w:rPr>
                    <w:t>村</w:t>
                  </w:r>
                </w:p>
              </w:tc>
              <w:tc>
                <w:tcPr>
                  <w:tcW w:w="1276" w:type="dxa"/>
                  <w:vAlign w:val="center"/>
                </w:tcPr>
                <w:p>
                  <w:pPr>
                    <w:spacing w:line="240" w:lineRule="exact"/>
                    <w:jc w:val="center"/>
                    <w:rPr>
                      <w:szCs w:val="21"/>
                    </w:rPr>
                  </w:pPr>
                  <w:r>
                    <w:rPr>
                      <w:szCs w:val="21"/>
                    </w:rPr>
                    <w:t>33°45′37.49″</w:t>
                  </w:r>
                </w:p>
              </w:tc>
              <w:tc>
                <w:tcPr>
                  <w:tcW w:w="1275" w:type="dxa"/>
                  <w:vAlign w:val="center"/>
                </w:tcPr>
                <w:p>
                  <w:pPr>
                    <w:spacing w:line="240" w:lineRule="exact"/>
                    <w:jc w:val="center"/>
                    <w:rPr>
                      <w:szCs w:val="21"/>
                    </w:rPr>
                  </w:pPr>
                  <w:r>
                    <w:rPr>
                      <w:szCs w:val="21"/>
                    </w:rPr>
                    <w:t>112°57′57.71″</w:t>
                  </w:r>
                </w:p>
              </w:tc>
              <w:tc>
                <w:tcPr>
                  <w:tcW w:w="696" w:type="dxa"/>
                  <w:vAlign w:val="center"/>
                </w:tcPr>
                <w:p>
                  <w:pPr>
                    <w:spacing w:line="240" w:lineRule="exact"/>
                    <w:jc w:val="center"/>
                    <w:rPr>
                      <w:szCs w:val="21"/>
                    </w:rPr>
                  </w:pPr>
                  <w:r>
                    <w:rPr>
                      <w:szCs w:val="21"/>
                    </w:rPr>
                    <w:t>居民区</w:t>
                  </w:r>
                </w:p>
              </w:tc>
              <w:tc>
                <w:tcPr>
                  <w:tcW w:w="1107" w:type="dxa"/>
                  <w:vAlign w:val="center"/>
                </w:tcPr>
                <w:p>
                  <w:pPr>
                    <w:spacing w:line="240" w:lineRule="exact"/>
                    <w:jc w:val="center"/>
                    <w:rPr>
                      <w:szCs w:val="21"/>
                    </w:rPr>
                  </w:pPr>
                  <w:r>
                    <w:rPr>
                      <w:szCs w:val="21"/>
                    </w:rPr>
                    <w:t>15</w:t>
                  </w:r>
                  <w:r>
                    <w:rPr>
                      <w:rFonts w:hint="eastAsia"/>
                      <w:szCs w:val="21"/>
                    </w:rPr>
                    <w:t>户</w:t>
                  </w:r>
                </w:p>
                <w:p>
                  <w:pPr>
                    <w:spacing w:line="240" w:lineRule="exact"/>
                    <w:jc w:val="center"/>
                    <w:rPr>
                      <w:szCs w:val="21"/>
                    </w:rPr>
                  </w:pPr>
                  <w:r>
                    <w:rPr>
                      <w:rFonts w:hint="eastAsia"/>
                      <w:szCs w:val="21"/>
                    </w:rPr>
                    <w:t>（</w:t>
                  </w:r>
                  <w:r>
                    <w:rPr>
                      <w:szCs w:val="21"/>
                    </w:rPr>
                    <w:t>75</w:t>
                  </w:r>
                  <w:r>
                    <w:rPr>
                      <w:rFonts w:hint="eastAsia"/>
                      <w:szCs w:val="21"/>
                    </w:rPr>
                    <w:t>人）</w:t>
                  </w:r>
                </w:p>
              </w:tc>
              <w:tc>
                <w:tcPr>
                  <w:tcW w:w="1120" w:type="dxa"/>
                  <w:vMerge w:val="continue"/>
                  <w:vAlign w:val="center"/>
                </w:tcPr>
                <w:p>
                  <w:pPr>
                    <w:spacing w:line="240" w:lineRule="exact"/>
                    <w:jc w:val="center"/>
                    <w:rPr>
                      <w:rFonts w:cs="宋体"/>
                      <w:kern w:val="0"/>
                      <w:szCs w:val="21"/>
                    </w:rPr>
                  </w:pPr>
                </w:p>
              </w:tc>
              <w:tc>
                <w:tcPr>
                  <w:tcW w:w="681" w:type="dxa"/>
                  <w:vAlign w:val="center"/>
                </w:tcPr>
                <w:p>
                  <w:pPr>
                    <w:spacing w:line="240" w:lineRule="exact"/>
                    <w:jc w:val="center"/>
                    <w:rPr>
                      <w:szCs w:val="21"/>
                    </w:rPr>
                  </w:pPr>
                  <w:r>
                    <w:rPr>
                      <w:rFonts w:hint="eastAsia"/>
                      <w:szCs w:val="21"/>
                    </w:rPr>
                    <w:t>东南</w:t>
                  </w:r>
                </w:p>
              </w:tc>
              <w:tc>
                <w:tcPr>
                  <w:tcW w:w="659" w:type="dxa"/>
                  <w:vAlign w:val="center"/>
                </w:tcPr>
                <w:p>
                  <w:pPr>
                    <w:spacing w:line="240" w:lineRule="exact"/>
                    <w:jc w:val="center"/>
                    <w:rPr>
                      <w:szCs w:val="21"/>
                    </w:rPr>
                  </w:pPr>
                  <w:r>
                    <w:rPr>
                      <w:szCs w:val="21"/>
                    </w:rPr>
                    <w:t>380</w:t>
                  </w:r>
                  <w:r>
                    <w:rPr>
                      <w:rFonts w:hint="eastAsia"/>
                      <w:szCs w:val="21"/>
                    </w:rPr>
                    <w:t>m</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28" w:type="dxa"/>
                  <w:bottom w:w="28" w:type="dxa"/>
                  <w:right w:w="28" w:type="dxa"/>
                </w:tblCellMar>
              </w:tblPrEx>
              <w:trPr>
                <w:trHeight w:val="390" w:hRule="atLeast"/>
              </w:trPr>
              <w:tc>
                <w:tcPr>
                  <w:tcW w:w="583" w:type="dxa"/>
                  <w:vMerge w:val="continue"/>
                  <w:vAlign w:val="center"/>
                </w:tcPr>
                <w:p>
                  <w:pPr>
                    <w:spacing w:line="240" w:lineRule="exact"/>
                    <w:jc w:val="center"/>
                    <w:rPr>
                      <w:szCs w:val="21"/>
                    </w:rPr>
                  </w:pPr>
                </w:p>
              </w:tc>
              <w:tc>
                <w:tcPr>
                  <w:tcW w:w="567" w:type="dxa"/>
                  <w:vAlign w:val="center"/>
                </w:tcPr>
                <w:p>
                  <w:pPr>
                    <w:spacing w:line="240" w:lineRule="exact"/>
                    <w:jc w:val="center"/>
                    <w:rPr>
                      <w:szCs w:val="21"/>
                    </w:rPr>
                  </w:pPr>
                  <w:r>
                    <w:rPr>
                      <w:rFonts w:hint="eastAsia"/>
                      <w:szCs w:val="21"/>
                    </w:rPr>
                    <w:t>吴庄</w:t>
                  </w:r>
                </w:p>
              </w:tc>
              <w:tc>
                <w:tcPr>
                  <w:tcW w:w="1276" w:type="dxa"/>
                  <w:vAlign w:val="center"/>
                </w:tcPr>
                <w:p>
                  <w:pPr>
                    <w:spacing w:line="240" w:lineRule="exact"/>
                    <w:jc w:val="center"/>
                    <w:rPr>
                      <w:szCs w:val="21"/>
                    </w:rPr>
                  </w:pPr>
                  <w:r>
                    <w:rPr>
                      <w:szCs w:val="21"/>
                    </w:rPr>
                    <w:t>33°45′26.01″</w:t>
                  </w:r>
                </w:p>
              </w:tc>
              <w:tc>
                <w:tcPr>
                  <w:tcW w:w="1275" w:type="dxa"/>
                  <w:vAlign w:val="center"/>
                </w:tcPr>
                <w:p>
                  <w:pPr>
                    <w:spacing w:line="240" w:lineRule="exact"/>
                    <w:jc w:val="center"/>
                    <w:rPr>
                      <w:szCs w:val="21"/>
                    </w:rPr>
                  </w:pPr>
                  <w:r>
                    <w:rPr>
                      <w:szCs w:val="21"/>
                    </w:rPr>
                    <w:t>112°57′37.49″</w:t>
                  </w:r>
                </w:p>
              </w:tc>
              <w:tc>
                <w:tcPr>
                  <w:tcW w:w="696" w:type="dxa"/>
                  <w:vAlign w:val="center"/>
                </w:tcPr>
                <w:p>
                  <w:pPr>
                    <w:spacing w:line="240" w:lineRule="exact"/>
                    <w:jc w:val="center"/>
                    <w:rPr>
                      <w:szCs w:val="21"/>
                    </w:rPr>
                  </w:pPr>
                  <w:r>
                    <w:rPr>
                      <w:szCs w:val="21"/>
                    </w:rPr>
                    <w:t>居民区</w:t>
                  </w:r>
                </w:p>
              </w:tc>
              <w:tc>
                <w:tcPr>
                  <w:tcW w:w="1107" w:type="dxa"/>
                  <w:vAlign w:val="center"/>
                </w:tcPr>
                <w:p>
                  <w:pPr>
                    <w:spacing w:line="240" w:lineRule="exact"/>
                    <w:jc w:val="center"/>
                    <w:rPr>
                      <w:szCs w:val="21"/>
                    </w:rPr>
                  </w:pPr>
                  <w:r>
                    <w:rPr>
                      <w:szCs w:val="21"/>
                    </w:rPr>
                    <w:t>116</w:t>
                  </w:r>
                  <w:r>
                    <w:rPr>
                      <w:rFonts w:hint="eastAsia"/>
                      <w:szCs w:val="21"/>
                    </w:rPr>
                    <w:t>户</w:t>
                  </w:r>
                </w:p>
                <w:p>
                  <w:pPr>
                    <w:spacing w:line="240" w:lineRule="exact"/>
                    <w:jc w:val="center"/>
                    <w:rPr>
                      <w:szCs w:val="21"/>
                    </w:rPr>
                  </w:pPr>
                  <w:r>
                    <w:rPr>
                      <w:rFonts w:hint="eastAsia"/>
                      <w:szCs w:val="21"/>
                    </w:rPr>
                    <w:t>（</w:t>
                  </w:r>
                  <w:r>
                    <w:rPr>
                      <w:szCs w:val="21"/>
                    </w:rPr>
                    <w:t>580</w:t>
                  </w:r>
                  <w:r>
                    <w:rPr>
                      <w:rFonts w:hint="eastAsia"/>
                      <w:szCs w:val="21"/>
                    </w:rPr>
                    <w:t>人）</w:t>
                  </w:r>
                </w:p>
              </w:tc>
              <w:tc>
                <w:tcPr>
                  <w:tcW w:w="1120" w:type="dxa"/>
                  <w:vMerge w:val="continue"/>
                  <w:vAlign w:val="center"/>
                </w:tcPr>
                <w:p>
                  <w:pPr>
                    <w:spacing w:line="240" w:lineRule="exact"/>
                    <w:jc w:val="center"/>
                    <w:rPr>
                      <w:rFonts w:cs="宋体"/>
                      <w:kern w:val="0"/>
                      <w:szCs w:val="21"/>
                    </w:rPr>
                  </w:pPr>
                </w:p>
              </w:tc>
              <w:tc>
                <w:tcPr>
                  <w:tcW w:w="681" w:type="dxa"/>
                  <w:vAlign w:val="center"/>
                </w:tcPr>
                <w:p>
                  <w:pPr>
                    <w:spacing w:line="240" w:lineRule="exact"/>
                    <w:jc w:val="center"/>
                    <w:rPr>
                      <w:szCs w:val="21"/>
                    </w:rPr>
                  </w:pPr>
                  <w:r>
                    <w:rPr>
                      <w:rFonts w:hint="eastAsia"/>
                      <w:szCs w:val="21"/>
                    </w:rPr>
                    <w:t>西南</w:t>
                  </w:r>
                </w:p>
              </w:tc>
              <w:tc>
                <w:tcPr>
                  <w:tcW w:w="659" w:type="dxa"/>
                  <w:vAlign w:val="center"/>
                </w:tcPr>
                <w:p>
                  <w:pPr>
                    <w:spacing w:line="240" w:lineRule="exact"/>
                    <w:jc w:val="center"/>
                    <w:rPr>
                      <w:szCs w:val="21"/>
                    </w:rPr>
                  </w:pPr>
                  <w:r>
                    <w:rPr>
                      <w:szCs w:val="21"/>
                    </w:rPr>
                    <w:t>830</w:t>
                  </w:r>
                  <w:r>
                    <w:rPr>
                      <w:rFonts w:hint="eastAsia"/>
                      <w:szCs w:val="21"/>
                    </w:rPr>
                    <w:t>m</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c>
                <w:tcPr>
                  <w:tcW w:w="583" w:type="dxa"/>
                  <w:vAlign w:val="center"/>
                </w:tcPr>
                <w:p>
                  <w:pPr>
                    <w:spacing w:line="240" w:lineRule="exact"/>
                    <w:jc w:val="center"/>
                    <w:rPr>
                      <w:szCs w:val="21"/>
                    </w:rPr>
                  </w:pPr>
                  <w:r>
                    <w:rPr>
                      <w:rFonts w:hint="eastAsia"/>
                      <w:szCs w:val="21"/>
                    </w:rPr>
                    <w:t>类别</w:t>
                  </w:r>
                </w:p>
              </w:tc>
              <w:tc>
                <w:tcPr>
                  <w:tcW w:w="1843" w:type="dxa"/>
                  <w:gridSpan w:val="2"/>
                  <w:vAlign w:val="center"/>
                </w:tcPr>
                <w:p>
                  <w:pPr>
                    <w:spacing w:line="240" w:lineRule="exact"/>
                    <w:jc w:val="center"/>
                    <w:rPr>
                      <w:szCs w:val="21"/>
                    </w:rPr>
                  </w:pPr>
                  <w:r>
                    <w:rPr>
                      <w:rFonts w:hint="eastAsia"/>
                      <w:szCs w:val="21"/>
                    </w:rPr>
                    <w:t>保护目标</w:t>
                  </w:r>
                </w:p>
              </w:tc>
              <w:tc>
                <w:tcPr>
                  <w:tcW w:w="1275" w:type="dxa"/>
                  <w:vAlign w:val="center"/>
                </w:tcPr>
                <w:p>
                  <w:pPr>
                    <w:spacing w:line="240" w:lineRule="exact"/>
                    <w:jc w:val="center"/>
                    <w:rPr>
                      <w:szCs w:val="21"/>
                    </w:rPr>
                  </w:pPr>
                  <w:r>
                    <w:rPr>
                      <w:rFonts w:hint="eastAsia"/>
                      <w:szCs w:val="21"/>
                    </w:rPr>
                    <w:t>方位</w:t>
                  </w:r>
                </w:p>
              </w:tc>
              <w:tc>
                <w:tcPr>
                  <w:tcW w:w="1803" w:type="dxa"/>
                  <w:gridSpan w:val="2"/>
                  <w:vAlign w:val="center"/>
                </w:tcPr>
                <w:p>
                  <w:pPr>
                    <w:spacing w:line="240" w:lineRule="exact"/>
                    <w:jc w:val="center"/>
                    <w:rPr>
                      <w:szCs w:val="21"/>
                    </w:rPr>
                  </w:pPr>
                  <w:r>
                    <w:rPr>
                      <w:rFonts w:hint="eastAsia"/>
                      <w:szCs w:val="21"/>
                    </w:rPr>
                    <w:t>距离（km）</w:t>
                  </w:r>
                </w:p>
              </w:tc>
              <w:tc>
                <w:tcPr>
                  <w:tcW w:w="2460" w:type="dxa"/>
                  <w:gridSpan w:val="3"/>
                  <w:vAlign w:val="center"/>
                </w:tcPr>
                <w:p>
                  <w:pPr>
                    <w:spacing w:line="240" w:lineRule="exact"/>
                    <w:jc w:val="center"/>
                    <w:rPr>
                      <w:szCs w:val="21"/>
                    </w:rPr>
                  </w:pPr>
                  <w:r>
                    <w:rPr>
                      <w:rFonts w:hint="eastAsia"/>
                      <w:szCs w:val="21"/>
                    </w:rPr>
                    <w:t>保护级别</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28" w:type="dxa"/>
                  <w:bottom w:w="28" w:type="dxa"/>
                  <w:right w:w="28" w:type="dxa"/>
                </w:tblCellMar>
              </w:tblPrEx>
              <w:trPr>
                <w:trHeight w:val="718" w:hRule="atLeast"/>
              </w:trPr>
              <w:tc>
                <w:tcPr>
                  <w:tcW w:w="583" w:type="dxa"/>
                  <w:vMerge w:val="restart"/>
                  <w:vAlign w:val="center"/>
                </w:tcPr>
                <w:p>
                  <w:pPr>
                    <w:spacing w:line="240" w:lineRule="exact"/>
                    <w:jc w:val="center"/>
                    <w:rPr>
                      <w:szCs w:val="21"/>
                    </w:rPr>
                  </w:pPr>
                  <w:r>
                    <w:rPr>
                      <w:szCs w:val="21"/>
                    </w:rPr>
                    <w:t>地表水</w:t>
                  </w:r>
                </w:p>
              </w:tc>
              <w:tc>
                <w:tcPr>
                  <w:tcW w:w="1843" w:type="dxa"/>
                  <w:gridSpan w:val="2"/>
                  <w:vAlign w:val="center"/>
                </w:tcPr>
                <w:p>
                  <w:pPr>
                    <w:spacing w:line="240" w:lineRule="exact"/>
                    <w:jc w:val="center"/>
                    <w:rPr>
                      <w:szCs w:val="21"/>
                    </w:rPr>
                  </w:pPr>
                  <w:r>
                    <w:rPr>
                      <w:rFonts w:hint="eastAsia"/>
                      <w:szCs w:val="21"/>
                    </w:rPr>
                    <w:t>大浪河</w:t>
                  </w:r>
                </w:p>
              </w:tc>
              <w:tc>
                <w:tcPr>
                  <w:tcW w:w="1275" w:type="dxa"/>
                  <w:vAlign w:val="center"/>
                </w:tcPr>
                <w:p>
                  <w:pPr>
                    <w:spacing w:line="240" w:lineRule="exact"/>
                    <w:jc w:val="center"/>
                    <w:rPr>
                      <w:szCs w:val="21"/>
                    </w:rPr>
                  </w:pPr>
                  <w:r>
                    <w:rPr>
                      <w:rFonts w:hint="eastAsia"/>
                      <w:szCs w:val="21"/>
                    </w:rPr>
                    <w:t>西</w:t>
                  </w:r>
                </w:p>
              </w:tc>
              <w:tc>
                <w:tcPr>
                  <w:tcW w:w="1803" w:type="dxa"/>
                  <w:gridSpan w:val="2"/>
                  <w:vAlign w:val="center"/>
                </w:tcPr>
                <w:p>
                  <w:pPr>
                    <w:spacing w:line="240" w:lineRule="exact"/>
                    <w:jc w:val="center"/>
                    <w:rPr>
                      <w:szCs w:val="21"/>
                    </w:rPr>
                  </w:pPr>
                  <w:r>
                    <w:rPr>
                      <w:szCs w:val="21"/>
                    </w:rPr>
                    <w:t>1.35</w:t>
                  </w:r>
                </w:p>
              </w:tc>
              <w:tc>
                <w:tcPr>
                  <w:tcW w:w="2460" w:type="dxa"/>
                  <w:gridSpan w:val="3"/>
                  <w:vMerge w:val="restart"/>
                  <w:vAlign w:val="center"/>
                </w:tcPr>
                <w:p>
                  <w:pPr>
                    <w:spacing w:line="240" w:lineRule="exact"/>
                    <w:jc w:val="center"/>
                    <w:rPr>
                      <w:szCs w:val="21"/>
                    </w:rPr>
                  </w:pPr>
                  <w:r>
                    <w:rPr>
                      <w:szCs w:val="21"/>
                    </w:rPr>
                    <w:t>《地表水环境质量标准》</w:t>
                  </w:r>
                </w:p>
                <w:p>
                  <w:pPr>
                    <w:spacing w:line="240" w:lineRule="exact"/>
                    <w:jc w:val="center"/>
                    <w:rPr>
                      <w:szCs w:val="21"/>
                    </w:rPr>
                  </w:pPr>
                  <w:r>
                    <w:rPr>
                      <w:rFonts w:hint="eastAsia"/>
                      <w:szCs w:val="21"/>
                    </w:rPr>
                    <w:t>（</w:t>
                  </w:r>
                  <w:r>
                    <w:rPr>
                      <w:szCs w:val="21"/>
                    </w:rPr>
                    <w:t>GB3838-2002）</w:t>
                  </w:r>
                  <w:r>
                    <w:rPr>
                      <w:rFonts w:hint="eastAsia"/>
                      <w:szCs w:val="21"/>
                    </w:rPr>
                    <w:t>Ⅲ</w:t>
                  </w:r>
                  <w:r>
                    <w:rPr>
                      <w:szCs w:val="21"/>
                    </w:rPr>
                    <w:t>类标准</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28" w:type="dxa"/>
                  <w:bottom w:w="28" w:type="dxa"/>
                  <w:right w:w="28" w:type="dxa"/>
                </w:tblCellMar>
              </w:tblPrEx>
              <w:trPr>
                <w:trHeight w:val="718" w:hRule="atLeast"/>
              </w:trPr>
              <w:tc>
                <w:tcPr>
                  <w:tcW w:w="583" w:type="dxa"/>
                  <w:vMerge w:val="continue"/>
                  <w:vAlign w:val="center"/>
                </w:tcPr>
                <w:p>
                  <w:pPr>
                    <w:spacing w:line="240" w:lineRule="exact"/>
                    <w:jc w:val="center"/>
                    <w:rPr>
                      <w:szCs w:val="21"/>
                    </w:rPr>
                  </w:pPr>
                </w:p>
              </w:tc>
              <w:tc>
                <w:tcPr>
                  <w:tcW w:w="1843" w:type="dxa"/>
                  <w:gridSpan w:val="2"/>
                  <w:vAlign w:val="center"/>
                </w:tcPr>
                <w:p>
                  <w:pPr>
                    <w:spacing w:line="240" w:lineRule="exact"/>
                    <w:jc w:val="center"/>
                    <w:rPr>
                      <w:szCs w:val="21"/>
                    </w:rPr>
                  </w:pPr>
                  <w:r>
                    <w:rPr>
                      <w:rFonts w:hint="eastAsia"/>
                      <w:szCs w:val="21"/>
                    </w:rPr>
                    <w:t>南水北调中线</w:t>
                  </w:r>
                  <w:r>
                    <w:rPr>
                      <w:szCs w:val="21"/>
                    </w:rPr>
                    <w:t>一</w:t>
                  </w:r>
                  <w:r>
                    <w:rPr>
                      <w:rFonts w:hint="eastAsia"/>
                      <w:szCs w:val="21"/>
                    </w:rPr>
                    <w:t>期</w:t>
                  </w:r>
                  <w:r>
                    <w:rPr>
                      <w:szCs w:val="21"/>
                    </w:rPr>
                    <w:t>工程</w:t>
                  </w:r>
                </w:p>
              </w:tc>
              <w:tc>
                <w:tcPr>
                  <w:tcW w:w="1275" w:type="dxa"/>
                  <w:vAlign w:val="center"/>
                </w:tcPr>
                <w:p>
                  <w:pPr>
                    <w:spacing w:line="240" w:lineRule="exact"/>
                    <w:jc w:val="center"/>
                    <w:rPr>
                      <w:szCs w:val="21"/>
                    </w:rPr>
                  </w:pPr>
                  <w:r>
                    <w:rPr>
                      <w:rFonts w:hint="eastAsia"/>
                      <w:szCs w:val="21"/>
                    </w:rPr>
                    <w:t>东</w:t>
                  </w:r>
                  <w:r>
                    <w:rPr>
                      <w:szCs w:val="21"/>
                    </w:rPr>
                    <w:t>南</w:t>
                  </w:r>
                </w:p>
              </w:tc>
              <w:tc>
                <w:tcPr>
                  <w:tcW w:w="1803" w:type="dxa"/>
                  <w:gridSpan w:val="2"/>
                  <w:vAlign w:val="center"/>
                </w:tcPr>
                <w:p>
                  <w:pPr>
                    <w:spacing w:line="240" w:lineRule="exact"/>
                    <w:jc w:val="center"/>
                    <w:rPr>
                      <w:szCs w:val="21"/>
                    </w:rPr>
                  </w:pPr>
                  <w:r>
                    <w:rPr>
                      <w:rFonts w:hint="eastAsia"/>
                      <w:szCs w:val="21"/>
                    </w:rPr>
                    <w:t>1.5</w:t>
                  </w:r>
                </w:p>
              </w:tc>
              <w:tc>
                <w:tcPr>
                  <w:tcW w:w="2460" w:type="dxa"/>
                  <w:gridSpan w:val="3"/>
                  <w:vMerge w:val="continue"/>
                  <w:vAlign w:val="center"/>
                </w:tcPr>
                <w:p>
                  <w:pPr>
                    <w:spacing w:line="240" w:lineRule="exact"/>
                    <w:jc w:val="center"/>
                    <w:rPr>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28" w:type="dxa"/>
                  <w:bottom w:w="28" w:type="dxa"/>
                  <w:right w:w="28" w:type="dxa"/>
                </w:tblCellMar>
              </w:tblPrEx>
              <w:trPr>
                <w:trHeight w:val="718" w:hRule="atLeast"/>
              </w:trPr>
              <w:tc>
                <w:tcPr>
                  <w:tcW w:w="583" w:type="dxa"/>
                  <w:vAlign w:val="center"/>
                </w:tcPr>
                <w:p>
                  <w:pPr>
                    <w:spacing w:line="240" w:lineRule="exact"/>
                    <w:jc w:val="center"/>
                    <w:rPr>
                      <w:szCs w:val="21"/>
                    </w:rPr>
                  </w:pPr>
                  <w:r>
                    <w:rPr>
                      <w:rFonts w:hint="eastAsia"/>
                      <w:szCs w:val="21"/>
                    </w:rPr>
                    <w:t>地下水环境</w:t>
                  </w:r>
                </w:p>
              </w:tc>
              <w:tc>
                <w:tcPr>
                  <w:tcW w:w="1843" w:type="dxa"/>
                  <w:gridSpan w:val="2"/>
                  <w:vAlign w:val="center"/>
                </w:tcPr>
                <w:p>
                  <w:pPr>
                    <w:spacing w:line="240" w:lineRule="exact"/>
                    <w:jc w:val="center"/>
                    <w:rPr>
                      <w:szCs w:val="21"/>
                    </w:rPr>
                  </w:pPr>
                  <w:r>
                    <w:rPr>
                      <w:rFonts w:hint="eastAsia"/>
                      <w:szCs w:val="21"/>
                    </w:rPr>
                    <w:t>远宏炭素</w:t>
                  </w:r>
                  <w:r>
                    <w:rPr>
                      <w:szCs w:val="21"/>
                    </w:rPr>
                    <w:t>厂内</w:t>
                  </w:r>
                  <w:r>
                    <w:rPr>
                      <w:rFonts w:hint="eastAsia"/>
                      <w:szCs w:val="21"/>
                    </w:rPr>
                    <w:t>自备水井</w:t>
                  </w:r>
                </w:p>
              </w:tc>
              <w:tc>
                <w:tcPr>
                  <w:tcW w:w="1275" w:type="dxa"/>
                  <w:vAlign w:val="center"/>
                </w:tcPr>
                <w:p>
                  <w:pPr>
                    <w:spacing w:line="240" w:lineRule="exact"/>
                    <w:jc w:val="center"/>
                    <w:rPr>
                      <w:szCs w:val="21"/>
                    </w:rPr>
                  </w:pPr>
                  <w:r>
                    <w:rPr>
                      <w:szCs w:val="21"/>
                    </w:rPr>
                    <w:t>/</w:t>
                  </w:r>
                </w:p>
              </w:tc>
              <w:tc>
                <w:tcPr>
                  <w:tcW w:w="1803" w:type="dxa"/>
                  <w:gridSpan w:val="2"/>
                  <w:vAlign w:val="center"/>
                </w:tcPr>
                <w:p>
                  <w:pPr>
                    <w:spacing w:line="240" w:lineRule="exact"/>
                    <w:jc w:val="center"/>
                    <w:rPr>
                      <w:szCs w:val="21"/>
                    </w:rPr>
                  </w:pPr>
                  <w:r>
                    <w:rPr>
                      <w:rFonts w:hint="eastAsia"/>
                      <w:szCs w:val="21"/>
                    </w:rPr>
                    <w:t>/</w:t>
                  </w:r>
                </w:p>
              </w:tc>
              <w:tc>
                <w:tcPr>
                  <w:tcW w:w="2460" w:type="dxa"/>
                  <w:gridSpan w:val="3"/>
                  <w:vAlign w:val="center"/>
                </w:tcPr>
                <w:p>
                  <w:pPr>
                    <w:spacing w:line="240" w:lineRule="exact"/>
                    <w:jc w:val="center"/>
                    <w:rPr>
                      <w:szCs w:val="21"/>
                    </w:rPr>
                  </w:pPr>
                  <w:r>
                    <w:rPr>
                      <w:spacing w:val="2"/>
                      <w:szCs w:val="21"/>
                    </w:rPr>
                    <w:t>《地下水质量标准》（GB/T14848-2017）</w:t>
                  </w:r>
                  <w:r>
                    <w:rPr>
                      <w:rFonts w:hint="eastAsia" w:ascii="宋体" w:hAnsi="宋体" w:cs="宋体"/>
                      <w:spacing w:val="2"/>
                      <w:szCs w:val="21"/>
                    </w:rPr>
                    <w:t>Ⅲ</w:t>
                  </w:r>
                  <w:r>
                    <w:rPr>
                      <w:spacing w:val="2"/>
                      <w:szCs w:val="21"/>
                    </w:rPr>
                    <w:t>类标准</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c>
                <w:tcPr>
                  <w:tcW w:w="583" w:type="dxa"/>
                  <w:vAlign w:val="center"/>
                </w:tcPr>
                <w:p>
                  <w:pPr>
                    <w:spacing w:line="240" w:lineRule="exact"/>
                    <w:jc w:val="center"/>
                    <w:rPr>
                      <w:szCs w:val="21"/>
                    </w:rPr>
                  </w:pPr>
                  <w:r>
                    <w:rPr>
                      <w:rFonts w:hint="eastAsia"/>
                      <w:szCs w:val="21"/>
                    </w:rPr>
                    <w:t>声环境</w:t>
                  </w:r>
                </w:p>
              </w:tc>
              <w:tc>
                <w:tcPr>
                  <w:tcW w:w="1843" w:type="dxa"/>
                  <w:gridSpan w:val="2"/>
                  <w:vAlign w:val="center"/>
                </w:tcPr>
                <w:p>
                  <w:pPr>
                    <w:spacing w:line="240" w:lineRule="exact"/>
                    <w:jc w:val="center"/>
                    <w:rPr>
                      <w:szCs w:val="21"/>
                    </w:rPr>
                  </w:pPr>
                  <w:r>
                    <w:rPr>
                      <w:rFonts w:hint="eastAsia"/>
                      <w:szCs w:val="21"/>
                    </w:rPr>
                    <w:t>厂界外</w:t>
                  </w:r>
                  <w:r>
                    <w:rPr>
                      <w:szCs w:val="21"/>
                    </w:rPr>
                    <w:t>1</w:t>
                  </w:r>
                  <w:r>
                    <w:rPr>
                      <w:rFonts w:hint="eastAsia"/>
                      <w:szCs w:val="21"/>
                    </w:rPr>
                    <w:t>m范围内</w:t>
                  </w:r>
                </w:p>
              </w:tc>
              <w:tc>
                <w:tcPr>
                  <w:tcW w:w="1275" w:type="dxa"/>
                  <w:vAlign w:val="center"/>
                </w:tcPr>
                <w:p>
                  <w:pPr>
                    <w:spacing w:line="240" w:lineRule="exact"/>
                    <w:jc w:val="center"/>
                    <w:rPr>
                      <w:szCs w:val="21"/>
                    </w:rPr>
                  </w:pPr>
                  <w:r>
                    <w:rPr>
                      <w:rFonts w:hint="eastAsia"/>
                      <w:szCs w:val="21"/>
                    </w:rPr>
                    <w:t>/</w:t>
                  </w:r>
                </w:p>
              </w:tc>
              <w:tc>
                <w:tcPr>
                  <w:tcW w:w="1803" w:type="dxa"/>
                  <w:gridSpan w:val="2"/>
                  <w:vAlign w:val="center"/>
                </w:tcPr>
                <w:p>
                  <w:pPr>
                    <w:spacing w:line="240" w:lineRule="exact"/>
                    <w:jc w:val="center"/>
                    <w:rPr>
                      <w:szCs w:val="21"/>
                    </w:rPr>
                  </w:pPr>
                  <w:r>
                    <w:rPr>
                      <w:rFonts w:hint="eastAsia"/>
                      <w:szCs w:val="21"/>
                    </w:rPr>
                    <w:t>/</w:t>
                  </w:r>
                </w:p>
              </w:tc>
              <w:tc>
                <w:tcPr>
                  <w:tcW w:w="2460" w:type="dxa"/>
                  <w:gridSpan w:val="3"/>
                  <w:vAlign w:val="center"/>
                </w:tcPr>
                <w:p>
                  <w:pPr>
                    <w:spacing w:line="240" w:lineRule="exact"/>
                    <w:jc w:val="center"/>
                    <w:rPr>
                      <w:szCs w:val="21"/>
                    </w:rPr>
                  </w:pPr>
                  <w:r>
                    <w:rPr>
                      <w:rFonts w:hint="eastAsia"/>
                      <w:szCs w:val="21"/>
                    </w:rPr>
                    <w:t>《</w:t>
                  </w:r>
                  <w:r>
                    <w:rPr>
                      <w:szCs w:val="21"/>
                    </w:rPr>
                    <w:t>声环境质量标准</w:t>
                  </w:r>
                  <w:r>
                    <w:rPr>
                      <w:rFonts w:hint="eastAsia"/>
                      <w:szCs w:val="21"/>
                    </w:rPr>
                    <w:t>》</w:t>
                  </w:r>
                </w:p>
                <w:p>
                  <w:pPr>
                    <w:spacing w:line="240" w:lineRule="exact"/>
                    <w:jc w:val="center"/>
                    <w:rPr>
                      <w:szCs w:val="21"/>
                    </w:rPr>
                  </w:pPr>
                  <w:r>
                    <w:rPr>
                      <w:szCs w:val="21"/>
                    </w:rPr>
                    <w:t>（GB3096-2008）2类标准</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c>
                <w:tcPr>
                  <w:tcW w:w="583" w:type="dxa"/>
                  <w:vMerge w:val="restart"/>
                  <w:vAlign w:val="center"/>
                </w:tcPr>
                <w:p>
                  <w:pPr>
                    <w:spacing w:line="240" w:lineRule="exact"/>
                    <w:jc w:val="center"/>
                    <w:rPr>
                      <w:b/>
                      <w:szCs w:val="21"/>
                    </w:rPr>
                  </w:pPr>
                  <w:r>
                    <w:rPr>
                      <w:rFonts w:hint="eastAsia"/>
                      <w:b/>
                      <w:szCs w:val="21"/>
                    </w:rPr>
                    <w:t>人文</w:t>
                  </w:r>
                  <w:r>
                    <w:rPr>
                      <w:b/>
                      <w:szCs w:val="21"/>
                    </w:rPr>
                    <w:t>景观</w:t>
                  </w:r>
                </w:p>
              </w:tc>
              <w:tc>
                <w:tcPr>
                  <w:tcW w:w="1843" w:type="dxa"/>
                  <w:gridSpan w:val="2"/>
                  <w:vAlign w:val="center"/>
                </w:tcPr>
                <w:p>
                  <w:pPr>
                    <w:spacing w:line="240" w:lineRule="exact"/>
                    <w:jc w:val="center"/>
                    <w:rPr>
                      <w:b/>
                      <w:szCs w:val="21"/>
                    </w:rPr>
                  </w:pPr>
                  <w:r>
                    <w:rPr>
                      <w:rFonts w:hint="eastAsia"/>
                      <w:b/>
                      <w:szCs w:val="21"/>
                    </w:rPr>
                    <w:t>牛郎洞</w:t>
                  </w:r>
                </w:p>
              </w:tc>
              <w:tc>
                <w:tcPr>
                  <w:tcW w:w="1275" w:type="dxa"/>
                  <w:vAlign w:val="center"/>
                </w:tcPr>
                <w:p>
                  <w:pPr>
                    <w:spacing w:line="240" w:lineRule="exact"/>
                    <w:jc w:val="center"/>
                    <w:rPr>
                      <w:b/>
                      <w:szCs w:val="21"/>
                    </w:rPr>
                  </w:pPr>
                  <w:r>
                    <w:rPr>
                      <w:rFonts w:hint="eastAsia"/>
                      <w:b/>
                      <w:szCs w:val="21"/>
                    </w:rPr>
                    <w:t>东</w:t>
                  </w:r>
                </w:p>
              </w:tc>
              <w:tc>
                <w:tcPr>
                  <w:tcW w:w="1803" w:type="dxa"/>
                  <w:gridSpan w:val="2"/>
                  <w:vAlign w:val="center"/>
                </w:tcPr>
                <w:p>
                  <w:pPr>
                    <w:spacing w:line="240" w:lineRule="exact"/>
                    <w:jc w:val="center"/>
                    <w:rPr>
                      <w:b/>
                      <w:szCs w:val="21"/>
                    </w:rPr>
                  </w:pPr>
                  <w:r>
                    <w:rPr>
                      <w:rFonts w:hint="eastAsia"/>
                      <w:b/>
                      <w:szCs w:val="21"/>
                    </w:rPr>
                    <w:t>2.18</w:t>
                  </w:r>
                </w:p>
              </w:tc>
              <w:tc>
                <w:tcPr>
                  <w:tcW w:w="2460" w:type="dxa"/>
                  <w:gridSpan w:val="3"/>
                  <w:vMerge w:val="restart"/>
                  <w:vAlign w:val="center"/>
                </w:tcPr>
                <w:p>
                  <w:pPr>
                    <w:spacing w:line="240" w:lineRule="exact"/>
                    <w:jc w:val="center"/>
                    <w:rPr>
                      <w:b/>
                      <w:bCs/>
                      <w:szCs w:val="21"/>
                    </w:rPr>
                  </w:pPr>
                  <w:r>
                    <w:rPr>
                      <w:rFonts w:hint="eastAsia"/>
                      <w:b/>
                      <w:bCs/>
                      <w:szCs w:val="21"/>
                    </w:rPr>
                    <w:t>空气二类，声2类标准</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c>
                <w:tcPr>
                  <w:tcW w:w="583" w:type="dxa"/>
                  <w:vMerge w:val="continue"/>
                  <w:vAlign w:val="center"/>
                </w:tcPr>
                <w:p>
                  <w:pPr>
                    <w:spacing w:line="240" w:lineRule="exact"/>
                    <w:jc w:val="center"/>
                    <w:rPr>
                      <w:b/>
                      <w:szCs w:val="21"/>
                    </w:rPr>
                  </w:pPr>
                </w:p>
              </w:tc>
              <w:tc>
                <w:tcPr>
                  <w:tcW w:w="1843" w:type="dxa"/>
                  <w:gridSpan w:val="2"/>
                  <w:vAlign w:val="center"/>
                </w:tcPr>
                <w:p>
                  <w:pPr>
                    <w:spacing w:line="240" w:lineRule="exact"/>
                    <w:jc w:val="center"/>
                    <w:rPr>
                      <w:b/>
                      <w:szCs w:val="21"/>
                    </w:rPr>
                  </w:pPr>
                  <w:r>
                    <w:rPr>
                      <w:rFonts w:hint="eastAsia"/>
                      <w:b/>
                      <w:szCs w:val="21"/>
                    </w:rPr>
                    <w:t>瑞云观</w:t>
                  </w:r>
                </w:p>
              </w:tc>
              <w:tc>
                <w:tcPr>
                  <w:tcW w:w="1275" w:type="dxa"/>
                  <w:vAlign w:val="center"/>
                </w:tcPr>
                <w:p>
                  <w:pPr>
                    <w:spacing w:line="240" w:lineRule="exact"/>
                    <w:jc w:val="center"/>
                    <w:rPr>
                      <w:b/>
                      <w:szCs w:val="21"/>
                    </w:rPr>
                  </w:pPr>
                  <w:r>
                    <w:rPr>
                      <w:rFonts w:hint="eastAsia"/>
                      <w:b/>
                      <w:szCs w:val="21"/>
                    </w:rPr>
                    <w:t>东</w:t>
                  </w:r>
                </w:p>
              </w:tc>
              <w:tc>
                <w:tcPr>
                  <w:tcW w:w="1803" w:type="dxa"/>
                  <w:gridSpan w:val="2"/>
                  <w:vAlign w:val="center"/>
                </w:tcPr>
                <w:p>
                  <w:pPr>
                    <w:spacing w:line="240" w:lineRule="exact"/>
                    <w:jc w:val="center"/>
                    <w:rPr>
                      <w:b/>
                      <w:szCs w:val="21"/>
                    </w:rPr>
                  </w:pPr>
                  <w:r>
                    <w:rPr>
                      <w:rFonts w:hint="eastAsia"/>
                      <w:b/>
                      <w:szCs w:val="21"/>
                    </w:rPr>
                    <w:t>2.15</w:t>
                  </w:r>
                </w:p>
              </w:tc>
              <w:tc>
                <w:tcPr>
                  <w:tcW w:w="2460" w:type="dxa"/>
                  <w:gridSpan w:val="3"/>
                  <w:vMerge w:val="continue"/>
                  <w:vAlign w:val="center"/>
                </w:tcPr>
                <w:p>
                  <w:pPr>
                    <w:spacing w:line="240" w:lineRule="exact"/>
                    <w:jc w:val="center"/>
                    <w:rPr>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c>
                <w:tcPr>
                  <w:tcW w:w="583" w:type="dxa"/>
                  <w:vMerge w:val="continue"/>
                  <w:vAlign w:val="center"/>
                </w:tcPr>
                <w:p>
                  <w:pPr>
                    <w:spacing w:line="240" w:lineRule="exact"/>
                    <w:jc w:val="center"/>
                    <w:rPr>
                      <w:b/>
                      <w:szCs w:val="21"/>
                    </w:rPr>
                  </w:pPr>
                </w:p>
              </w:tc>
              <w:tc>
                <w:tcPr>
                  <w:tcW w:w="1843" w:type="dxa"/>
                  <w:gridSpan w:val="2"/>
                  <w:vAlign w:val="center"/>
                </w:tcPr>
                <w:p>
                  <w:pPr>
                    <w:spacing w:line="240" w:lineRule="exact"/>
                    <w:jc w:val="center"/>
                    <w:rPr>
                      <w:b/>
                      <w:szCs w:val="21"/>
                    </w:rPr>
                  </w:pPr>
                  <w:r>
                    <w:rPr>
                      <w:rFonts w:hint="eastAsia"/>
                      <w:b/>
                      <w:szCs w:val="21"/>
                    </w:rPr>
                    <w:t>九女潭</w:t>
                  </w:r>
                </w:p>
              </w:tc>
              <w:tc>
                <w:tcPr>
                  <w:tcW w:w="1275" w:type="dxa"/>
                  <w:vAlign w:val="center"/>
                </w:tcPr>
                <w:p>
                  <w:pPr>
                    <w:spacing w:line="240" w:lineRule="exact"/>
                    <w:jc w:val="center"/>
                    <w:rPr>
                      <w:b/>
                      <w:szCs w:val="21"/>
                    </w:rPr>
                  </w:pPr>
                  <w:r>
                    <w:rPr>
                      <w:rFonts w:hint="eastAsia"/>
                      <w:b/>
                      <w:szCs w:val="21"/>
                    </w:rPr>
                    <w:t>东</w:t>
                  </w:r>
                </w:p>
              </w:tc>
              <w:tc>
                <w:tcPr>
                  <w:tcW w:w="1803" w:type="dxa"/>
                  <w:gridSpan w:val="2"/>
                  <w:vAlign w:val="center"/>
                </w:tcPr>
                <w:p>
                  <w:pPr>
                    <w:spacing w:line="240" w:lineRule="exact"/>
                    <w:jc w:val="center"/>
                    <w:rPr>
                      <w:b/>
                      <w:szCs w:val="21"/>
                    </w:rPr>
                  </w:pPr>
                  <w:r>
                    <w:rPr>
                      <w:rFonts w:hint="eastAsia"/>
                      <w:b/>
                      <w:szCs w:val="21"/>
                    </w:rPr>
                    <w:t>2.11</w:t>
                  </w:r>
                </w:p>
              </w:tc>
              <w:tc>
                <w:tcPr>
                  <w:tcW w:w="2460" w:type="dxa"/>
                  <w:gridSpan w:val="3"/>
                  <w:vMerge w:val="continue"/>
                  <w:vAlign w:val="center"/>
                </w:tcPr>
                <w:p>
                  <w:pPr>
                    <w:spacing w:line="240" w:lineRule="exact"/>
                    <w:jc w:val="center"/>
                    <w:rPr>
                      <w:szCs w:val="21"/>
                    </w:rPr>
                  </w:pPr>
                </w:p>
              </w:tc>
            </w:tr>
          </w:tbl>
          <w:p>
            <w:pPr>
              <w:autoSpaceDE w:val="0"/>
              <w:autoSpaceDN w:val="0"/>
              <w:adjustRightInd w:val="0"/>
              <w:snapToGrid w:val="0"/>
              <w:spacing w:line="360" w:lineRule="auto"/>
              <w:rPr>
                <w:rFonts w:cs="宋体"/>
                <w:kern w:val="0"/>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500" w:hRule="atLeast"/>
          <w:jc w:val="center"/>
        </w:trPr>
        <w:tc>
          <w:tcPr>
            <w:tcW w:w="800" w:type="dxa"/>
            <w:tcMar>
              <w:left w:w="28" w:type="dxa"/>
              <w:right w:w="28" w:type="dxa"/>
            </w:tcMar>
            <w:vAlign w:val="center"/>
          </w:tcPr>
          <w:p>
            <w:pPr>
              <w:adjustRightInd w:val="0"/>
              <w:snapToGrid w:val="0"/>
              <w:jc w:val="center"/>
              <w:rPr>
                <w:rFonts w:cs="宋体"/>
                <w:kern w:val="0"/>
                <w:sz w:val="24"/>
              </w:rPr>
            </w:pPr>
          </w:p>
          <w:p>
            <w:pPr>
              <w:adjustRightInd w:val="0"/>
              <w:snapToGrid w:val="0"/>
              <w:jc w:val="center"/>
              <w:rPr>
                <w:rFonts w:cs="宋体"/>
                <w:kern w:val="0"/>
                <w:sz w:val="24"/>
              </w:rPr>
            </w:pPr>
          </w:p>
          <w:p>
            <w:pPr>
              <w:adjustRightInd w:val="0"/>
              <w:snapToGrid w:val="0"/>
              <w:jc w:val="center"/>
              <w:rPr>
                <w:rFonts w:cs="宋体"/>
                <w:kern w:val="0"/>
                <w:sz w:val="24"/>
              </w:rPr>
            </w:pPr>
          </w:p>
          <w:p>
            <w:pPr>
              <w:adjustRightInd w:val="0"/>
              <w:snapToGrid w:val="0"/>
              <w:jc w:val="center"/>
              <w:rPr>
                <w:rFonts w:cs="宋体"/>
                <w:kern w:val="0"/>
                <w:sz w:val="24"/>
              </w:rPr>
            </w:pPr>
          </w:p>
          <w:p>
            <w:pPr>
              <w:adjustRightInd w:val="0"/>
              <w:snapToGrid w:val="0"/>
              <w:jc w:val="center"/>
              <w:rPr>
                <w:rFonts w:cs="宋体"/>
                <w:kern w:val="0"/>
                <w:sz w:val="24"/>
              </w:rPr>
            </w:pPr>
          </w:p>
          <w:p>
            <w:pPr>
              <w:adjustRightInd w:val="0"/>
              <w:snapToGrid w:val="0"/>
              <w:jc w:val="center"/>
              <w:rPr>
                <w:rFonts w:cs="宋体"/>
                <w:kern w:val="0"/>
                <w:sz w:val="24"/>
              </w:rPr>
            </w:pPr>
          </w:p>
          <w:p>
            <w:pPr>
              <w:adjustRightInd w:val="0"/>
              <w:snapToGrid w:val="0"/>
              <w:jc w:val="center"/>
              <w:rPr>
                <w:rFonts w:cs="宋体"/>
                <w:kern w:val="0"/>
                <w:sz w:val="24"/>
              </w:rPr>
            </w:pPr>
          </w:p>
          <w:p>
            <w:pPr>
              <w:adjustRightInd w:val="0"/>
              <w:snapToGrid w:val="0"/>
              <w:jc w:val="center"/>
              <w:rPr>
                <w:rFonts w:cs="宋体"/>
                <w:kern w:val="0"/>
                <w:sz w:val="24"/>
              </w:rPr>
            </w:pPr>
            <w:r>
              <w:rPr>
                <w:rFonts w:hint="eastAsia" w:cs="宋体"/>
                <w:kern w:val="0"/>
                <w:sz w:val="24"/>
              </w:rPr>
              <w:t>污染</w:t>
            </w:r>
          </w:p>
          <w:p>
            <w:pPr>
              <w:adjustRightInd w:val="0"/>
              <w:snapToGrid w:val="0"/>
              <w:jc w:val="center"/>
              <w:rPr>
                <w:rFonts w:cs="宋体"/>
                <w:kern w:val="0"/>
                <w:sz w:val="24"/>
              </w:rPr>
            </w:pPr>
            <w:r>
              <w:rPr>
                <w:rFonts w:hint="eastAsia" w:cs="宋体"/>
                <w:kern w:val="0"/>
                <w:sz w:val="24"/>
              </w:rPr>
              <w:t>物排</w:t>
            </w:r>
          </w:p>
          <w:p>
            <w:pPr>
              <w:adjustRightInd w:val="0"/>
              <w:snapToGrid w:val="0"/>
              <w:jc w:val="center"/>
              <w:rPr>
                <w:rFonts w:cs="宋体"/>
                <w:kern w:val="0"/>
                <w:sz w:val="24"/>
              </w:rPr>
            </w:pPr>
            <w:r>
              <w:rPr>
                <w:rFonts w:hint="eastAsia" w:cs="宋体"/>
                <w:kern w:val="0"/>
                <w:sz w:val="24"/>
              </w:rPr>
              <w:t>放控</w:t>
            </w:r>
          </w:p>
          <w:p>
            <w:pPr>
              <w:adjustRightInd w:val="0"/>
              <w:snapToGrid w:val="0"/>
              <w:jc w:val="center"/>
              <w:rPr>
                <w:rFonts w:cs="宋体"/>
                <w:kern w:val="0"/>
                <w:sz w:val="24"/>
              </w:rPr>
            </w:pPr>
            <w:r>
              <w:rPr>
                <w:rFonts w:hint="eastAsia" w:cs="宋体"/>
                <w:kern w:val="0"/>
                <w:sz w:val="24"/>
              </w:rPr>
              <w:t>制标</w:t>
            </w:r>
          </w:p>
          <w:p>
            <w:pPr>
              <w:adjustRightInd w:val="0"/>
              <w:snapToGrid w:val="0"/>
              <w:jc w:val="center"/>
              <w:rPr>
                <w:rFonts w:cs="宋体"/>
                <w:kern w:val="0"/>
                <w:sz w:val="24"/>
              </w:rPr>
            </w:pPr>
            <w:r>
              <w:rPr>
                <w:rFonts w:hint="eastAsia" w:cs="宋体"/>
                <w:kern w:val="0"/>
                <w:sz w:val="24"/>
              </w:rPr>
              <w:t>准</w:t>
            </w:r>
          </w:p>
          <w:p>
            <w:pPr>
              <w:adjustRightInd w:val="0"/>
              <w:snapToGrid w:val="0"/>
              <w:jc w:val="center"/>
              <w:rPr>
                <w:rFonts w:cs="宋体"/>
                <w:kern w:val="0"/>
                <w:sz w:val="24"/>
              </w:rPr>
            </w:pPr>
          </w:p>
          <w:p>
            <w:pPr>
              <w:adjustRightInd w:val="0"/>
              <w:snapToGrid w:val="0"/>
              <w:rPr>
                <w:rFonts w:cs="宋体"/>
                <w:kern w:val="0"/>
                <w:sz w:val="24"/>
              </w:rPr>
            </w:pPr>
          </w:p>
          <w:p>
            <w:pPr>
              <w:adjustRightInd w:val="0"/>
              <w:snapToGrid w:val="0"/>
              <w:jc w:val="center"/>
              <w:rPr>
                <w:rFonts w:cs="宋体"/>
                <w:kern w:val="0"/>
                <w:sz w:val="24"/>
              </w:rPr>
            </w:pPr>
          </w:p>
        </w:tc>
        <w:tc>
          <w:tcPr>
            <w:tcW w:w="8190" w:type="dxa"/>
            <w:vAlign w:val="center"/>
          </w:tcPr>
          <w:tbl>
            <w:tblPr>
              <w:tblStyle w:val="22"/>
              <w:tblpPr w:leftFromText="180" w:rightFromText="180" w:vertAnchor="text" w:horzAnchor="margin" w:tblpY="212"/>
              <w:tblOverlap w:val="never"/>
              <w:tblW w:w="79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108" w:type="dxa"/>
                <w:bottom w:w="28" w:type="dxa"/>
                <w:right w:w="108" w:type="dxa"/>
              </w:tblCellMar>
            </w:tblPr>
            <w:tblGrid>
              <w:gridCol w:w="745"/>
              <w:gridCol w:w="2090"/>
              <w:gridCol w:w="1134"/>
              <w:gridCol w:w="851"/>
              <w:gridCol w:w="31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259" w:hRule="atLeast"/>
              </w:trPr>
              <w:tc>
                <w:tcPr>
                  <w:tcW w:w="745" w:type="dxa"/>
                  <w:tcBorders>
                    <w:top w:val="single" w:color="auto" w:sz="12" w:space="0"/>
                    <w:left w:val="nil"/>
                    <w:bottom w:val="single" w:color="auto" w:sz="6" w:space="0"/>
                    <w:right w:val="single" w:color="auto" w:sz="6" w:space="0"/>
                  </w:tcBorders>
                  <w:vAlign w:val="center"/>
                </w:tcPr>
                <w:p>
                  <w:pPr>
                    <w:contextualSpacing/>
                    <w:jc w:val="center"/>
                    <w:rPr>
                      <w:b/>
                      <w:bCs/>
                      <w:szCs w:val="21"/>
                    </w:rPr>
                  </w:pPr>
                  <w:r>
                    <w:rPr>
                      <w:b/>
                      <w:bCs/>
                      <w:szCs w:val="21"/>
                    </w:rPr>
                    <w:t>环境</w:t>
                  </w:r>
                </w:p>
                <w:p>
                  <w:pPr>
                    <w:contextualSpacing/>
                    <w:jc w:val="center"/>
                    <w:rPr>
                      <w:b/>
                      <w:bCs/>
                      <w:szCs w:val="21"/>
                    </w:rPr>
                  </w:pPr>
                  <w:r>
                    <w:rPr>
                      <w:b/>
                      <w:bCs/>
                      <w:szCs w:val="21"/>
                    </w:rPr>
                    <w:t>要素</w:t>
                  </w:r>
                </w:p>
              </w:tc>
              <w:tc>
                <w:tcPr>
                  <w:tcW w:w="2090" w:type="dxa"/>
                  <w:tcBorders>
                    <w:top w:val="single" w:color="auto" w:sz="12" w:space="0"/>
                    <w:left w:val="single" w:color="auto" w:sz="6" w:space="0"/>
                    <w:bottom w:val="single" w:color="auto" w:sz="6" w:space="0"/>
                    <w:right w:val="single" w:color="auto" w:sz="6" w:space="0"/>
                  </w:tcBorders>
                  <w:vAlign w:val="center"/>
                </w:tcPr>
                <w:p>
                  <w:pPr>
                    <w:contextualSpacing/>
                    <w:jc w:val="center"/>
                    <w:rPr>
                      <w:b/>
                      <w:bCs/>
                      <w:szCs w:val="21"/>
                    </w:rPr>
                  </w:pPr>
                  <w:r>
                    <w:rPr>
                      <w:b/>
                      <w:bCs/>
                      <w:szCs w:val="21"/>
                    </w:rPr>
                    <w:t>标准名称</w:t>
                  </w:r>
                </w:p>
              </w:tc>
              <w:tc>
                <w:tcPr>
                  <w:tcW w:w="1134" w:type="dxa"/>
                  <w:tcBorders>
                    <w:top w:val="single" w:color="auto" w:sz="12" w:space="0"/>
                    <w:left w:val="single" w:color="auto" w:sz="6" w:space="0"/>
                    <w:bottom w:val="single" w:color="auto" w:sz="6" w:space="0"/>
                    <w:right w:val="single" w:color="auto" w:sz="6" w:space="0"/>
                  </w:tcBorders>
                  <w:vAlign w:val="center"/>
                </w:tcPr>
                <w:p>
                  <w:pPr>
                    <w:contextualSpacing/>
                    <w:jc w:val="center"/>
                    <w:rPr>
                      <w:b/>
                      <w:bCs/>
                      <w:szCs w:val="21"/>
                    </w:rPr>
                  </w:pPr>
                  <w:r>
                    <w:rPr>
                      <w:b/>
                      <w:bCs/>
                      <w:szCs w:val="21"/>
                    </w:rPr>
                    <w:t>执行级别</w:t>
                  </w:r>
                  <w:r>
                    <w:rPr>
                      <w:rFonts w:hint="eastAsia"/>
                      <w:b/>
                      <w:bCs/>
                      <w:szCs w:val="21"/>
                    </w:rPr>
                    <w:t>/</w:t>
                  </w:r>
                  <w:r>
                    <w:rPr>
                      <w:b/>
                      <w:bCs/>
                      <w:szCs w:val="21"/>
                    </w:rPr>
                    <w:t>（类别）</w:t>
                  </w:r>
                </w:p>
              </w:tc>
              <w:tc>
                <w:tcPr>
                  <w:tcW w:w="3969" w:type="dxa"/>
                  <w:gridSpan w:val="2"/>
                  <w:tcBorders>
                    <w:top w:val="single" w:color="auto" w:sz="12" w:space="0"/>
                    <w:left w:val="single" w:color="auto" w:sz="6" w:space="0"/>
                    <w:bottom w:val="single" w:color="auto" w:sz="6" w:space="0"/>
                    <w:right w:val="nil"/>
                  </w:tcBorders>
                  <w:vAlign w:val="center"/>
                </w:tcPr>
                <w:p>
                  <w:pPr>
                    <w:contextualSpacing/>
                    <w:jc w:val="center"/>
                    <w:rPr>
                      <w:b/>
                      <w:bCs/>
                      <w:szCs w:val="21"/>
                    </w:rPr>
                  </w:pPr>
                  <w:r>
                    <w:rPr>
                      <w:b/>
                      <w:bCs/>
                      <w:szCs w:val="21"/>
                    </w:rPr>
                    <w:t>污染物</w:t>
                  </w:r>
                  <w:r>
                    <w:rPr>
                      <w:rFonts w:hint="eastAsia"/>
                      <w:b/>
                      <w:bCs/>
                      <w:szCs w:val="21"/>
                    </w:rPr>
                    <w:t>排放</w:t>
                  </w:r>
                  <w:r>
                    <w:rPr>
                      <w:b/>
                      <w:bCs/>
                      <w:szCs w:val="21"/>
                    </w:rPr>
                    <w:t>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52" w:hRule="atLeast"/>
              </w:trPr>
              <w:tc>
                <w:tcPr>
                  <w:tcW w:w="745" w:type="dxa"/>
                  <w:vMerge w:val="restart"/>
                  <w:tcBorders>
                    <w:top w:val="single" w:color="auto" w:sz="6" w:space="0"/>
                    <w:left w:val="nil"/>
                    <w:bottom w:val="single" w:color="auto" w:sz="6" w:space="0"/>
                    <w:right w:val="single" w:color="auto" w:sz="6" w:space="0"/>
                  </w:tcBorders>
                  <w:vAlign w:val="center"/>
                </w:tcPr>
                <w:p>
                  <w:pPr>
                    <w:contextualSpacing/>
                    <w:jc w:val="center"/>
                    <w:rPr>
                      <w:szCs w:val="21"/>
                    </w:rPr>
                  </w:pPr>
                  <w:r>
                    <w:rPr>
                      <w:szCs w:val="21"/>
                    </w:rPr>
                    <w:t>废气</w:t>
                  </w:r>
                </w:p>
              </w:tc>
              <w:tc>
                <w:tcPr>
                  <w:tcW w:w="2090" w:type="dxa"/>
                  <w:vMerge w:val="restart"/>
                  <w:tcBorders>
                    <w:top w:val="single" w:color="auto" w:sz="6" w:space="0"/>
                    <w:left w:val="single" w:color="auto" w:sz="6" w:space="0"/>
                    <w:bottom w:val="single" w:color="auto" w:sz="6" w:space="0"/>
                    <w:right w:val="single" w:color="auto" w:sz="6" w:space="0"/>
                  </w:tcBorders>
                  <w:vAlign w:val="center"/>
                </w:tcPr>
                <w:p>
                  <w:pPr>
                    <w:pStyle w:val="6"/>
                    <w:ind w:firstLine="0"/>
                    <w:contextualSpacing/>
                    <w:jc w:val="center"/>
                    <w:rPr>
                      <w:szCs w:val="21"/>
                    </w:rPr>
                  </w:pPr>
                  <w:r>
                    <w:rPr>
                      <w:szCs w:val="21"/>
                    </w:rPr>
                    <w:t>《大气污染物综合排放标准》</w:t>
                  </w:r>
                  <w:r>
                    <w:rPr>
                      <w:rFonts w:hint="eastAsia"/>
                      <w:szCs w:val="21"/>
                    </w:rPr>
                    <w:t>（</w:t>
                  </w:r>
                  <w:r>
                    <w:rPr>
                      <w:szCs w:val="21"/>
                    </w:rPr>
                    <w:t>GB16297-1996</w:t>
                  </w:r>
                  <w:r>
                    <w:rPr>
                      <w:rFonts w:hint="eastAsia"/>
                      <w:szCs w:val="21"/>
                    </w:rPr>
                    <w:t>）</w:t>
                  </w:r>
                </w:p>
              </w:tc>
              <w:tc>
                <w:tcPr>
                  <w:tcW w:w="1134" w:type="dxa"/>
                  <w:vMerge w:val="restart"/>
                  <w:tcBorders>
                    <w:top w:val="single" w:color="auto" w:sz="6" w:space="0"/>
                    <w:left w:val="single" w:color="auto" w:sz="6" w:space="0"/>
                    <w:bottom w:val="single" w:color="auto" w:sz="6" w:space="0"/>
                    <w:right w:val="single" w:color="auto" w:sz="6" w:space="0"/>
                  </w:tcBorders>
                  <w:vAlign w:val="center"/>
                </w:tcPr>
                <w:p>
                  <w:pPr>
                    <w:contextualSpacing/>
                    <w:jc w:val="center"/>
                    <w:rPr>
                      <w:szCs w:val="21"/>
                    </w:rPr>
                  </w:pPr>
                  <w:r>
                    <w:rPr>
                      <w:szCs w:val="21"/>
                    </w:rPr>
                    <w:t>表2</w:t>
                  </w:r>
                </w:p>
                <w:p>
                  <w:pPr>
                    <w:contextualSpacing/>
                    <w:jc w:val="center"/>
                    <w:rPr>
                      <w:szCs w:val="21"/>
                    </w:rPr>
                  </w:pPr>
                  <w:r>
                    <w:rPr>
                      <w:szCs w:val="21"/>
                    </w:rPr>
                    <w:t>二级</w:t>
                  </w:r>
                </w:p>
              </w:tc>
              <w:tc>
                <w:tcPr>
                  <w:tcW w:w="851" w:type="dxa"/>
                  <w:vMerge w:val="restart"/>
                  <w:tcBorders>
                    <w:top w:val="single" w:color="auto" w:sz="6" w:space="0"/>
                    <w:left w:val="single" w:color="auto" w:sz="6" w:space="0"/>
                    <w:bottom w:val="single" w:color="auto" w:sz="6" w:space="0"/>
                    <w:right w:val="single" w:color="auto" w:sz="6" w:space="0"/>
                  </w:tcBorders>
                  <w:vAlign w:val="center"/>
                </w:tcPr>
                <w:p>
                  <w:pPr>
                    <w:contextualSpacing/>
                    <w:jc w:val="center"/>
                    <w:rPr>
                      <w:szCs w:val="21"/>
                    </w:rPr>
                  </w:pPr>
                  <w:r>
                    <w:rPr>
                      <w:szCs w:val="21"/>
                    </w:rPr>
                    <w:t>颗粒物</w:t>
                  </w:r>
                </w:p>
              </w:tc>
              <w:tc>
                <w:tcPr>
                  <w:tcW w:w="3118" w:type="dxa"/>
                  <w:tcBorders>
                    <w:top w:val="single" w:color="auto" w:sz="6" w:space="0"/>
                    <w:left w:val="single" w:color="auto" w:sz="6" w:space="0"/>
                    <w:bottom w:val="single" w:color="auto" w:sz="6" w:space="0"/>
                    <w:right w:val="nil"/>
                  </w:tcBorders>
                  <w:vAlign w:val="center"/>
                </w:tcPr>
                <w:p>
                  <w:pPr>
                    <w:contextualSpacing/>
                    <w:jc w:val="center"/>
                    <w:rPr>
                      <w:szCs w:val="21"/>
                    </w:rPr>
                  </w:pPr>
                  <w:r>
                    <w:rPr>
                      <w:szCs w:val="21"/>
                    </w:rPr>
                    <w:t>120mg/m</w:t>
                  </w:r>
                  <w:r>
                    <w:rPr>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90" w:hRule="atLeast"/>
              </w:trPr>
              <w:tc>
                <w:tcPr>
                  <w:tcW w:w="745" w:type="dxa"/>
                  <w:vMerge w:val="continue"/>
                  <w:tcBorders>
                    <w:top w:val="single" w:color="auto" w:sz="6" w:space="0"/>
                    <w:left w:val="nil"/>
                    <w:bottom w:val="single" w:color="auto" w:sz="6" w:space="0"/>
                    <w:right w:val="single" w:color="auto" w:sz="6" w:space="0"/>
                  </w:tcBorders>
                  <w:vAlign w:val="center"/>
                </w:tcPr>
                <w:p>
                  <w:pPr>
                    <w:contextualSpacing/>
                    <w:jc w:val="left"/>
                  </w:pPr>
                </w:p>
              </w:tc>
              <w:tc>
                <w:tcPr>
                  <w:tcW w:w="2090" w:type="dxa"/>
                  <w:vMerge w:val="continue"/>
                  <w:tcBorders>
                    <w:top w:val="single" w:color="auto" w:sz="6" w:space="0"/>
                    <w:left w:val="single" w:color="auto" w:sz="6" w:space="0"/>
                    <w:bottom w:val="single" w:color="auto" w:sz="6" w:space="0"/>
                    <w:right w:val="single" w:color="auto" w:sz="6" w:space="0"/>
                  </w:tcBorders>
                  <w:vAlign w:val="center"/>
                </w:tcPr>
                <w:p>
                  <w:pPr>
                    <w:contextualSpacing/>
                    <w:jc w:val="left"/>
                  </w:pPr>
                </w:p>
              </w:tc>
              <w:tc>
                <w:tcPr>
                  <w:tcW w:w="1134" w:type="dxa"/>
                  <w:vMerge w:val="continue"/>
                  <w:tcBorders>
                    <w:top w:val="single" w:color="auto" w:sz="6" w:space="0"/>
                    <w:left w:val="single" w:color="auto" w:sz="6" w:space="0"/>
                    <w:bottom w:val="single" w:color="auto" w:sz="6" w:space="0"/>
                    <w:right w:val="single" w:color="auto" w:sz="6" w:space="0"/>
                  </w:tcBorders>
                  <w:vAlign w:val="center"/>
                </w:tcPr>
                <w:p>
                  <w:pPr>
                    <w:contextualSpacing/>
                    <w:jc w:val="left"/>
                  </w:pPr>
                </w:p>
              </w:tc>
              <w:tc>
                <w:tcPr>
                  <w:tcW w:w="851" w:type="dxa"/>
                  <w:vMerge w:val="continue"/>
                  <w:tcBorders>
                    <w:top w:val="single" w:color="auto" w:sz="6" w:space="0"/>
                    <w:left w:val="single" w:color="auto" w:sz="6" w:space="0"/>
                    <w:bottom w:val="single" w:color="auto" w:sz="6" w:space="0"/>
                    <w:right w:val="single" w:color="auto" w:sz="6" w:space="0"/>
                  </w:tcBorders>
                  <w:vAlign w:val="center"/>
                </w:tcPr>
                <w:p>
                  <w:pPr>
                    <w:contextualSpacing/>
                    <w:jc w:val="center"/>
                  </w:pPr>
                </w:p>
              </w:tc>
              <w:tc>
                <w:tcPr>
                  <w:tcW w:w="3118" w:type="dxa"/>
                  <w:tcBorders>
                    <w:top w:val="single" w:color="auto" w:sz="6" w:space="0"/>
                    <w:left w:val="single" w:color="auto" w:sz="6" w:space="0"/>
                    <w:bottom w:val="single" w:color="auto" w:sz="6" w:space="0"/>
                    <w:right w:val="nil"/>
                  </w:tcBorders>
                  <w:vAlign w:val="center"/>
                </w:tcPr>
                <w:p>
                  <w:pPr>
                    <w:contextualSpacing/>
                    <w:jc w:val="center"/>
                    <w:rPr>
                      <w:szCs w:val="21"/>
                    </w:rPr>
                  </w:pPr>
                  <w:r>
                    <w:rPr>
                      <w:rFonts w:hint="eastAsia"/>
                      <w:szCs w:val="21"/>
                    </w:rPr>
                    <w:t>15</w:t>
                  </w:r>
                  <w:r>
                    <w:rPr>
                      <w:szCs w:val="21"/>
                    </w:rPr>
                    <w:t>m高排气筒</w:t>
                  </w:r>
                </w:p>
                <w:p>
                  <w:pPr>
                    <w:contextualSpacing/>
                    <w:jc w:val="center"/>
                    <w:rPr>
                      <w:szCs w:val="21"/>
                    </w:rPr>
                  </w:pPr>
                  <w:r>
                    <w:rPr>
                      <w:szCs w:val="21"/>
                    </w:rPr>
                    <w:t>排放速率</w:t>
                  </w:r>
                  <w:r>
                    <w:rPr>
                      <w:rFonts w:hint="eastAsia"/>
                      <w:szCs w:val="21"/>
                    </w:rPr>
                    <w:t>3.5</w:t>
                  </w:r>
                  <w:r>
                    <w:rPr>
                      <w:szCs w:val="21"/>
                    </w:rPr>
                    <w:t>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90" w:hRule="atLeast"/>
              </w:trPr>
              <w:tc>
                <w:tcPr>
                  <w:tcW w:w="745" w:type="dxa"/>
                  <w:vMerge w:val="continue"/>
                  <w:tcBorders>
                    <w:top w:val="single" w:color="auto" w:sz="6" w:space="0"/>
                    <w:left w:val="nil"/>
                    <w:bottom w:val="single" w:color="auto" w:sz="6" w:space="0"/>
                    <w:right w:val="single" w:color="auto" w:sz="6" w:space="0"/>
                  </w:tcBorders>
                  <w:vAlign w:val="center"/>
                </w:tcPr>
                <w:p>
                  <w:pPr>
                    <w:contextualSpacing/>
                    <w:jc w:val="left"/>
                  </w:pPr>
                </w:p>
              </w:tc>
              <w:tc>
                <w:tcPr>
                  <w:tcW w:w="2090" w:type="dxa"/>
                  <w:vMerge w:val="continue"/>
                  <w:tcBorders>
                    <w:top w:val="single" w:color="auto" w:sz="6" w:space="0"/>
                    <w:left w:val="single" w:color="auto" w:sz="6" w:space="0"/>
                    <w:bottom w:val="single" w:color="auto" w:sz="6" w:space="0"/>
                    <w:right w:val="single" w:color="auto" w:sz="6" w:space="0"/>
                  </w:tcBorders>
                  <w:vAlign w:val="center"/>
                </w:tcPr>
                <w:p>
                  <w:pPr>
                    <w:contextualSpacing/>
                    <w:jc w:val="left"/>
                  </w:pPr>
                </w:p>
              </w:tc>
              <w:tc>
                <w:tcPr>
                  <w:tcW w:w="1134" w:type="dxa"/>
                  <w:vMerge w:val="continue"/>
                  <w:tcBorders>
                    <w:top w:val="single" w:color="auto" w:sz="6" w:space="0"/>
                    <w:left w:val="single" w:color="auto" w:sz="6" w:space="0"/>
                    <w:bottom w:val="single" w:color="auto" w:sz="6" w:space="0"/>
                    <w:right w:val="single" w:color="auto" w:sz="6" w:space="0"/>
                  </w:tcBorders>
                  <w:vAlign w:val="center"/>
                </w:tcPr>
                <w:p>
                  <w:pPr>
                    <w:contextualSpacing/>
                    <w:jc w:val="left"/>
                  </w:pPr>
                </w:p>
              </w:tc>
              <w:tc>
                <w:tcPr>
                  <w:tcW w:w="851" w:type="dxa"/>
                  <w:vMerge w:val="continue"/>
                  <w:tcBorders>
                    <w:top w:val="single" w:color="auto" w:sz="6" w:space="0"/>
                    <w:left w:val="single" w:color="auto" w:sz="6" w:space="0"/>
                    <w:bottom w:val="single" w:color="auto" w:sz="6" w:space="0"/>
                    <w:right w:val="single" w:color="auto" w:sz="6" w:space="0"/>
                  </w:tcBorders>
                  <w:vAlign w:val="center"/>
                </w:tcPr>
                <w:p>
                  <w:pPr>
                    <w:contextualSpacing/>
                    <w:jc w:val="center"/>
                  </w:pPr>
                </w:p>
              </w:tc>
              <w:tc>
                <w:tcPr>
                  <w:tcW w:w="3118" w:type="dxa"/>
                  <w:tcBorders>
                    <w:top w:val="single" w:color="auto" w:sz="6" w:space="0"/>
                    <w:left w:val="single" w:color="auto" w:sz="6" w:space="0"/>
                    <w:bottom w:val="single" w:color="auto" w:sz="6" w:space="0"/>
                    <w:right w:val="nil"/>
                  </w:tcBorders>
                  <w:vAlign w:val="center"/>
                </w:tcPr>
                <w:p>
                  <w:pPr>
                    <w:contextualSpacing/>
                    <w:jc w:val="center"/>
                    <w:rPr>
                      <w:szCs w:val="21"/>
                    </w:rPr>
                  </w:pPr>
                  <w:r>
                    <w:rPr>
                      <w:szCs w:val="21"/>
                    </w:rPr>
                    <w:t>19m高排气筒</w:t>
                  </w:r>
                </w:p>
                <w:p>
                  <w:pPr>
                    <w:contextualSpacing/>
                    <w:jc w:val="center"/>
                    <w:rPr>
                      <w:szCs w:val="21"/>
                    </w:rPr>
                  </w:pPr>
                  <w:r>
                    <w:rPr>
                      <w:rFonts w:hint="eastAsia"/>
                      <w:szCs w:val="21"/>
                    </w:rPr>
                    <w:t>内插法计算出</w:t>
                  </w:r>
                  <w:r>
                    <w:rPr>
                      <w:szCs w:val="21"/>
                    </w:rPr>
                    <w:t>排放速率4.02kg/h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90" w:hRule="atLeast"/>
              </w:trPr>
              <w:tc>
                <w:tcPr>
                  <w:tcW w:w="745" w:type="dxa"/>
                  <w:vMerge w:val="continue"/>
                  <w:tcBorders>
                    <w:top w:val="single" w:color="auto" w:sz="6" w:space="0"/>
                    <w:left w:val="nil"/>
                    <w:bottom w:val="single" w:color="auto" w:sz="6" w:space="0"/>
                    <w:right w:val="single" w:color="auto" w:sz="6" w:space="0"/>
                  </w:tcBorders>
                  <w:vAlign w:val="center"/>
                </w:tcPr>
                <w:p>
                  <w:pPr>
                    <w:contextualSpacing/>
                    <w:jc w:val="left"/>
                  </w:pPr>
                </w:p>
              </w:tc>
              <w:tc>
                <w:tcPr>
                  <w:tcW w:w="2090" w:type="dxa"/>
                  <w:vMerge w:val="continue"/>
                  <w:tcBorders>
                    <w:top w:val="single" w:color="auto" w:sz="6" w:space="0"/>
                    <w:left w:val="single" w:color="auto" w:sz="6" w:space="0"/>
                    <w:bottom w:val="single" w:color="auto" w:sz="6" w:space="0"/>
                    <w:right w:val="single" w:color="auto" w:sz="6" w:space="0"/>
                  </w:tcBorders>
                  <w:vAlign w:val="center"/>
                </w:tcPr>
                <w:p>
                  <w:pPr>
                    <w:contextualSpacing/>
                    <w:jc w:val="left"/>
                  </w:pPr>
                </w:p>
              </w:tc>
              <w:tc>
                <w:tcPr>
                  <w:tcW w:w="1134" w:type="dxa"/>
                  <w:vMerge w:val="continue"/>
                  <w:tcBorders>
                    <w:top w:val="single" w:color="auto" w:sz="6" w:space="0"/>
                    <w:left w:val="single" w:color="auto" w:sz="6" w:space="0"/>
                    <w:bottom w:val="single" w:color="auto" w:sz="6" w:space="0"/>
                    <w:right w:val="single" w:color="auto" w:sz="6" w:space="0"/>
                  </w:tcBorders>
                  <w:vAlign w:val="center"/>
                </w:tcPr>
                <w:p>
                  <w:pPr>
                    <w:contextualSpacing/>
                    <w:jc w:val="left"/>
                  </w:pPr>
                </w:p>
              </w:tc>
              <w:tc>
                <w:tcPr>
                  <w:tcW w:w="851" w:type="dxa"/>
                  <w:vMerge w:val="continue"/>
                  <w:tcBorders>
                    <w:top w:val="single" w:color="auto" w:sz="6" w:space="0"/>
                    <w:left w:val="single" w:color="auto" w:sz="6" w:space="0"/>
                    <w:bottom w:val="single" w:color="auto" w:sz="6" w:space="0"/>
                    <w:right w:val="single" w:color="auto" w:sz="6" w:space="0"/>
                  </w:tcBorders>
                  <w:vAlign w:val="center"/>
                </w:tcPr>
                <w:p>
                  <w:pPr>
                    <w:contextualSpacing/>
                    <w:jc w:val="center"/>
                  </w:pPr>
                </w:p>
              </w:tc>
              <w:tc>
                <w:tcPr>
                  <w:tcW w:w="3118" w:type="dxa"/>
                  <w:tcBorders>
                    <w:top w:val="single" w:color="auto" w:sz="6" w:space="0"/>
                    <w:left w:val="single" w:color="auto" w:sz="6" w:space="0"/>
                    <w:bottom w:val="single" w:color="auto" w:sz="6" w:space="0"/>
                    <w:right w:val="nil"/>
                  </w:tcBorders>
                  <w:vAlign w:val="center"/>
                </w:tcPr>
                <w:p>
                  <w:pPr>
                    <w:contextualSpacing/>
                    <w:jc w:val="center"/>
                    <w:rPr>
                      <w:szCs w:val="21"/>
                    </w:rPr>
                  </w:pPr>
                  <w:r>
                    <w:rPr>
                      <w:szCs w:val="21"/>
                    </w:rPr>
                    <w:t>21m高排气筒</w:t>
                  </w:r>
                </w:p>
                <w:p>
                  <w:pPr>
                    <w:contextualSpacing/>
                    <w:jc w:val="center"/>
                    <w:rPr>
                      <w:szCs w:val="21"/>
                    </w:rPr>
                  </w:pPr>
                  <w:r>
                    <w:rPr>
                      <w:rFonts w:hint="eastAsia"/>
                      <w:szCs w:val="21"/>
                    </w:rPr>
                    <w:t>内插法计算出</w:t>
                  </w:r>
                  <w:r>
                    <w:rPr>
                      <w:szCs w:val="21"/>
                    </w:rPr>
                    <w:t>排放速率7.61kg/h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592" w:hRule="atLeast"/>
              </w:trPr>
              <w:tc>
                <w:tcPr>
                  <w:tcW w:w="745" w:type="dxa"/>
                  <w:vMerge w:val="continue"/>
                  <w:tcBorders>
                    <w:top w:val="single" w:color="auto" w:sz="6" w:space="0"/>
                    <w:left w:val="nil"/>
                    <w:bottom w:val="single" w:color="auto" w:sz="6" w:space="0"/>
                    <w:right w:val="single" w:color="auto" w:sz="6" w:space="0"/>
                  </w:tcBorders>
                  <w:vAlign w:val="center"/>
                </w:tcPr>
                <w:p>
                  <w:pPr>
                    <w:contextualSpacing/>
                    <w:jc w:val="center"/>
                    <w:rPr>
                      <w:szCs w:val="21"/>
                    </w:rPr>
                  </w:pPr>
                </w:p>
              </w:tc>
              <w:tc>
                <w:tcPr>
                  <w:tcW w:w="2090" w:type="dxa"/>
                  <w:vMerge w:val="continue"/>
                  <w:tcBorders>
                    <w:top w:val="single" w:color="auto" w:sz="6" w:space="0"/>
                    <w:left w:val="single" w:color="auto" w:sz="6" w:space="0"/>
                    <w:bottom w:val="single" w:color="auto" w:sz="6" w:space="0"/>
                    <w:right w:val="single" w:color="auto" w:sz="6" w:space="0"/>
                  </w:tcBorders>
                  <w:vAlign w:val="center"/>
                </w:tcPr>
                <w:p>
                  <w:pPr>
                    <w:pStyle w:val="6"/>
                    <w:ind w:firstLine="0"/>
                    <w:contextualSpacing/>
                    <w:jc w:val="center"/>
                    <w:rPr>
                      <w:szCs w:val="21"/>
                    </w:rPr>
                  </w:pPr>
                </w:p>
              </w:tc>
              <w:tc>
                <w:tcPr>
                  <w:tcW w:w="1134" w:type="dxa"/>
                  <w:tcBorders>
                    <w:top w:val="single" w:color="auto" w:sz="6" w:space="0"/>
                    <w:left w:val="single" w:color="auto" w:sz="6" w:space="0"/>
                    <w:bottom w:val="single" w:color="auto" w:sz="6" w:space="0"/>
                    <w:right w:val="single" w:color="auto" w:sz="6" w:space="0"/>
                  </w:tcBorders>
                  <w:vAlign w:val="center"/>
                </w:tcPr>
                <w:p>
                  <w:pPr>
                    <w:pStyle w:val="6"/>
                    <w:ind w:firstLine="0"/>
                    <w:contextualSpacing/>
                    <w:jc w:val="center"/>
                    <w:rPr>
                      <w:szCs w:val="21"/>
                    </w:rPr>
                  </w:pPr>
                  <w:r>
                    <w:rPr>
                      <w:szCs w:val="21"/>
                    </w:rPr>
                    <w:t>表2无组织排放监控浓度</w:t>
                  </w:r>
                </w:p>
              </w:tc>
              <w:tc>
                <w:tcPr>
                  <w:tcW w:w="851" w:type="dxa"/>
                  <w:tcBorders>
                    <w:top w:val="single" w:color="auto" w:sz="6" w:space="0"/>
                    <w:left w:val="single" w:color="auto" w:sz="6" w:space="0"/>
                    <w:bottom w:val="single" w:color="auto" w:sz="6" w:space="0"/>
                    <w:right w:val="single" w:color="auto" w:sz="6" w:space="0"/>
                  </w:tcBorders>
                  <w:vAlign w:val="center"/>
                </w:tcPr>
                <w:p>
                  <w:pPr>
                    <w:contextualSpacing/>
                    <w:jc w:val="center"/>
                    <w:rPr>
                      <w:szCs w:val="21"/>
                    </w:rPr>
                  </w:pPr>
                  <w:r>
                    <w:rPr>
                      <w:szCs w:val="21"/>
                    </w:rPr>
                    <w:t>颗粒物</w:t>
                  </w:r>
                </w:p>
              </w:tc>
              <w:tc>
                <w:tcPr>
                  <w:tcW w:w="3118" w:type="dxa"/>
                  <w:tcBorders>
                    <w:top w:val="single" w:color="auto" w:sz="6" w:space="0"/>
                    <w:left w:val="single" w:color="auto" w:sz="6" w:space="0"/>
                    <w:bottom w:val="single" w:color="auto" w:sz="6" w:space="0"/>
                    <w:right w:val="nil"/>
                  </w:tcBorders>
                  <w:vAlign w:val="center"/>
                </w:tcPr>
                <w:p>
                  <w:pPr>
                    <w:contextualSpacing/>
                    <w:jc w:val="center"/>
                    <w:rPr>
                      <w:szCs w:val="21"/>
                    </w:rPr>
                  </w:pPr>
                  <w:r>
                    <w:rPr>
                      <w:szCs w:val="21"/>
                    </w:rPr>
                    <w:t>周界外浓度最高点：1.0mg/m</w:t>
                  </w:r>
                  <w:r>
                    <w:rPr>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592" w:hRule="atLeast"/>
              </w:trPr>
              <w:tc>
                <w:tcPr>
                  <w:tcW w:w="745" w:type="dxa"/>
                  <w:vMerge w:val="continue"/>
                  <w:tcBorders>
                    <w:top w:val="single" w:color="auto" w:sz="6" w:space="0"/>
                    <w:left w:val="nil"/>
                    <w:bottom w:val="single" w:color="auto" w:sz="6" w:space="0"/>
                    <w:right w:val="single" w:color="auto" w:sz="6" w:space="0"/>
                  </w:tcBorders>
                  <w:vAlign w:val="center"/>
                </w:tcPr>
                <w:p>
                  <w:pPr>
                    <w:contextualSpacing/>
                    <w:jc w:val="center"/>
                    <w:rPr>
                      <w:szCs w:val="21"/>
                    </w:rPr>
                  </w:pPr>
                </w:p>
              </w:tc>
              <w:tc>
                <w:tcPr>
                  <w:tcW w:w="7193" w:type="dxa"/>
                  <w:gridSpan w:val="4"/>
                  <w:tcBorders>
                    <w:top w:val="single" w:color="auto" w:sz="6" w:space="0"/>
                    <w:left w:val="single" w:color="auto" w:sz="6" w:space="0"/>
                    <w:bottom w:val="single" w:color="auto" w:sz="6" w:space="0"/>
                    <w:right w:val="nil"/>
                  </w:tcBorders>
                  <w:vAlign w:val="center"/>
                </w:tcPr>
                <w:p>
                  <w:pPr>
                    <w:contextualSpacing/>
                    <w:jc w:val="left"/>
                    <w:rPr>
                      <w:b/>
                      <w:szCs w:val="21"/>
                      <w:u w:val="single"/>
                    </w:rPr>
                  </w:pPr>
                  <w:r>
                    <w:rPr>
                      <w:rFonts w:hint="eastAsia"/>
                      <w:b/>
                      <w:szCs w:val="21"/>
                      <w:u w:val="single"/>
                    </w:rPr>
                    <w:t>《河南省重</w:t>
                  </w:r>
                  <w:r>
                    <w:rPr>
                      <w:b/>
                      <w:szCs w:val="21"/>
                      <w:u w:val="single"/>
                    </w:rPr>
                    <w:t>污染天气通用行业应急减排措施制定技术指南</w:t>
                  </w:r>
                  <w:r>
                    <w:rPr>
                      <w:rFonts w:hint="eastAsia"/>
                      <w:b/>
                      <w:szCs w:val="21"/>
                      <w:u w:val="single"/>
                    </w:rPr>
                    <w:t>（2021年修订稿）》附录2其他</w:t>
                  </w:r>
                  <w:r>
                    <w:rPr>
                      <w:b/>
                      <w:szCs w:val="21"/>
                      <w:u w:val="single"/>
                    </w:rPr>
                    <w:t>工序PM排放</w:t>
                  </w:r>
                  <w:r>
                    <w:rPr>
                      <w:rFonts w:hint="eastAsia"/>
                      <w:b/>
                      <w:szCs w:val="21"/>
                      <w:u w:val="single"/>
                    </w:rPr>
                    <w:t>浓度</w:t>
                  </w:r>
                  <w:r>
                    <w:rPr>
                      <w:b/>
                      <w:szCs w:val="21"/>
                      <w:u w:val="single"/>
                    </w:rPr>
                    <w:t>不高于</w:t>
                  </w:r>
                  <w:r>
                    <w:rPr>
                      <w:rFonts w:hint="eastAsia"/>
                      <w:b/>
                      <w:szCs w:val="21"/>
                      <w:u w:val="single"/>
                    </w:rPr>
                    <w:t>10</w:t>
                  </w:r>
                  <w:r>
                    <w:rPr>
                      <w:b/>
                      <w:szCs w:val="21"/>
                      <w:u w:val="single"/>
                    </w:rPr>
                    <w:t>mg/m</w:t>
                  </w:r>
                  <w:r>
                    <w:rPr>
                      <w:rFonts w:cs="宋体"/>
                      <w:b/>
                      <w:bCs/>
                      <w:kern w:val="0"/>
                      <w:szCs w:val="21"/>
                      <w:u w:val="single"/>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73" w:hRule="atLeast"/>
              </w:trPr>
              <w:tc>
                <w:tcPr>
                  <w:tcW w:w="745" w:type="dxa"/>
                  <w:vMerge w:val="restart"/>
                  <w:tcBorders>
                    <w:top w:val="single" w:color="auto" w:sz="6" w:space="0"/>
                    <w:left w:val="nil"/>
                    <w:bottom w:val="single" w:color="auto" w:sz="6" w:space="0"/>
                    <w:right w:val="single" w:color="auto" w:sz="6" w:space="0"/>
                  </w:tcBorders>
                  <w:vAlign w:val="center"/>
                </w:tcPr>
                <w:p>
                  <w:pPr>
                    <w:contextualSpacing/>
                    <w:jc w:val="center"/>
                    <w:rPr>
                      <w:szCs w:val="21"/>
                    </w:rPr>
                  </w:pPr>
                  <w:r>
                    <w:rPr>
                      <w:szCs w:val="21"/>
                    </w:rPr>
                    <w:t>噪声</w:t>
                  </w:r>
                </w:p>
              </w:tc>
              <w:tc>
                <w:tcPr>
                  <w:tcW w:w="2090" w:type="dxa"/>
                  <w:vMerge w:val="restart"/>
                  <w:tcBorders>
                    <w:top w:val="single" w:color="auto" w:sz="6" w:space="0"/>
                    <w:left w:val="single" w:color="auto" w:sz="6" w:space="0"/>
                    <w:bottom w:val="single" w:color="auto" w:sz="6" w:space="0"/>
                    <w:right w:val="single" w:color="auto" w:sz="6" w:space="0"/>
                  </w:tcBorders>
                  <w:vAlign w:val="center"/>
                </w:tcPr>
                <w:p>
                  <w:pPr>
                    <w:contextualSpacing/>
                    <w:jc w:val="center"/>
                    <w:rPr>
                      <w:szCs w:val="21"/>
                    </w:rPr>
                  </w:pPr>
                  <w:r>
                    <w:rPr>
                      <w:szCs w:val="21"/>
                    </w:rPr>
                    <w:t>《建筑施工场界环境噪声排放标准》</w:t>
                  </w:r>
                  <w:r>
                    <w:rPr>
                      <w:rFonts w:hint="eastAsia"/>
                      <w:szCs w:val="21"/>
                    </w:rPr>
                    <w:t>（</w:t>
                  </w:r>
                  <w:r>
                    <w:rPr>
                      <w:szCs w:val="21"/>
                    </w:rPr>
                    <w:t>GB12523-2011</w:t>
                  </w:r>
                  <w:r>
                    <w:rPr>
                      <w:rFonts w:hint="eastAsia"/>
                      <w:szCs w:val="21"/>
                    </w:rPr>
                    <w:t>）</w:t>
                  </w:r>
                </w:p>
              </w:tc>
              <w:tc>
                <w:tcPr>
                  <w:tcW w:w="1134" w:type="dxa"/>
                  <w:vMerge w:val="restart"/>
                  <w:tcBorders>
                    <w:top w:val="single" w:color="auto" w:sz="6" w:space="0"/>
                    <w:left w:val="single" w:color="auto" w:sz="6" w:space="0"/>
                    <w:bottom w:val="single" w:color="auto" w:sz="6" w:space="0"/>
                    <w:right w:val="single" w:color="auto" w:sz="6" w:space="0"/>
                  </w:tcBorders>
                  <w:vAlign w:val="center"/>
                </w:tcPr>
                <w:p>
                  <w:pPr>
                    <w:contextualSpacing/>
                    <w:jc w:val="center"/>
                    <w:rPr>
                      <w:szCs w:val="21"/>
                    </w:rPr>
                  </w:pPr>
                  <w:r>
                    <w:rPr>
                      <w:rFonts w:hint="eastAsia"/>
                      <w:szCs w:val="21"/>
                    </w:rPr>
                    <w:t>/</w:t>
                  </w:r>
                </w:p>
              </w:tc>
              <w:tc>
                <w:tcPr>
                  <w:tcW w:w="851" w:type="dxa"/>
                  <w:tcBorders>
                    <w:top w:val="single" w:color="auto" w:sz="6" w:space="0"/>
                    <w:left w:val="single" w:color="auto" w:sz="6" w:space="0"/>
                    <w:bottom w:val="single" w:color="auto" w:sz="6" w:space="0"/>
                    <w:right w:val="single" w:color="auto" w:sz="6" w:space="0"/>
                  </w:tcBorders>
                  <w:vAlign w:val="center"/>
                </w:tcPr>
                <w:p>
                  <w:pPr>
                    <w:contextualSpacing/>
                    <w:jc w:val="center"/>
                    <w:rPr>
                      <w:szCs w:val="21"/>
                    </w:rPr>
                  </w:pPr>
                  <w:r>
                    <w:rPr>
                      <w:szCs w:val="21"/>
                    </w:rPr>
                    <w:t>昼间</w:t>
                  </w:r>
                </w:p>
              </w:tc>
              <w:tc>
                <w:tcPr>
                  <w:tcW w:w="3118" w:type="dxa"/>
                  <w:tcBorders>
                    <w:top w:val="single" w:color="auto" w:sz="6" w:space="0"/>
                    <w:left w:val="single" w:color="auto" w:sz="6" w:space="0"/>
                    <w:bottom w:val="single" w:color="auto" w:sz="6" w:space="0"/>
                    <w:right w:val="nil"/>
                  </w:tcBorders>
                  <w:vAlign w:val="center"/>
                </w:tcPr>
                <w:p>
                  <w:pPr>
                    <w:contextualSpacing/>
                    <w:jc w:val="center"/>
                    <w:rPr>
                      <w:szCs w:val="21"/>
                    </w:rPr>
                  </w:pPr>
                  <w:r>
                    <w:rPr>
                      <w:szCs w:val="21"/>
                    </w:rPr>
                    <w:t>70dB(A)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73" w:hRule="atLeast"/>
              </w:trPr>
              <w:tc>
                <w:tcPr>
                  <w:tcW w:w="745" w:type="dxa"/>
                  <w:vMerge w:val="continue"/>
                  <w:tcBorders>
                    <w:top w:val="single" w:color="auto" w:sz="6" w:space="0"/>
                    <w:left w:val="nil"/>
                    <w:bottom w:val="single" w:color="auto" w:sz="6" w:space="0"/>
                    <w:right w:val="single" w:color="auto" w:sz="6" w:space="0"/>
                  </w:tcBorders>
                  <w:vAlign w:val="center"/>
                </w:tcPr>
                <w:p>
                  <w:pPr>
                    <w:contextualSpacing/>
                    <w:jc w:val="center"/>
                    <w:rPr>
                      <w:szCs w:val="21"/>
                    </w:rPr>
                  </w:pPr>
                </w:p>
              </w:tc>
              <w:tc>
                <w:tcPr>
                  <w:tcW w:w="2090" w:type="dxa"/>
                  <w:vMerge w:val="continue"/>
                  <w:tcBorders>
                    <w:top w:val="single" w:color="auto" w:sz="6" w:space="0"/>
                    <w:left w:val="single" w:color="auto" w:sz="6" w:space="0"/>
                    <w:bottom w:val="single" w:color="auto" w:sz="6" w:space="0"/>
                    <w:right w:val="single" w:color="auto" w:sz="6" w:space="0"/>
                  </w:tcBorders>
                  <w:vAlign w:val="center"/>
                </w:tcPr>
                <w:p>
                  <w:pPr>
                    <w:contextualSpacing/>
                    <w:jc w:val="center"/>
                    <w:rPr>
                      <w:szCs w:val="21"/>
                    </w:rPr>
                  </w:pPr>
                </w:p>
              </w:tc>
              <w:tc>
                <w:tcPr>
                  <w:tcW w:w="1134" w:type="dxa"/>
                  <w:vMerge w:val="continue"/>
                  <w:tcBorders>
                    <w:top w:val="single" w:color="auto" w:sz="6" w:space="0"/>
                    <w:left w:val="single" w:color="auto" w:sz="6" w:space="0"/>
                    <w:bottom w:val="single" w:color="auto" w:sz="6" w:space="0"/>
                    <w:right w:val="single" w:color="auto" w:sz="6" w:space="0"/>
                  </w:tcBorders>
                  <w:vAlign w:val="center"/>
                </w:tcPr>
                <w:p>
                  <w:pPr>
                    <w:contextualSpacing/>
                    <w:jc w:val="center"/>
                    <w:rPr>
                      <w:szCs w:val="21"/>
                    </w:rPr>
                  </w:pPr>
                </w:p>
              </w:tc>
              <w:tc>
                <w:tcPr>
                  <w:tcW w:w="851" w:type="dxa"/>
                  <w:tcBorders>
                    <w:top w:val="single" w:color="auto" w:sz="6" w:space="0"/>
                    <w:left w:val="single" w:color="auto" w:sz="6" w:space="0"/>
                    <w:bottom w:val="single" w:color="auto" w:sz="6" w:space="0"/>
                    <w:right w:val="single" w:color="auto" w:sz="6" w:space="0"/>
                  </w:tcBorders>
                  <w:vAlign w:val="center"/>
                </w:tcPr>
                <w:p>
                  <w:pPr>
                    <w:contextualSpacing/>
                    <w:jc w:val="center"/>
                    <w:rPr>
                      <w:szCs w:val="21"/>
                    </w:rPr>
                  </w:pPr>
                  <w:r>
                    <w:rPr>
                      <w:szCs w:val="21"/>
                    </w:rPr>
                    <w:t>夜间</w:t>
                  </w:r>
                </w:p>
              </w:tc>
              <w:tc>
                <w:tcPr>
                  <w:tcW w:w="3118" w:type="dxa"/>
                  <w:tcBorders>
                    <w:top w:val="single" w:color="auto" w:sz="6" w:space="0"/>
                    <w:left w:val="single" w:color="auto" w:sz="6" w:space="0"/>
                    <w:bottom w:val="single" w:color="auto" w:sz="6" w:space="0"/>
                    <w:right w:val="nil"/>
                  </w:tcBorders>
                  <w:vAlign w:val="center"/>
                </w:tcPr>
                <w:p>
                  <w:pPr>
                    <w:contextualSpacing/>
                    <w:jc w:val="center"/>
                    <w:rPr>
                      <w:szCs w:val="21"/>
                    </w:rPr>
                  </w:pPr>
                  <w:r>
                    <w:rPr>
                      <w:szCs w:val="21"/>
                    </w:rPr>
                    <w:t>55dB(A)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73" w:hRule="atLeast"/>
              </w:trPr>
              <w:tc>
                <w:tcPr>
                  <w:tcW w:w="745" w:type="dxa"/>
                  <w:vMerge w:val="continue"/>
                  <w:tcBorders>
                    <w:top w:val="single" w:color="auto" w:sz="6" w:space="0"/>
                    <w:left w:val="nil"/>
                    <w:bottom w:val="single" w:color="auto" w:sz="6" w:space="0"/>
                    <w:right w:val="single" w:color="auto" w:sz="6" w:space="0"/>
                  </w:tcBorders>
                  <w:vAlign w:val="center"/>
                </w:tcPr>
                <w:p>
                  <w:pPr>
                    <w:contextualSpacing/>
                    <w:jc w:val="center"/>
                    <w:rPr>
                      <w:szCs w:val="21"/>
                    </w:rPr>
                  </w:pPr>
                </w:p>
              </w:tc>
              <w:tc>
                <w:tcPr>
                  <w:tcW w:w="2090" w:type="dxa"/>
                  <w:vMerge w:val="restart"/>
                  <w:tcBorders>
                    <w:top w:val="single" w:color="auto" w:sz="6" w:space="0"/>
                    <w:left w:val="single" w:color="auto" w:sz="6" w:space="0"/>
                    <w:bottom w:val="single" w:color="auto" w:sz="6" w:space="0"/>
                    <w:right w:val="single" w:color="auto" w:sz="6" w:space="0"/>
                  </w:tcBorders>
                  <w:vAlign w:val="center"/>
                </w:tcPr>
                <w:p>
                  <w:pPr>
                    <w:contextualSpacing/>
                    <w:jc w:val="center"/>
                    <w:rPr>
                      <w:szCs w:val="21"/>
                    </w:rPr>
                  </w:pPr>
                  <w:r>
                    <w:rPr>
                      <w:szCs w:val="21"/>
                    </w:rPr>
                    <w:t>《工业企业厂界环境噪声排放标准》</w:t>
                  </w:r>
                  <w:r>
                    <w:rPr>
                      <w:rFonts w:hint="eastAsia"/>
                      <w:szCs w:val="21"/>
                    </w:rPr>
                    <w:t>（</w:t>
                  </w:r>
                  <w:r>
                    <w:rPr>
                      <w:szCs w:val="21"/>
                    </w:rPr>
                    <w:t>GB12348-2008</w:t>
                  </w:r>
                  <w:r>
                    <w:rPr>
                      <w:rFonts w:hint="eastAsia"/>
                      <w:szCs w:val="21"/>
                    </w:rPr>
                    <w:t>）</w:t>
                  </w:r>
                </w:p>
              </w:tc>
              <w:tc>
                <w:tcPr>
                  <w:tcW w:w="1134" w:type="dxa"/>
                  <w:vMerge w:val="restart"/>
                  <w:tcBorders>
                    <w:top w:val="single" w:color="auto" w:sz="6" w:space="0"/>
                    <w:left w:val="single" w:color="auto" w:sz="6" w:space="0"/>
                    <w:bottom w:val="single" w:color="auto" w:sz="6" w:space="0"/>
                    <w:right w:val="single" w:color="auto" w:sz="6" w:space="0"/>
                  </w:tcBorders>
                  <w:vAlign w:val="center"/>
                </w:tcPr>
                <w:p>
                  <w:pPr>
                    <w:contextualSpacing/>
                    <w:jc w:val="center"/>
                    <w:rPr>
                      <w:szCs w:val="21"/>
                    </w:rPr>
                  </w:pPr>
                  <w:r>
                    <w:rPr>
                      <w:szCs w:val="21"/>
                    </w:rPr>
                    <w:t>2类</w:t>
                  </w:r>
                </w:p>
              </w:tc>
              <w:tc>
                <w:tcPr>
                  <w:tcW w:w="851" w:type="dxa"/>
                  <w:tcBorders>
                    <w:top w:val="single" w:color="auto" w:sz="6" w:space="0"/>
                    <w:left w:val="single" w:color="auto" w:sz="6" w:space="0"/>
                    <w:bottom w:val="single" w:color="auto" w:sz="6" w:space="0"/>
                    <w:right w:val="single" w:color="auto" w:sz="6" w:space="0"/>
                  </w:tcBorders>
                  <w:vAlign w:val="center"/>
                </w:tcPr>
                <w:p>
                  <w:pPr>
                    <w:contextualSpacing/>
                    <w:jc w:val="center"/>
                    <w:rPr>
                      <w:szCs w:val="21"/>
                    </w:rPr>
                  </w:pPr>
                  <w:r>
                    <w:rPr>
                      <w:szCs w:val="21"/>
                    </w:rPr>
                    <w:t>昼间</w:t>
                  </w:r>
                </w:p>
              </w:tc>
              <w:tc>
                <w:tcPr>
                  <w:tcW w:w="3118" w:type="dxa"/>
                  <w:tcBorders>
                    <w:top w:val="single" w:color="auto" w:sz="6" w:space="0"/>
                    <w:left w:val="single" w:color="auto" w:sz="6" w:space="0"/>
                    <w:bottom w:val="single" w:color="auto" w:sz="6" w:space="0"/>
                    <w:right w:val="nil"/>
                  </w:tcBorders>
                  <w:vAlign w:val="center"/>
                </w:tcPr>
                <w:p>
                  <w:pPr>
                    <w:contextualSpacing/>
                    <w:jc w:val="center"/>
                    <w:rPr>
                      <w:szCs w:val="21"/>
                    </w:rPr>
                  </w:pPr>
                  <w:r>
                    <w:rPr>
                      <w:szCs w:val="21"/>
                    </w:rPr>
                    <w:t>60dB(A)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373" w:hRule="atLeast"/>
              </w:trPr>
              <w:tc>
                <w:tcPr>
                  <w:tcW w:w="745" w:type="dxa"/>
                  <w:vMerge w:val="continue"/>
                  <w:tcBorders>
                    <w:top w:val="single" w:color="auto" w:sz="6" w:space="0"/>
                    <w:left w:val="nil"/>
                    <w:bottom w:val="single" w:color="auto" w:sz="6" w:space="0"/>
                    <w:right w:val="single" w:color="auto" w:sz="6" w:space="0"/>
                  </w:tcBorders>
                  <w:vAlign w:val="center"/>
                </w:tcPr>
                <w:p>
                  <w:pPr>
                    <w:contextualSpacing/>
                    <w:jc w:val="center"/>
                    <w:rPr>
                      <w:szCs w:val="21"/>
                    </w:rPr>
                  </w:pPr>
                </w:p>
              </w:tc>
              <w:tc>
                <w:tcPr>
                  <w:tcW w:w="2090" w:type="dxa"/>
                  <w:vMerge w:val="continue"/>
                  <w:tcBorders>
                    <w:top w:val="single" w:color="auto" w:sz="6" w:space="0"/>
                    <w:left w:val="single" w:color="auto" w:sz="6" w:space="0"/>
                    <w:bottom w:val="single" w:color="auto" w:sz="6" w:space="0"/>
                    <w:right w:val="single" w:color="auto" w:sz="6" w:space="0"/>
                  </w:tcBorders>
                  <w:vAlign w:val="center"/>
                </w:tcPr>
                <w:p>
                  <w:pPr>
                    <w:contextualSpacing/>
                    <w:jc w:val="center"/>
                    <w:rPr>
                      <w:szCs w:val="21"/>
                    </w:rPr>
                  </w:pPr>
                </w:p>
              </w:tc>
              <w:tc>
                <w:tcPr>
                  <w:tcW w:w="1134" w:type="dxa"/>
                  <w:vMerge w:val="continue"/>
                  <w:tcBorders>
                    <w:top w:val="single" w:color="auto" w:sz="6" w:space="0"/>
                    <w:left w:val="single" w:color="auto" w:sz="6" w:space="0"/>
                    <w:bottom w:val="single" w:color="auto" w:sz="6" w:space="0"/>
                    <w:right w:val="single" w:color="auto" w:sz="6" w:space="0"/>
                  </w:tcBorders>
                  <w:vAlign w:val="center"/>
                </w:tcPr>
                <w:p>
                  <w:pPr>
                    <w:contextualSpacing/>
                    <w:jc w:val="center"/>
                    <w:rPr>
                      <w:szCs w:val="21"/>
                    </w:rPr>
                  </w:pPr>
                </w:p>
              </w:tc>
              <w:tc>
                <w:tcPr>
                  <w:tcW w:w="851" w:type="dxa"/>
                  <w:tcBorders>
                    <w:top w:val="single" w:color="auto" w:sz="6" w:space="0"/>
                    <w:left w:val="single" w:color="auto" w:sz="6" w:space="0"/>
                    <w:bottom w:val="single" w:color="auto" w:sz="6" w:space="0"/>
                    <w:right w:val="single" w:color="auto" w:sz="6" w:space="0"/>
                  </w:tcBorders>
                  <w:vAlign w:val="center"/>
                </w:tcPr>
                <w:p>
                  <w:pPr>
                    <w:contextualSpacing/>
                    <w:jc w:val="center"/>
                    <w:rPr>
                      <w:szCs w:val="21"/>
                    </w:rPr>
                  </w:pPr>
                  <w:r>
                    <w:rPr>
                      <w:szCs w:val="21"/>
                    </w:rPr>
                    <w:t>夜间</w:t>
                  </w:r>
                </w:p>
              </w:tc>
              <w:tc>
                <w:tcPr>
                  <w:tcW w:w="3118" w:type="dxa"/>
                  <w:tcBorders>
                    <w:top w:val="single" w:color="auto" w:sz="6" w:space="0"/>
                    <w:left w:val="single" w:color="auto" w:sz="6" w:space="0"/>
                    <w:bottom w:val="single" w:color="auto" w:sz="6" w:space="0"/>
                    <w:right w:val="nil"/>
                  </w:tcBorders>
                  <w:vAlign w:val="center"/>
                </w:tcPr>
                <w:p>
                  <w:pPr>
                    <w:contextualSpacing/>
                    <w:jc w:val="center"/>
                    <w:rPr>
                      <w:szCs w:val="21"/>
                    </w:rPr>
                  </w:pPr>
                  <w:r>
                    <w:rPr>
                      <w:szCs w:val="21"/>
                    </w:rPr>
                    <w:t>50dB(A)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463" w:hRule="atLeast"/>
              </w:trPr>
              <w:tc>
                <w:tcPr>
                  <w:tcW w:w="745" w:type="dxa"/>
                  <w:vMerge w:val="restart"/>
                  <w:tcBorders>
                    <w:top w:val="single" w:color="auto" w:sz="6" w:space="0"/>
                    <w:left w:val="nil"/>
                    <w:bottom w:val="single" w:color="auto" w:sz="6" w:space="0"/>
                    <w:right w:val="single" w:color="auto" w:sz="6" w:space="0"/>
                  </w:tcBorders>
                  <w:vAlign w:val="center"/>
                </w:tcPr>
                <w:p>
                  <w:pPr>
                    <w:contextualSpacing/>
                    <w:jc w:val="center"/>
                    <w:rPr>
                      <w:szCs w:val="21"/>
                    </w:rPr>
                  </w:pPr>
                  <w:r>
                    <w:rPr>
                      <w:szCs w:val="21"/>
                    </w:rPr>
                    <w:t>固废</w:t>
                  </w:r>
                </w:p>
              </w:tc>
              <w:tc>
                <w:tcPr>
                  <w:tcW w:w="7193" w:type="dxa"/>
                  <w:gridSpan w:val="4"/>
                  <w:tcBorders>
                    <w:top w:val="single" w:color="auto" w:sz="6" w:space="0"/>
                    <w:left w:val="single" w:color="auto" w:sz="6" w:space="0"/>
                    <w:bottom w:val="single" w:color="auto" w:sz="6" w:space="0"/>
                    <w:right w:val="nil"/>
                  </w:tcBorders>
                  <w:vAlign w:val="center"/>
                </w:tcPr>
                <w:p>
                  <w:pPr>
                    <w:rPr>
                      <w:kern w:val="0"/>
                      <w:szCs w:val="21"/>
                    </w:rPr>
                  </w:pPr>
                  <w:r>
                    <w:rPr>
                      <w:szCs w:val="21"/>
                    </w:rPr>
                    <w:t>一般工业固体废物</w:t>
                  </w:r>
                  <w:r>
                    <w:rPr>
                      <w:rFonts w:hint="eastAsia"/>
                      <w:szCs w:val="21"/>
                    </w:rPr>
                    <w:t>：</w:t>
                  </w:r>
                  <w:r>
                    <w:rPr>
                      <w:kern w:val="0"/>
                      <w:szCs w:val="21"/>
                    </w:rPr>
                    <w:t>《一般工业固体废物贮存和填埋污染控制标准</w:t>
                  </w:r>
                  <w:r>
                    <w:rPr>
                      <w:rFonts w:hint="eastAsia"/>
                      <w:kern w:val="0"/>
                      <w:szCs w:val="21"/>
                    </w:rPr>
                    <w:t>》</w:t>
                  </w:r>
                  <w:r>
                    <w:rPr>
                      <w:kern w:val="0"/>
                      <w:szCs w:val="21"/>
                    </w:rPr>
                    <w:t>（GB18599-2020）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108" w:type="dxa"/>
                  <w:bottom w:w="28" w:type="dxa"/>
                  <w:right w:w="108" w:type="dxa"/>
                </w:tblCellMar>
              </w:tblPrEx>
              <w:trPr>
                <w:trHeight w:val="73" w:hRule="atLeast"/>
              </w:trPr>
              <w:tc>
                <w:tcPr>
                  <w:tcW w:w="745" w:type="dxa"/>
                  <w:vMerge w:val="continue"/>
                  <w:tcBorders>
                    <w:top w:val="single" w:color="auto" w:sz="6" w:space="0"/>
                    <w:left w:val="nil"/>
                    <w:bottom w:val="single" w:color="auto" w:sz="12" w:space="0"/>
                    <w:right w:val="single" w:color="auto" w:sz="6" w:space="0"/>
                  </w:tcBorders>
                  <w:vAlign w:val="center"/>
                </w:tcPr>
                <w:p>
                  <w:pPr>
                    <w:contextualSpacing/>
                    <w:jc w:val="center"/>
                    <w:rPr>
                      <w:szCs w:val="21"/>
                    </w:rPr>
                  </w:pPr>
                </w:p>
              </w:tc>
              <w:tc>
                <w:tcPr>
                  <w:tcW w:w="7193" w:type="dxa"/>
                  <w:gridSpan w:val="4"/>
                  <w:tcBorders>
                    <w:top w:val="single" w:color="auto" w:sz="6" w:space="0"/>
                    <w:left w:val="single" w:color="auto" w:sz="6" w:space="0"/>
                    <w:bottom w:val="single" w:color="auto" w:sz="12" w:space="0"/>
                    <w:right w:val="nil"/>
                  </w:tcBorders>
                  <w:vAlign w:val="center"/>
                </w:tcPr>
                <w:p>
                  <w:pPr>
                    <w:pStyle w:val="6"/>
                    <w:ind w:firstLine="0"/>
                    <w:contextualSpacing/>
                    <w:jc w:val="center"/>
                    <w:rPr>
                      <w:szCs w:val="21"/>
                    </w:rPr>
                  </w:pPr>
                  <w:r>
                    <w:rPr>
                      <w:szCs w:val="21"/>
                    </w:rPr>
                    <w:t>《危险废物贮存污染控制标准》</w:t>
                  </w:r>
                  <w:r>
                    <w:rPr>
                      <w:rFonts w:hint="eastAsia"/>
                      <w:szCs w:val="21"/>
                    </w:rPr>
                    <w:t>（</w:t>
                  </w:r>
                  <w:r>
                    <w:rPr>
                      <w:szCs w:val="21"/>
                    </w:rPr>
                    <w:t>GB18597-2001</w:t>
                  </w:r>
                  <w:r>
                    <w:rPr>
                      <w:rFonts w:hint="eastAsia"/>
                      <w:szCs w:val="21"/>
                    </w:rPr>
                    <w:t>）</w:t>
                  </w:r>
                  <w:r>
                    <w:rPr>
                      <w:szCs w:val="21"/>
                    </w:rPr>
                    <w:t>及</w:t>
                  </w:r>
                  <w:r>
                    <w:rPr>
                      <w:rFonts w:hint="eastAsia"/>
                      <w:szCs w:val="21"/>
                    </w:rPr>
                    <w:t>2013年</w:t>
                  </w:r>
                  <w:r>
                    <w:rPr>
                      <w:szCs w:val="21"/>
                    </w:rPr>
                    <w:t>修改单</w:t>
                  </w:r>
                </w:p>
              </w:tc>
            </w:tr>
          </w:tbl>
          <w:p>
            <w:pPr>
              <w:snapToGrid w:val="0"/>
              <w:spacing w:line="480" w:lineRule="exact"/>
              <w:ind w:firstLine="422" w:firstLineChars="200"/>
              <w:jc w:val="left"/>
              <w:rPr>
                <w:b/>
                <w:bCs/>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27" w:hRule="atLeast"/>
          <w:jc w:val="center"/>
        </w:trPr>
        <w:tc>
          <w:tcPr>
            <w:tcW w:w="800" w:type="dxa"/>
            <w:vAlign w:val="center"/>
          </w:tcPr>
          <w:p>
            <w:pPr>
              <w:adjustRightInd w:val="0"/>
              <w:snapToGrid w:val="0"/>
              <w:jc w:val="center"/>
              <w:rPr>
                <w:rFonts w:cs="宋体"/>
                <w:kern w:val="0"/>
                <w:sz w:val="24"/>
              </w:rPr>
            </w:pPr>
            <w:r>
              <w:rPr>
                <w:rFonts w:hint="eastAsia" w:cs="宋体"/>
                <w:kern w:val="0"/>
                <w:sz w:val="24"/>
              </w:rPr>
              <w:t>总量</w:t>
            </w:r>
          </w:p>
          <w:p>
            <w:pPr>
              <w:adjustRightInd w:val="0"/>
              <w:snapToGrid w:val="0"/>
              <w:jc w:val="center"/>
              <w:rPr>
                <w:rFonts w:cs="宋体"/>
                <w:kern w:val="0"/>
                <w:sz w:val="24"/>
              </w:rPr>
            </w:pPr>
            <w:r>
              <w:rPr>
                <w:rFonts w:hint="eastAsia" w:cs="宋体"/>
                <w:kern w:val="0"/>
                <w:sz w:val="24"/>
              </w:rPr>
              <w:t>控制</w:t>
            </w:r>
          </w:p>
          <w:p>
            <w:pPr>
              <w:adjustRightInd w:val="0"/>
              <w:snapToGrid w:val="0"/>
              <w:jc w:val="center"/>
              <w:rPr>
                <w:rFonts w:cs="宋体"/>
                <w:kern w:val="0"/>
                <w:sz w:val="24"/>
              </w:rPr>
            </w:pPr>
            <w:r>
              <w:rPr>
                <w:rFonts w:hint="eastAsia" w:cs="宋体"/>
                <w:kern w:val="0"/>
                <w:sz w:val="24"/>
              </w:rPr>
              <w:t>指标</w:t>
            </w:r>
          </w:p>
        </w:tc>
        <w:tc>
          <w:tcPr>
            <w:tcW w:w="8190" w:type="dxa"/>
            <w:vAlign w:val="center"/>
          </w:tcPr>
          <w:p>
            <w:pPr>
              <w:spacing w:line="480" w:lineRule="exact"/>
              <w:ind w:firstLine="480" w:firstLineChars="200"/>
              <w:jc w:val="left"/>
              <w:rPr>
                <w:sz w:val="24"/>
              </w:rPr>
            </w:pPr>
            <w:r>
              <w:rPr>
                <w:sz w:val="24"/>
              </w:rPr>
              <w:t>本项目废水主要为</w:t>
            </w:r>
            <w:r>
              <w:rPr>
                <w:rFonts w:hint="eastAsia"/>
                <w:sz w:val="24"/>
              </w:rPr>
              <w:t>洗车废水</w:t>
            </w:r>
            <w:r>
              <w:rPr>
                <w:sz w:val="24"/>
              </w:rPr>
              <w:t>和员工生活污水</w:t>
            </w:r>
            <w:r>
              <w:rPr>
                <w:rFonts w:hint="eastAsia"/>
                <w:sz w:val="24"/>
              </w:rPr>
              <w:t>。洗车废水经</w:t>
            </w:r>
            <w:r>
              <w:rPr>
                <w:sz w:val="24"/>
              </w:rPr>
              <w:t>沉淀后</w:t>
            </w:r>
            <w:r>
              <w:rPr>
                <w:rFonts w:hint="eastAsia"/>
                <w:sz w:val="24"/>
              </w:rPr>
              <w:t>回用不外排</w:t>
            </w:r>
            <w:r>
              <w:rPr>
                <w:sz w:val="24"/>
              </w:rPr>
              <w:t>；员工生活污水经化粪池收集后，定期</w:t>
            </w:r>
            <w:r>
              <w:rPr>
                <w:rFonts w:hint="eastAsia"/>
                <w:sz w:val="24"/>
              </w:rPr>
              <w:t>清运</w:t>
            </w:r>
            <w:r>
              <w:rPr>
                <w:sz w:val="24"/>
              </w:rPr>
              <w:t>，用作周边农田肥田，不外排。本项目不涉及SO</w:t>
            </w:r>
            <w:r>
              <w:rPr>
                <w:sz w:val="24"/>
                <w:vertAlign w:val="subscript"/>
              </w:rPr>
              <w:t>2</w:t>
            </w:r>
            <w:r>
              <w:rPr>
                <w:sz w:val="24"/>
              </w:rPr>
              <w:t>和NO</w:t>
            </w:r>
            <w:r>
              <w:rPr>
                <w:sz w:val="24"/>
                <w:vertAlign w:val="subscript"/>
              </w:rPr>
              <w:t>x</w:t>
            </w:r>
            <w:r>
              <w:rPr>
                <w:sz w:val="24"/>
              </w:rPr>
              <w:t>排放。</w:t>
            </w:r>
          </w:p>
          <w:p>
            <w:pPr>
              <w:spacing w:line="480" w:lineRule="exact"/>
              <w:ind w:firstLine="480" w:firstLineChars="200"/>
              <w:contextualSpacing/>
              <w:jc w:val="left"/>
              <w:rPr>
                <w:sz w:val="24"/>
              </w:rPr>
            </w:pPr>
            <w:r>
              <w:rPr>
                <w:sz w:val="24"/>
              </w:rPr>
              <w:t>综上所述，本项目不需设总量控制指标。</w:t>
            </w:r>
          </w:p>
        </w:tc>
      </w:tr>
    </w:tbl>
    <w:p>
      <w:pPr>
        <w:pStyle w:val="18"/>
        <w:jc w:val="center"/>
        <w:outlineLvl w:val="0"/>
        <w:rPr>
          <w:rFonts w:ascii="Times New Roman" w:hAnsi="Times New Roman"/>
          <w:b/>
          <w:bCs/>
          <w:snapToGrid w:val="0"/>
          <w:sz w:val="30"/>
          <w:szCs w:val="30"/>
        </w:rPr>
      </w:pPr>
      <w:r>
        <w:rPr>
          <w:rFonts w:ascii="Times New Roman" w:hAnsi="Times New Roman"/>
          <w:snapToGrid w:val="0"/>
          <w:sz w:val="36"/>
          <w:szCs w:val="36"/>
        </w:rPr>
        <w:br w:type="page"/>
      </w:r>
      <w:r>
        <w:rPr>
          <w:rFonts w:hint="eastAsia" w:ascii="Times New Roman" w:hAnsi="Times New Roman"/>
          <w:b/>
          <w:bCs/>
          <w:snapToGrid w:val="0"/>
          <w:sz w:val="30"/>
          <w:szCs w:val="30"/>
        </w:rPr>
        <w:t>四、主要环境影响和保护措施</w:t>
      </w:r>
    </w:p>
    <w:tbl>
      <w:tblPr>
        <w:tblStyle w:val="22"/>
        <w:tblW w:w="890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46"/>
        <w:gridCol w:w="816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35" w:hRule="atLeast"/>
          <w:jc w:val="center"/>
        </w:trPr>
        <w:tc>
          <w:tcPr>
            <w:tcW w:w="746" w:type="dxa"/>
            <w:tcMar>
              <w:left w:w="28" w:type="dxa"/>
              <w:right w:w="28" w:type="dxa"/>
            </w:tcMar>
            <w:vAlign w:val="center"/>
          </w:tcPr>
          <w:p>
            <w:pPr>
              <w:pStyle w:val="18"/>
              <w:adjustRightInd w:val="0"/>
              <w:snapToGrid w:val="0"/>
              <w:spacing w:before="0" w:beforeAutospacing="0" w:after="0" w:afterAutospacing="0"/>
              <w:jc w:val="center"/>
              <w:rPr>
                <w:rFonts w:ascii="Times New Roman" w:hAnsi="Times New Roman" w:cs="宋体"/>
                <w:kern w:val="2"/>
                <w:szCs w:val="24"/>
              </w:rPr>
            </w:pPr>
          </w:p>
          <w:p>
            <w:pPr>
              <w:pStyle w:val="18"/>
              <w:adjustRightInd w:val="0"/>
              <w:snapToGrid w:val="0"/>
              <w:spacing w:before="0" w:beforeAutospacing="0" w:after="0" w:afterAutospacing="0"/>
              <w:jc w:val="center"/>
              <w:rPr>
                <w:rFonts w:ascii="Times New Roman" w:hAnsi="Times New Roman" w:cs="宋体"/>
                <w:kern w:val="2"/>
                <w:szCs w:val="24"/>
              </w:rPr>
            </w:pPr>
          </w:p>
          <w:p>
            <w:pPr>
              <w:pStyle w:val="18"/>
              <w:adjustRightInd w:val="0"/>
              <w:snapToGrid w:val="0"/>
              <w:spacing w:before="0" w:beforeAutospacing="0" w:after="0" w:afterAutospacing="0"/>
              <w:jc w:val="center"/>
              <w:rPr>
                <w:rFonts w:ascii="Times New Roman" w:hAnsi="Times New Roman" w:cs="宋体"/>
                <w:kern w:val="2"/>
                <w:szCs w:val="24"/>
              </w:rPr>
            </w:pPr>
          </w:p>
          <w:p>
            <w:pPr>
              <w:pStyle w:val="18"/>
              <w:adjustRightInd w:val="0"/>
              <w:snapToGrid w:val="0"/>
              <w:spacing w:before="0" w:beforeAutospacing="0" w:after="0" w:afterAutospacing="0"/>
              <w:jc w:val="center"/>
              <w:rPr>
                <w:rFonts w:ascii="Times New Roman" w:hAnsi="Times New Roman" w:cs="宋体"/>
                <w:kern w:val="2"/>
                <w:szCs w:val="24"/>
              </w:rPr>
            </w:pPr>
          </w:p>
          <w:p>
            <w:pPr>
              <w:pStyle w:val="18"/>
              <w:adjustRightInd w:val="0"/>
              <w:snapToGrid w:val="0"/>
              <w:spacing w:before="0" w:beforeAutospacing="0" w:after="0" w:afterAutospacing="0"/>
              <w:jc w:val="center"/>
              <w:rPr>
                <w:rFonts w:ascii="Times New Roman" w:hAnsi="Times New Roman" w:cs="宋体"/>
                <w:kern w:val="2"/>
                <w:szCs w:val="24"/>
              </w:rPr>
            </w:pPr>
          </w:p>
          <w:p>
            <w:pPr>
              <w:pStyle w:val="18"/>
              <w:adjustRightInd w:val="0"/>
              <w:snapToGrid w:val="0"/>
              <w:spacing w:before="0" w:beforeAutospacing="0" w:after="0" w:afterAutospacing="0"/>
              <w:jc w:val="center"/>
              <w:rPr>
                <w:rFonts w:ascii="Times New Roman" w:hAnsi="Times New Roman" w:cs="宋体"/>
                <w:kern w:val="2"/>
                <w:szCs w:val="24"/>
              </w:rPr>
            </w:pPr>
          </w:p>
          <w:p>
            <w:pPr>
              <w:pStyle w:val="18"/>
              <w:adjustRightInd w:val="0"/>
              <w:snapToGrid w:val="0"/>
              <w:spacing w:before="0" w:beforeAutospacing="0" w:after="0" w:afterAutospacing="0"/>
              <w:jc w:val="center"/>
              <w:rPr>
                <w:rFonts w:ascii="Times New Roman" w:hAnsi="Times New Roman" w:cs="宋体"/>
                <w:kern w:val="2"/>
                <w:szCs w:val="24"/>
              </w:rPr>
            </w:pPr>
          </w:p>
          <w:p>
            <w:pPr>
              <w:pStyle w:val="18"/>
              <w:adjustRightInd w:val="0"/>
              <w:snapToGrid w:val="0"/>
              <w:spacing w:before="0" w:beforeAutospacing="0" w:after="0" w:afterAutospacing="0"/>
              <w:jc w:val="center"/>
              <w:rPr>
                <w:rFonts w:ascii="Times New Roman" w:hAnsi="Times New Roman" w:cs="宋体"/>
                <w:kern w:val="2"/>
                <w:szCs w:val="24"/>
              </w:rPr>
            </w:pPr>
          </w:p>
          <w:p>
            <w:pPr>
              <w:pStyle w:val="18"/>
              <w:adjustRightInd w:val="0"/>
              <w:snapToGrid w:val="0"/>
              <w:spacing w:before="0" w:beforeAutospacing="0" w:after="0" w:afterAutospacing="0"/>
              <w:jc w:val="center"/>
              <w:rPr>
                <w:rFonts w:ascii="Times New Roman" w:hAnsi="Times New Roman" w:cs="宋体"/>
                <w:kern w:val="2"/>
                <w:szCs w:val="24"/>
              </w:rPr>
            </w:pPr>
          </w:p>
          <w:p>
            <w:pPr>
              <w:pStyle w:val="18"/>
              <w:adjustRightInd w:val="0"/>
              <w:snapToGrid w:val="0"/>
              <w:spacing w:before="0" w:beforeAutospacing="0" w:after="0" w:afterAutospacing="0"/>
              <w:jc w:val="center"/>
              <w:rPr>
                <w:rFonts w:ascii="Times New Roman" w:hAnsi="Times New Roman" w:cs="宋体"/>
                <w:kern w:val="2"/>
                <w:szCs w:val="24"/>
              </w:rPr>
            </w:pPr>
          </w:p>
          <w:p>
            <w:pPr>
              <w:pStyle w:val="18"/>
              <w:adjustRightInd w:val="0"/>
              <w:snapToGrid w:val="0"/>
              <w:spacing w:before="0" w:beforeAutospacing="0" w:after="0" w:afterAutospacing="0"/>
              <w:jc w:val="center"/>
              <w:rPr>
                <w:rFonts w:ascii="Times New Roman" w:hAnsi="Times New Roman" w:cs="宋体"/>
                <w:kern w:val="2"/>
                <w:szCs w:val="24"/>
              </w:rPr>
            </w:pPr>
          </w:p>
          <w:p>
            <w:pPr>
              <w:pStyle w:val="18"/>
              <w:adjustRightInd w:val="0"/>
              <w:snapToGrid w:val="0"/>
              <w:spacing w:before="0" w:beforeAutospacing="0" w:after="0" w:afterAutospacing="0"/>
              <w:jc w:val="center"/>
              <w:rPr>
                <w:rFonts w:ascii="Times New Roman" w:hAnsi="Times New Roman" w:cs="宋体"/>
                <w:kern w:val="2"/>
                <w:szCs w:val="24"/>
              </w:rPr>
            </w:pPr>
          </w:p>
          <w:p>
            <w:pPr>
              <w:pStyle w:val="18"/>
              <w:adjustRightInd w:val="0"/>
              <w:snapToGrid w:val="0"/>
              <w:spacing w:before="0" w:beforeAutospacing="0" w:after="0" w:afterAutospacing="0"/>
              <w:jc w:val="center"/>
              <w:rPr>
                <w:rFonts w:ascii="Times New Roman" w:hAnsi="Times New Roman" w:cs="宋体"/>
                <w:kern w:val="2"/>
                <w:szCs w:val="24"/>
              </w:rPr>
            </w:pPr>
          </w:p>
          <w:p>
            <w:pPr>
              <w:pStyle w:val="18"/>
              <w:adjustRightInd w:val="0"/>
              <w:snapToGrid w:val="0"/>
              <w:spacing w:before="0" w:beforeAutospacing="0" w:after="0" w:afterAutospacing="0"/>
              <w:jc w:val="center"/>
              <w:rPr>
                <w:rFonts w:ascii="Times New Roman" w:hAnsi="Times New Roman" w:cs="宋体"/>
                <w:kern w:val="2"/>
                <w:szCs w:val="24"/>
              </w:rPr>
            </w:pPr>
          </w:p>
          <w:p>
            <w:pPr>
              <w:pStyle w:val="18"/>
              <w:adjustRightInd w:val="0"/>
              <w:snapToGrid w:val="0"/>
              <w:spacing w:before="0" w:beforeAutospacing="0" w:after="0" w:afterAutospacing="0"/>
              <w:jc w:val="center"/>
              <w:rPr>
                <w:rFonts w:ascii="Times New Roman" w:hAnsi="Times New Roman" w:cs="宋体"/>
                <w:kern w:val="2"/>
                <w:szCs w:val="24"/>
              </w:rPr>
            </w:pPr>
          </w:p>
          <w:p>
            <w:pPr>
              <w:pStyle w:val="18"/>
              <w:adjustRightInd w:val="0"/>
              <w:snapToGrid w:val="0"/>
              <w:spacing w:before="0" w:beforeAutospacing="0" w:after="0" w:afterAutospacing="0"/>
              <w:jc w:val="center"/>
              <w:rPr>
                <w:rFonts w:ascii="Times New Roman" w:hAnsi="Times New Roman" w:cs="宋体"/>
                <w:kern w:val="2"/>
                <w:szCs w:val="24"/>
              </w:rPr>
            </w:pPr>
          </w:p>
          <w:p>
            <w:pPr>
              <w:pStyle w:val="18"/>
              <w:adjustRightInd w:val="0"/>
              <w:snapToGrid w:val="0"/>
              <w:spacing w:before="0" w:beforeAutospacing="0" w:after="0" w:afterAutospacing="0"/>
              <w:jc w:val="center"/>
              <w:rPr>
                <w:rFonts w:ascii="Times New Roman" w:hAnsi="Times New Roman" w:cs="宋体"/>
                <w:kern w:val="2"/>
                <w:szCs w:val="24"/>
              </w:rPr>
            </w:pPr>
          </w:p>
          <w:p>
            <w:pPr>
              <w:pStyle w:val="18"/>
              <w:adjustRightInd w:val="0"/>
              <w:snapToGrid w:val="0"/>
              <w:spacing w:before="0" w:beforeAutospacing="0" w:after="0" w:afterAutospacing="0"/>
              <w:jc w:val="center"/>
              <w:rPr>
                <w:rFonts w:ascii="Times New Roman" w:hAnsi="Times New Roman" w:cs="宋体"/>
                <w:kern w:val="2"/>
                <w:szCs w:val="24"/>
              </w:rPr>
            </w:pPr>
            <w:r>
              <w:rPr>
                <w:rFonts w:hint="eastAsia" w:ascii="Times New Roman" w:hAnsi="Times New Roman" w:cs="宋体"/>
                <w:kern w:val="2"/>
                <w:szCs w:val="24"/>
              </w:rPr>
              <w:t>施工</w:t>
            </w:r>
          </w:p>
          <w:p>
            <w:pPr>
              <w:pStyle w:val="18"/>
              <w:adjustRightInd w:val="0"/>
              <w:snapToGrid w:val="0"/>
              <w:spacing w:before="0" w:beforeAutospacing="0" w:after="0" w:afterAutospacing="0"/>
              <w:jc w:val="center"/>
              <w:rPr>
                <w:rFonts w:ascii="Times New Roman" w:hAnsi="Times New Roman" w:cs="宋体"/>
                <w:kern w:val="2"/>
                <w:szCs w:val="24"/>
              </w:rPr>
            </w:pPr>
            <w:r>
              <w:rPr>
                <w:rFonts w:hint="eastAsia" w:ascii="Times New Roman" w:hAnsi="Times New Roman" w:cs="宋体"/>
                <w:kern w:val="2"/>
                <w:szCs w:val="24"/>
              </w:rPr>
              <w:t>期环</w:t>
            </w:r>
          </w:p>
          <w:p>
            <w:pPr>
              <w:pStyle w:val="18"/>
              <w:adjustRightInd w:val="0"/>
              <w:snapToGrid w:val="0"/>
              <w:spacing w:before="0" w:beforeAutospacing="0" w:after="0" w:afterAutospacing="0"/>
              <w:jc w:val="center"/>
              <w:rPr>
                <w:rFonts w:ascii="Times New Roman" w:hAnsi="Times New Roman" w:cs="宋体"/>
                <w:kern w:val="2"/>
                <w:szCs w:val="24"/>
              </w:rPr>
            </w:pPr>
            <w:r>
              <w:rPr>
                <w:rFonts w:hint="eastAsia" w:ascii="Times New Roman" w:hAnsi="Times New Roman" w:cs="宋体"/>
                <w:kern w:val="2"/>
                <w:szCs w:val="24"/>
              </w:rPr>
              <w:t>境保</w:t>
            </w:r>
          </w:p>
          <w:p>
            <w:pPr>
              <w:pStyle w:val="18"/>
              <w:adjustRightInd w:val="0"/>
              <w:snapToGrid w:val="0"/>
              <w:spacing w:before="0" w:beforeAutospacing="0" w:after="0" w:afterAutospacing="0"/>
              <w:jc w:val="center"/>
              <w:rPr>
                <w:rFonts w:ascii="Times New Roman" w:hAnsi="Times New Roman" w:cs="宋体"/>
                <w:kern w:val="2"/>
                <w:szCs w:val="24"/>
              </w:rPr>
            </w:pPr>
            <w:r>
              <w:rPr>
                <w:rFonts w:hint="eastAsia" w:ascii="Times New Roman" w:hAnsi="Times New Roman" w:cs="宋体"/>
                <w:kern w:val="2"/>
                <w:szCs w:val="24"/>
              </w:rPr>
              <w:t>护措</w:t>
            </w:r>
          </w:p>
          <w:p>
            <w:pPr>
              <w:pStyle w:val="18"/>
              <w:adjustRightInd w:val="0"/>
              <w:snapToGrid w:val="0"/>
              <w:spacing w:before="0" w:beforeAutospacing="0" w:after="0" w:afterAutospacing="0"/>
              <w:jc w:val="center"/>
              <w:rPr>
                <w:rFonts w:ascii="Times New Roman" w:hAnsi="Times New Roman" w:cs="宋体"/>
                <w:kern w:val="2"/>
                <w:szCs w:val="24"/>
              </w:rPr>
            </w:pPr>
            <w:r>
              <w:rPr>
                <w:rFonts w:hint="eastAsia" w:ascii="Times New Roman" w:hAnsi="Times New Roman" w:cs="宋体"/>
                <w:kern w:val="2"/>
                <w:szCs w:val="24"/>
              </w:rPr>
              <w:t>施</w:t>
            </w:r>
          </w:p>
          <w:p>
            <w:pPr>
              <w:pStyle w:val="18"/>
              <w:adjustRightInd w:val="0"/>
              <w:snapToGrid w:val="0"/>
              <w:spacing w:before="0" w:beforeAutospacing="0" w:after="0" w:afterAutospacing="0"/>
              <w:jc w:val="center"/>
              <w:rPr>
                <w:rFonts w:ascii="Times New Roman" w:hAnsi="Times New Roman" w:cs="宋体"/>
                <w:kern w:val="2"/>
                <w:szCs w:val="24"/>
              </w:rPr>
            </w:pPr>
          </w:p>
          <w:p>
            <w:pPr>
              <w:pStyle w:val="18"/>
              <w:adjustRightInd w:val="0"/>
              <w:snapToGrid w:val="0"/>
              <w:spacing w:before="0" w:beforeAutospacing="0" w:after="0" w:afterAutospacing="0"/>
              <w:jc w:val="center"/>
              <w:rPr>
                <w:rFonts w:ascii="Times New Roman" w:hAnsi="Times New Roman" w:cs="宋体"/>
                <w:kern w:val="2"/>
                <w:szCs w:val="24"/>
              </w:rPr>
            </w:pPr>
          </w:p>
          <w:p>
            <w:pPr>
              <w:pStyle w:val="18"/>
              <w:adjustRightInd w:val="0"/>
              <w:snapToGrid w:val="0"/>
              <w:spacing w:before="0" w:beforeAutospacing="0" w:after="0" w:afterAutospacing="0"/>
              <w:jc w:val="center"/>
              <w:rPr>
                <w:rFonts w:ascii="Times New Roman" w:hAnsi="Times New Roman" w:cs="宋体"/>
                <w:kern w:val="2"/>
                <w:szCs w:val="24"/>
              </w:rPr>
            </w:pPr>
          </w:p>
          <w:p>
            <w:pPr>
              <w:pStyle w:val="18"/>
              <w:adjustRightInd w:val="0"/>
              <w:snapToGrid w:val="0"/>
              <w:spacing w:before="0" w:beforeAutospacing="0" w:after="0" w:afterAutospacing="0"/>
              <w:jc w:val="center"/>
              <w:rPr>
                <w:rFonts w:ascii="Times New Roman" w:hAnsi="Times New Roman" w:cs="宋体"/>
                <w:kern w:val="2"/>
                <w:szCs w:val="24"/>
              </w:rPr>
            </w:pPr>
          </w:p>
          <w:p>
            <w:pPr>
              <w:pStyle w:val="18"/>
              <w:adjustRightInd w:val="0"/>
              <w:snapToGrid w:val="0"/>
              <w:spacing w:before="0" w:beforeAutospacing="0" w:after="0" w:afterAutospacing="0"/>
              <w:jc w:val="center"/>
              <w:rPr>
                <w:rFonts w:ascii="Times New Roman" w:hAnsi="Times New Roman" w:cs="宋体"/>
                <w:kern w:val="2"/>
                <w:szCs w:val="24"/>
              </w:rPr>
            </w:pPr>
          </w:p>
          <w:p>
            <w:pPr>
              <w:pStyle w:val="18"/>
              <w:adjustRightInd w:val="0"/>
              <w:snapToGrid w:val="0"/>
              <w:spacing w:before="0" w:beforeAutospacing="0" w:after="0" w:afterAutospacing="0"/>
              <w:jc w:val="center"/>
              <w:rPr>
                <w:rFonts w:ascii="Times New Roman" w:hAnsi="Times New Roman" w:cs="宋体"/>
                <w:kern w:val="2"/>
                <w:szCs w:val="24"/>
              </w:rPr>
            </w:pPr>
          </w:p>
          <w:p>
            <w:pPr>
              <w:pStyle w:val="18"/>
              <w:adjustRightInd w:val="0"/>
              <w:snapToGrid w:val="0"/>
              <w:spacing w:before="0" w:beforeAutospacing="0" w:after="0" w:afterAutospacing="0"/>
              <w:jc w:val="center"/>
              <w:rPr>
                <w:rFonts w:ascii="Times New Roman" w:hAnsi="Times New Roman" w:cs="宋体"/>
                <w:kern w:val="2"/>
                <w:szCs w:val="24"/>
              </w:rPr>
            </w:pPr>
          </w:p>
          <w:p>
            <w:pPr>
              <w:pStyle w:val="18"/>
              <w:adjustRightInd w:val="0"/>
              <w:snapToGrid w:val="0"/>
              <w:spacing w:before="0" w:beforeAutospacing="0" w:after="0" w:afterAutospacing="0"/>
              <w:jc w:val="center"/>
              <w:rPr>
                <w:rFonts w:ascii="Times New Roman" w:hAnsi="Times New Roman" w:cs="宋体"/>
                <w:kern w:val="2"/>
                <w:szCs w:val="24"/>
              </w:rPr>
            </w:pPr>
          </w:p>
          <w:p>
            <w:pPr>
              <w:pStyle w:val="18"/>
              <w:adjustRightInd w:val="0"/>
              <w:snapToGrid w:val="0"/>
              <w:spacing w:before="0" w:beforeAutospacing="0" w:after="0" w:afterAutospacing="0"/>
              <w:jc w:val="center"/>
              <w:rPr>
                <w:rFonts w:ascii="Times New Roman" w:hAnsi="Times New Roman" w:cs="宋体"/>
                <w:kern w:val="2"/>
                <w:szCs w:val="24"/>
              </w:rPr>
            </w:pPr>
          </w:p>
          <w:p>
            <w:pPr>
              <w:pStyle w:val="18"/>
              <w:adjustRightInd w:val="0"/>
              <w:snapToGrid w:val="0"/>
              <w:spacing w:before="0" w:beforeAutospacing="0" w:after="0" w:afterAutospacing="0"/>
              <w:jc w:val="center"/>
              <w:rPr>
                <w:rFonts w:ascii="Times New Roman" w:hAnsi="Times New Roman" w:cs="宋体"/>
                <w:kern w:val="2"/>
                <w:szCs w:val="24"/>
              </w:rPr>
            </w:pPr>
          </w:p>
          <w:p>
            <w:pPr>
              <w:pStyle w:val="18"/>
              <w:adjustRightInd w:val="0"/>
              <w:snapToGrid w:val="0"/>
              <w:spacing w:before="0" w:beforeAutospacing="0" w:after="0" w:afterAutospacing="0"/>
              <w:jc w:val="center"/>
              <w:rPr>
                <w:rFonts w:ascii="Times New Roman" w:hAnsi="Times New Roman" w:cs="宋体"/>
                <w:kern w:val="2"/>
                <w:szCs w:val="24"/>
              </w:rPr>
            </w:pPr>
          </w:p>
          <w:p>
            <w:pPr>
              <w:pStyle w:val="18"/>
              <w:adjustRightInd w:val="0"/>
              <w:snapToGrid w:val="0"/>
              <w:spacing w:before="0" w:beforeAutospacing="0" w:after="0" w:afterAutospacing="0"/>
              <w:jc w:val="center"/>
              <w:rPr>
                <w:rFonts w:ascii="Times New Roman" w:hAnsi="Times New Roman" w:cs="宋体"/>
                <w:kern w:val="2"/>
                <w:szCs w:val="24"/>
              </w:rPr>
            </w:pPr>
          </w:p>
          <w:p>
            <w:pPr>
              <w:pStyle w:val="18"/>
              <w:adjustRightInd w:val="0"/>
              <w:snapToGrid w:val="0"/>
              <w:spacing w:before="0" w:beforeAutospacing="0" w:after="0" w:afterAutospacing="0"/>
              <w:jc w:val="center"/>
              <w:rPr>
                <w:rFonts w:ascii="Times New Roman" w:hAnsi="Times New Roman" w:cs="宋体"/>
                <w:kern w:val="2"/>
                <w:szCs w:val="24"/>
              </w:rPr>
            </w:pPr>
          </w:p>
          <w:p>
            <w:pPr>
              <w:pStyle w:val="18"/>
              <w:adjustRightInd w:val="0"/>
              <w:snapToGrid w:val="0"/>
              <w:spacing w:before="0" w:beforeAutospacing="0" w:after="0" w:afterAutospacing="0"/>
              <w:jc w:val="center"/>
              <w:rPr>
                <w:rFonts w:ascii="Times New Roman" w:hAnsi="Times New Roman" w:cs="宋体"/>
                <w:kern w:val="2"/>
                <w:szCs w:val="24"/>
              </w:rPr>
            </w:pPr>
          </w:p>
          <w:p>
            <w:pPr>
              <w:pStyle w:val="18"/>
              <w:adjustRightInd w:val="0"/>
              <w:snapToGrid w:val="0"/>
              <w:spacing w:before="0" w:beforeAutospacing="0" w:after="0" w:afterAutospacing="0"/>
              <w:jc w:val="center"/>
              <w:rPr>
                <w:rFonts w:ascii="Times New Roman" w:hAnsi="Times New Roman" w:cs="宋体"/>
                <w:kern w:val="2"/>
                <w:szCs w:val="24"/>
              </w:rPr>
            </w:pPr>
          </w:p>
          <w:p>
            <w:pPr>
              <w:pStyle w:val="18"/>
              <w:adjustRightInd w:val="0"/>
              <w:snapToGrid w:val="0"/>
              <w:spacing w:before="0" w:beforeAutospacing="0" w:after="0" w:afterAutospacing="0"/>
              <w:jc w:val="center"/>
              <w:rPr>
                <w:rFonts w:ascii="Times New Roman" w:hAnsi="Times New Roman" w:cs="宋体"/>
                <w:kern w:val="2"/>
                <w:szCs w:val="24"/>
              </w:rPr>
            </w:pPr>
          </w:p>
          <w:p>
            <w:pPr>
              <w:pStyle w:val="18"/>
              <w:adjustRightInd w:val="0"/>
              <w:snapToGrid w:val="0"/>
              <w:spacing w:before="0" w:beforeAutospacing="0" w:after="0" w:afterAutospacing="0"/>
              <w:jc w:val="center"/>
              <w:rPr>
                <w:rFonts w:ascii="Times New Roman" w:hAnsi="Times New Roman" w:cs="宋体"/>
                <w:kern w:val="2"/>
                <w:szCs w:val="24"/>
              </w:rPr>
            </w:pPr>
          </w:p>
          <w:p>
            <w:pPr>
              <w:pStyle w:val="18"/>
              <w:adjustRightInd w:val="0"/>
              <w:snapToGrid w:val="0"/>
              <w:spacing w:before="0" w:beforeAutospacing="0" w:after="0" w:afterAutospacing="0"/>
              <w:jc w:val="center"/>
              <w:rPr>
                <w:rFonts w:ascii="Times New Roman" w:hAnsi="Times New Roman" w:cs="宋体"/>
                <w:kern w:val="2"/>
                <w:szCs w:val="24"/>
              </w:rPr>
            </w:pPr>
          </w:p>
          <w:p>
            <w:pPr>
              <w:pStyle w:val="18"/>
              <w:adjustRightInd w:val="0"/>
              <w:snapToGrid w:val="0"/>
              <w:spacing w:before="0" w:beforeAutospacing="0" w:after="0" w:afterAutospacing="0"/>
              <w:jc w:val="center"/>
              <w:rPr>
                <w:rFonts w:ascii="Times New Roman" w:hAnsi="Times New Roman" w:cs="宋体"/>
                <w:kern w:val="2"/>
                <w:szCs w:val="24"/>
              </w:rPr>
            </w:pPr>
          </w:p>
          <w:p>
            <w:pPr>
              <w:pStyle w:val="18"/>
              <w:adjustRightInd w:val="0"/>
              <w:snapToGrid w:val="0"/>
              <w:spacing w:before="0" w:beforeAutospacing="0" w:after="0" w:afterAutospacing="0"/>
              <w:jc w:val="center"/>
              <w:rPr>
                <w:rFonts w:ascii="Times New Roman" w:hAnsi="Times New Roman" w:cs="宋体"/>
                <w:kern w:val="2"/>
                <w:szCs w:val="24"/>
              </w:rPr>
            </w:pPr>
          </w:p>
          <w:p>
            <w:pPr>
              <w:pStyle w:val="18"/>
              <w:adjustRightInd w:val="0"/>
              <w:snapToGrid w:val="0"/>
              <w:spacing w:before="0" w:beforeAutospacing="0" w:after="0" w:afterAutospacing="0"/>
              <w:jc w:val="center"/>
              <w:rPr>
                <w:rFonts w:ascii="Times New Roman" w:hAnsi="Times New Roman" w:cs="宋体"/>
                <w:kern w:val="2"/>
                <w:szCs w:val="24"/>
              </w:rPr>
            </w:pPr>
          </w:p>
          <w:p>
            <w:pPr>
              <w:pStyle w:val="18"/>
              <w:adjustRightInd w:val="0"/>
              <w:snapToGrid w:val="0"/>
              <w:spacing w:before="0" w:beforeAutospacing="0" w:after="0" w:afterAutospacing="0"/>
              <w:jc w:val="center"/>
              <w:rPr>
                <w:rFonts w:ascii="Times New Roman" w:hAnsi="Times New Roman" w:cs="宋体"/>
                <w:kern w:val="2"/>
                <w:szCs w:val="24"/>
              </w:rPr>
            </w:pPr>
          </w:p>
          <w:p>
            <w:pPr>
              <w:pStyle w:val="18"/>
              <w:adjustRightInd w:val="0"/>
              <w:snapToGrid w:val="0"/>
              <w:spacing w:before="0" w:beforeAutospacing="0" w:after="0" w:afterAutospacing="0"/>
              <w:jc w:val="center"/>
              <w:rPr>
                <w:rFonts w:ascii="Times New Roman" w:hAnsi="Times New Roman" w:cs="宋体"/>
                <w:kern w:val="2"/>
                <w:szCs w:val="24"/>
              </w:rPr>
            </w:pPr>
          </w:p>
          <w:p>
            <w:pPr>
              <w:pStyle w:val="18"/>
              <w:adjustRightInd w:val="0"/>
              <w:snapToGrid w:val="0"/>
              <w:spacing w:before="0" w:beforeAutospacing="0" w:after="0" w:afterAutospacing="0"/>
              <w:jc w:val="center"/>
              <w:rPr>
                <w:rFonts w:ascii="Times New Roman" w:hAnsi="Times New Roman" w:cs="宋体"/>
                <w:kern w:val="2"/>
                <w:szCs w:val="24"/>
              </w:rPr>
            </w:pPr>
          </w:p>
          <w:p>
            <w:pPr>
              <w:pStyle w:val="18"/>
              <w:adjustRightInd w:val="0"/>
              <w:snapToGrid w:val="0"/>
              <w:spacing w:before="0" w:beforeAutospacing="0" w:after="0" w:afterAutospacing="0"/>
              <w:jc w:val="center"/>
              <w:rPr>
                <w:rFonts w:ascii="Times New Roman" w:hAnsi="Times New Roman" w:cs="宋体"/>
                <w:kern w:val="2"/>
                <w:szCs w:val="24"/>
              </w:rPr>
            </w:pPr>
          </w:p>
          <w:p>
            <w:pPr>
              <w:pStyle w:val="18"/>
              <w:adjustRightInd w:val="0"/>
              <w:snapToGrid w:val="0"/>
              <w:spacing w:before="0" w:beforeAutospacing="0" w:after="0" w:afterAutospacing="0"/>
              <w:jc w:val="center"/>
              <w:rPr>
                <w:rFonts w:ascii="Times New Roman" w:hAnsi="Times New Roman" w:cs="宋体"/>
                <w:kern w:val="2"/>
                <w:szCs w:val="24"/>
              </w:rPr>
            </w:pPr>
          </w:p>
          <w:p>
            <w:pPr>
              <w:pStyle w:val="18"/>
              <w:adjustRightInd w:val="0"/>
              <w:snapToGrid w:val="0"/>
              <w:spacing w:before="0" w:beforeAutospacing="0" w:after="0" w:afterAutospacing="0"/>
              <w:jc w:val="center"/>
              <w:rPr>
                <w:rFonts w:ascii="Times New Roman" w:hAnsi="Times New Roman" w:cs="宋体"/>
                <w:kern w:val="2"/>
                <w:szCs w:val="24"/>
              </w:rPr>
            </w:pPr>
          </w:p>
          <w:p>
            <w:pPr>
              <w:pStyle w:val="18"/>
              <w:adjustRightInd w:val="0"/>
              <w:snapToGrid w:val="0"/>
              <w:spacing w:before="0" w:beforeAutospacing="0" w:after="0" w:afterAutospacing="0"/>
              <w:jc w:val="center"/>
              <w:rPr>
                <w:rFonts w:ascii="Times New Roman" w:hAnsi="Times New Roman" w:cs="宋体"/>
                <w:kern w:val="2"/>
                <w:szCs w:val="24"/>
              </w:rPr>
            </w:pPr>
          </w:p>
          <w:p>
            <w:pPr>
              <w:pStyle w:val="18"/>
              <w:adjustRightInd w:val="0"/>
              <w:snapToGrid w:val="0"/>
              <w:spacing w:before="0" w:beforeAutospacing="0" w:after="0" w:afterAutospacing="0"/>
              <w:jc w:val="center"/>
              <w:rPr>
                <w:rFonts w:ascii="Times New Roman" w:hAnsi="Times New Roman" w:cs="宋体"/>
                <w:kern w:val="2"/>
                <w:szCs w:val="24"/>
              </w:rPr>
            </w:pPr>
          </w:p>
          <w:p>
            <w:pPr>
              <w:pStyle w:val="18"/>
              <w:adjustRightInd w:val="0"/>
              <w:snapToGrid w:val="0"/>
              <w:spacing w:before="0" w:beforeAutospacing="0" w:after="0" w:afterAutospacing="0"/>
              <w:jc w:val="center"/>
              <w:rPr>
                <w:rFonts w:ascii="Times New Roman" w:hAnsi="Times New Roman" w:cs="宋体"/>
                <w:kern w:val="2"/>
                <w:szCs w:val="24"/>
              </w:rPr>
            </w:pPr>
          </w:p>
          <w:p>
            <w:pPr>
              <w:pStyle w:val="18"/>
              <w:adjustRightInd w:val="0"/>
              <w:snapToGrid w:val="0"/>
              <w:spacing w:before="0" w:beforeAutospacing="0" w:after="0" w:afterAutospacing="0"/>
              <w:jc w:val="center"/>
              <w:rPr>
                <w:rFonts w:ascii="Times New Roman" w:hAnsi="Times New Roman" w:cs="宋体"/>
                <w:kern w:val="2"/>
                <w:szCs w:val="24"/>
              </w:rPr>
            </w:pPr>
          </w:p>
          <w:p>
            <w:pPr>
              <w:pStyle w:val="18"/>
              <w:adjustRightInd w:val="0"/>
              <w:snapToGrid w:val="0"/>
              <w:spacing w:before="0" w:beforeAutospacing="0" w:after="0" w:afterAutospacing="0"/>
              <w:jc w:val="center"/>
              <w:rPr>
                <w:rFonts w:ascii="Times New Roman" w:hAnsi="Times New Roman" w:cs="宋体"/>
                <w:kern w:val="2"/>
                <w:szCs w:val="24"/>
              </w:rPr>
            </w:pPr>
          </w:p>
          <w:p>
            <w:pPr>
              <w:pStyle w:val="18"/>
              <w:adjustRightInd w:val="0"/>
              <w:snapToGrid w:val="0"/>
              <w:spacing w:before="0" w:beforeAutospacing="0" w:after="0" w:afterAutospacing="0"/>
              <w:jc w:val="center"/>
              <w:rPr>
                <w:rFonts w:ascii="Times New Roman" w:hAnsi="Times New Roman" w:cs="宋体"/>
                <w:kern w:val="2"/>
                <w:szCs w:val="24"/>
              </w:rPr>
            </w:pPr>
          </w:p>
          <w:p>
            <w:pPr>
              <w:pStyle w:val="18"/>
              <w:adjustRightInd w:val="0"/>
              <w:snapToGrid w:val="0"/>
              <w:spacing w:before="0" w:beforeAutospacing="0" w:after="0" w:afterAutospacing="0"/>
              <w:jc w:val="center"/>
              <w:rPr>
                <w:rFonts w:ascii="Times New Roman" w:hAnsi="Times New Roman" w:cs="宋体"/>
                <w:kern w:val="2"/>
                <w:szCs w:val="24"/>
              </w:rPr>
            </w:pPr>
          </w:p>
          <w:p>
            <w:pPr>
              <w:pStyle w:val="18"/>
              <w:adjustRightInd w:val="0"/>
              <w:snapToGrid w:val="0"/>
              <w:spacing w:before="0" w:beforeAutospacing="0" w:after="0" w:afterAutospacing="0"/>
              <w:jc w:val="center"/>
              <w:rPr>
                <w:rFonts w:ascii="Times New Roman" w:hAnsi="Times New Roman" w:cs="宋体"/>
                <w:kern w:val="2"/>
                <w:szCs w:val="24"/>
              </w:rPr>
            </w:pPr>
          </w:p>
          <w:p>
            <w:pPr>
              <w:pStyle w:val="18"/>
              <w:adjustRightInd w:val="0"/>
              <w:snapToGrid w:val="0"/>
              <w:spacing w:before="0" w:beforeAutospacing="0" w:after="0" w:afterAutospacing="0"/>
              <w:jc w:val="center"/>
              <w:rPr>
                <w:rFonts w:ascii="Times New Roman" w:hAnsi="Times New Roman" w:cs="宋体"/>
                <w:kern w:val="2"/>
                <w:szCs w:val="24"/>
              </w:rPr>
            </w:pPr>
          </w:p>
          <w:p>
            <w:pPr>
              <w:pStyle w:val="18"/>
              <w:adjustRightInd w:val="0"/>
              <w:snapToGrid w:val="0"/>
              <w:spacing w:before="0" w:beforeAutospacing="0" w:after="0" w:afterAutospacing="0"/>
              <w:jc w:val="center"/>
              <w:rPr>
                <w:rFonts w:ascii="Times New Roman" w:hAnsi="Times New Roman" w:cs="宋体"/>
                <w:kern w:val="2"/>
                <w:szCs w:val="24"/>
              </w:rPr>
            </w:pPr>
          </w:p>
          <w:p>
            <w:pPr>
              <w:pStyle w:val="18"/>
              <w:adjustRightInd w:val="0"/>
              <w:snapToGrid w:val="0"/>
              <w:spacing w:before="0" w:beforeAutospacing="0" w:after="0" w:afterAutospacing="0"/>
              <w:jc w:val="center"/>
              <w:rPr>
                <w:rFonts w:ascii="Times New Roman" w:hAnsi="Times New Roman" w:cs="宋体"/>
                <w:kern w:val="2"/>
                <w:szCs w:val="24"/>
              </w:rPr>
            </w:pPr>
          </w:p>
          <w:p>
            <w:pPr>
              <w:pStyle w:val="18"/>
              <w:adjustRightInd w:val="0"/>
              <w:snapToGrid w:val="0"/>
              <w:spacing w:before="0" w:beforeAutospacing="0" w:after="0" w:afterAutospacing="0"/>
              <w:jc w:val="center"/>
              <w:rPr>
                <w:rFonts w:ascii="Times New Roman" w:hAnsi="Times New Roman" w:cs="宋体"/>
                <w:kern w:val="2"/>
                <w:szCs w:val="24"/>
              </w:rPr>
            </w:pPr>
          </w:p>
          <w:p>
            <w:pPr>
              <w:pStyle w:val="18"/>
              <w:adjustRightInd w:val="0"/>
              <w:snapToGrid w:val="0"/>
              <w:spacing w:before="0" w:beforeAutospacing="0" w:after="0" w:afterAutospacing="0"/>
              <w:jc w:val="center"/>
              <w:rPr>
                <w:rFonts w:ascii="Times New Roman" w:hAnsi="Times New Roman" w:cs="宋体"/>
                <w:kern w:val="2"/>
                <w:szCs w:val="24"/>
              </w:rPr>
            </w:pPr>
          </w:p>
          <w:p>
            <w:pPr>
              <w:pStyle w:val="18"/>
              <w:adjustRightInd w:val="0"/>
              <w:snapToGrid w:val="0"/>
              <w:spacing w:before="0" w:beforeAutospacing="0" w:after="0" w:afterAutospacing="0"/>
              <w:jc w:val="center"/>
              <w:rPr>
                <w:rFonts w:ascii="Times New Roman" w:hAnsi="Times New Roman" w:cs="宋体"/>
                <w:kern w:val="2"/>
                <w:szCs w:val="24"/>
              </w:rPr>
            </w:pPr>
            <w:r>
              <w:rPr>
                <w:rFonts w:hint="eastAsia" w:ascii="Times New Roman" w:hAnsi="Times New Roman" w:cs="宋体"/>
                <w:kern w:val="2"/>
                <w:szCs w:val="24"/>
              </w:rPr>
              <w:t>施工</w:t>
            </w:r>
          </w:p>
          <w:p>
            <w:pPr>
              <w:pStyle w:val="18"/>
              <w:adjustRightInd w:val="0"/>
              <w:snapToGrid w:val="0"/>
              <w:spacing w:before="0" w:beforeAutospacing="0" w:after="0" w:afterAutospacing="0"/>
              <w:jc w:val="center"/>
              <w:rPr>
                <w:rFonts w:ascii="Times New Roman" w:hAnsi="Times New Roman" w:cs="宋体"/>
                <w:kern w:val="2"/>
                <w:szCs w:val="24"/>
              </w:rPr>
            </w:pPr>
            <w:r>
              <w:rPr>
                <w:rFonts w:hint="eastAsia" w:ascii="Times New Roman" w:hAnsi="Times New Roman" w:cs="宋体"/>
                <w:kern w:val="2"/>
                <w:szCs w:val="24"/>
              </w:rPr>
              <w:t>期环</w:t>
            </w:r>
          </w:p>
          <w:p>
            <w:pPr>
              <w:pStyle w:val="18"/>
              <w:adjustRightInd w:val="0"/>
              <w:snapToGrid w:val="0"/>
              <w:spacing w:before="0" w:beforeAutospacing="0" w:after="0" w:afterAutospacing="0"/>
              <w:jc w:val="center"/>
              <w:rPr>
                <w:rFonts w:ascii="Times New Roman" w:hAnsi="Times New Roman" w:cs="宋体"/>
                <w:kern w:val="2"/>
                <w:szCs w:val="24"/>
              </w:rPr>
            </w:pPr>
            <w:r>
              <w:rPr>
                <w:rFonts w:hint="eastAsia" w:ascii="Times New Roman" w:hAnsi="Times New Roman" w:cs="宋体"/>
                <w:kern w:val="2"/>
                <w:szCs w:val="24"/>
              </w:rPr>
              <w:t>境保</w:t>
            </w:r>
          </w:p>
          <w:p>
            <w:pPr>
              <w:pStyle w:val="18"/>
              <w:adjustRightInd w:val="0"/>
              <w:snapToGrid w:val="0"/>
              <w:spacing w:before="0" w:beforeAutospacing="0" w:after="0" w:afterAutospacing="0"/>
              <w:jc w:val="center"/>
              <w:rPr>
                <w:rFonts w:ascii="Times New Roman" w:hAnsi="Times New Roman" w:cs="宋体"/>
                <w:kern w:val="2"/>
                <w:szCs w:val="24"/>
              </w:rPr>
            </w:pPr>
            <w:r>
              <w:rPr>
                <w:rFonts w:hint="eastAsia" w:ascii="Times New Roman" w:hAnsi="Times New Roman" w:cs="宋体"/>
                <w:kern w:val="2"/>
                <w:szCs w:val="24"/>
              </w:rPr>
              <w:t>护措</w:t>
            </w:r>
          </w:p>
          <w:p>
            <w:pPr>
              <w:pStyle w:val="18"/>
              <w:adjustRightInd w:val="0"/>
              <w:snapToGrid w:val="0"/>
              <w:spacing w:before="0" w:beforeAutospacing="0" w:after="0" w:afterAutospacing="0"/>
              <w:jc w:val="center"/>
              <w:rPr>
                <w:rFonts w:ascii="Times New Roman" w:hAnsi="Times New Roman" w:cs="宋体"/>
                <w:kern w:val="2"/>
                <w:szCs w:val="24"/>
              </w:rPr>
            </w:pPr>
            <w:r>
              <w:rPr>
                <w:rFonts w:hint="eastAsia" w:ascii="Times New Roman" w:hAnsi="Times New Roman" w:cs="宋体"/>
                <w:kern w:val="2"/>
                <w:szCs w:val="24"/>
              </w:rPr>
              <w:t>施</w:t>
            </w:r>
          </w:p>
          <w:p>
            <w:pPr>
              <w:pStyle w:val="18"/>
              <w:adjustRightInd w:val="0"/>
              <w:snapToGrid w:val="0"/>
              <w:spacing w:before="0" w:beforeAutospacing="0" w:after="0" w:afterAutospacing="0"/>
              <w:jc w:val="center"/>
              <w:rPr>
                <w:rFonts w:ascii="Times New Roman" w:hAnsi="Times New Roman" w:cs="宋体"/>
                <w:kern w:val="2"/>
                <w:szCs w:val="24"/>
              </w:rPr>
            </w:pPr>
          </w:p>
          <w:p>
            <w:pPr>
              <w:pStyle w:val="18"/>
              <w:adjustRightInd w:val="0"/>
              <w:snapToGrid w:val="0"/>
              <w:spacing w:before="0" w:beforeAutospacing="0" w:after="0" w:afterAutospacing="0"/>
              <w:jc w:val="center"/>
              <w:rPr>
                <w:rFonts w:ascii="Times New Roman" w:hAnsi="Times New Roman" w:cs="宋体"/>
                <w:kern w:val="2"/>
                <w:szCs w:val="24"/>
              </w:rPr>
            </w:pPr>
          </w:p>
          <w:p>
            <w:pPr>
              <w:pStyle w:val="18"/>
              <w:adjustRightInd w:val="0"/>
              <w:snapToGrid w:val="0"/>
              <w:spacing w:before="0" w:beforeAutospacing="0" w:after="0" w:afterAutospacing="0"/>
              <w:jc w:val="center"/>
              <w:rPr>
                <w:rFonts w:ascii="Times New Roman" w:hAnsi="Times New Roman" w:cs="宋体"/>
                <w:kern w:val="2"/>
                <w:szCs w:val="24"/>
              </w:rPr>
            </w:pPr>
          </w:p>
          <w:p>
            <w:pPr>
              <w:pStyle w:val="18"/>
              <w:adjustRightInd w:val="0"/>
              <w:snapToGrid w:val="0"/>
              <w:spacing w:before="0" w:beforeAutospacing="0" w:after="0" w:afterAutospacing="0"/>
              <w:jc w:val="center"/>
              <w:rPr>
                <w:rFonts w:ascii="Times New Roman" w:hAnsi="Times New Roman" w:cs="宋体"/>
                <w:kern w:val="2"/>
                <w:szCs w:val="24"/>
              </w:rPr>
            </w:pPr>
          </w:p>
          <w:p>
            <w:pPr>
              <w:pStyle w:val="18"/>
              <w:adjustRightInd w:val="0"/>
              <w:snapToGrid w:val="0"/>
              <w:spacing w:before="0" w:beforeAutospacing="0" w:after="0" w:afterAutospacing="0"/>
              <w:jc w:val="center"/>
              <w:rPr>
                <w:rFonts w:ascii="Times New Roman" w:hAnsi="Times New Roman" w:cs="宋体"/>
                <w:kern w:val="2"/>
                <w:szCs w:val="24"/>
              </w:rPr>
            </w:pPr>
          </w:p>
          <w:p>
            <w:pPr>
              <w:pStyle w:val="18"/>
              <w:adjustRightInd w:val="0"/>
              <w:snapToGrid w:val="0"/>
              <w:spacing w:before="0" w:beforeAutospacing="0" w:after="0" w:afterAutospacing="0"/>
              <w:jc w:val="center"/>
              <w:rPr>
                <w:rFonts w:ascii="Times New Roman" w:hAnsi="Times New Roman" w:cs="宋体"/>
                <w:kern w:val="2"/>
                <w:szCs w:val="24"/>
              </w:rPr>
            </w:pPr>
          </w:p>
          <w:p>
            <w:pPr>
              <w:pStyle w:val="18"/>
              <w:adjustRightInd w:val="0"/>
              <w:snapToGrid w:val="0"/>
              <w:spacing w:before="0" w:beforeAutospacing="0" w:after="0" w:afterAutospacing="0"/>
              <w:jc w:val="center"/>
              <w:rPr>
                <w:rFonts w:ascii="Times New Roman" w:hAnsi="Times New Roman" w:cs="宋体"/>
                <w:kern w:val="2"/>
                <w:szCs w:val="24"/>
              </w:rPr>
            </w:pPr>
          </w:p>
          <w:p>
            <w:pPr>
              <w:pStyle w:val="18"/>
              <w:adjustRightInd w:val="0"/>
              <w:snapToGrid w:val="0"/>
              <w:spacing w:before="0" w:beforeAutospacing="0" w:after="0" w:afterAutospacing="0"/>
              <w:jc w:val="center"/>
              <w:rPr>
                <w:rFonts w:ascii="Times New Roman" w:hAnsi="Times New Roman" w:cs="宋体"/>
                <w:kern w:val="2"/>
                <w:szCs w:val="24"/>
              </w:rPr>
            </w:pPr>
          </w:p>
          <w:p>
            <w:pPr>
              <w:pStyle w:val="18"/>
              <w:adjustRightInd w:val="0"/>
              <w:snapToGrid w:val="0"/>
              <w:spacing w:before="0" w:beforeAutospacing="0" w:after="0" w:afterAutospacing="0"/>
              <w:jc w:val="center"/>
              <w:rPr>
                <w:rFonts w:ascii="Times New Roman" w:hAnsi="Times New Roman" w:cs="宋体"/>
                <w:kern w:val="2"/>
                <w:szCs w:val="24"/>
              </w:rPr>
            </w:pPr>
          </w:p>
          <w:p>
            <w:pPr>
              <w:pStyle w:val="18"/>
              <w:adjustRightInd w:val="0"/>
              <w:snapToGrid w:val="0"/>
              <w:spacing w:before="0" w:beforeAutospacing="0" w:after="0" w:afterAutospacing="0"/>
              <w:jc w:val="center"/>
              <w:rPr>
                <w:rFonts w:ascii="Times New Roman" w:hAnsi="Times New Roman" w:cs="宋体"/>
                <w:kern w:val="2"/>
                <w:szCs w:val="24"/>
              </w:rPr>
            </w:pPr>
          </w:p>
          <w:p>
            <w:pPr>
              <w:pStyle w:val="18"/>
              <w:adjustRightInd w:val="0"/>
              <w:snapToGrid w:val="0"/>
              <w:spacing w:before="0" w:beforeAutospacing="0" w:after="0" w:afterAutospacing="0"/>
              <w:jc w:val="center"/>
              <w:rPr>
                <w:rFonts w:ascii="Times New Roman" w:hAnsi="Times New Roman" w:cs="宋体"/>
                <w:kern w:val="2"/>
                <w:szCs w:val="24"/>
              </w:rPr>
            </w:pPr>
          </w:p>
          <w:p>
            <w:pPr>
              <w:pStyle w:val="18"/>
              <w:adjustRightInd w:val="0"/>
              <w:snapToGrid w:val="0"/>
              <w:spacing w:before="0" w:beforeAutospacing="0" w:after="0" w:afterAutospacing="0"/>
              <w:jc w:val="center"/>
              <w:rPr>
                <w:rFonts w:ascii="Times New Roman" w:hAnsi="Times New Roman" w:cs="宋体"/>
                <w:kern w:val="2"/>
                <w:szCs w:val="24"/>
              </w:rPr>
            </w:pPr>
          </w:p>
          <w:p>
            <w:pPr>
              <w:pStyle w:val="18"/>
              <w:adjustRightInd w:val="0"/>
              <w:snapToGrid w:val="0"/>
              <w:spacing w:before="0" w:beforeAutospacing="0" w:after="0" w:afterAutospacing="0"/>
              <w:jc w:val="center"/>
              <w:rPr>
                <w:rFonts w:ascii="Times New Roman" w:hAnsi="Times New Roman" w:cs="宋体"/>
                <w:kern w:val="2"/>
                <w:szCs w:val="24"/>
              </w:rPr>
            </w:pPr>
          </w:p>
          <w:p>
            <w:pPr>
              <w:pStyle w:val="18"/>
              <w:adjustRightInd w:val="0"/>
              <w:snapToGrid w:val="0"/>
              <w:spacing w:before="0" w:beforeAutospacing="0" w:after="0" w:afterAutospacing="0"/>
              <w:jc w:val="center"/>
              <w:rPr>
                <w:rFonts w:ascii="Times New Roman" w:hAnsi="Times New Roman" w:cs="宋体"/>
                <w:kern w:val="2"/>
                <w:szCs w:val="24"/>
              </w:rPr>
            </w:pPr>
          </w:p>
          <w:p>
            <w:pPr>
              <w:pStyle w:val="18"/>
              <w:adjustRightInd w:val="0"/>
              <w:snapToGrid w:val="0"/>
              <w:spacing w:before="0" w:beforeAutospacing="0" w:after="0" w:afterAutospacing="0"/>
              <w:jc w:val="center"/>
              <w:rPr>
                <w:rFonts w:ascii="Times New Roman" w:hAnsi="Times New Roman" w:cs="宋体"/>
                <w:kern w:val="2"/>
                <w:szCs w:val="24"/>
              </w:rPr>
            </w:pPr>
          </w:p>
          <w:p>
            <w:pPr>
              <w:pStyle w:val="18"/>
              <w:adjustRightInd w:val="0"/>
              <w:snapToGrid w:val="0"/>
              <w:spacing w:before="0" w:beforeAutospacing="0" w:after="0" w:afterAutospacing="0"/>
              <w:jc w:val="center"/>
              <w:rPr>
                <w:rFonts w:ascii="Times New Roman" w:hAnsi="Times New Roman" w:cs="宋体"/>
                <w:kern w:val="2"/>
                <w:szCs w:val="24"/>
              </w:rPr>
            </w:pPr>
          </w:p>
          <w:p>
            <w:pPr>
              <w:pStyle w:val="18"/>
              <w:adjustRightInd w:val="0"/>
              <w:snapToGrid w:val="0"/>
              <w:spacing w:before="0" w:beforeAutospacing="0" w:after="0" w:afterAutospacing="0"/>
              <w:jc w:val="center"/>
              <w:rPr>
                <w:rFonts w:ascii="Times New Roman" w:hAnsi="Times New Roman" w:cs="宋体"/>
                <w:kern w:val="2"/>
                <w:szCs w:val="24"/>
              </w:rPr>
            </w:pPr>
          </w:p>
          <w:p>
            <w:pPr>
              <w:pStyle w:val="18"/>
              <w:adjustRightInd w:val="0"/>
              <w:snapToGrid w:val="0"/>
              <w:spacing w:before="0" w:beforeAutospacing="0" w:after="0" w:afterAutospacing="0"/>
              <w:jc w:val="center"/>
              <w:rPr>
                <w:rFonts w:ascii="Times New Roman" w:hAnsi="Times New Roman" w:cs="宋体"/>
                <w:kern w:val="2"/>
                <w:szCs w:val="24"/>
              </w:rPr>
            </w:pPr>
          </w:p>
          <w:p>
            <w:pPr>
              <w:pStyle w:val="18"/>
              <w:adjustRightInd w:val="0"/>
              <w:snapToGrid w:val="0"/>
              <w:spacing w:before="0" w:beforeAutospacing="0" w:after="0" w:afterAutospacing="0"/>
              <w:jc w:val="center"/>
              <w:rPr>
                <w:rFonts w:ascii="Times New Roman" w:hAnsi="Times New Roman" w:cs="宋体"/>
                <w:kern w:val="2"/>
                <w:szCs w:val="24"/>
              </w:rPr>
            </w:pPr>
          </w:p>
          <w:p>
            <w:pPr>
              <w:pStyle w:val="18"/>
              <w:adjustRightInd w:val="0"/>
              <w:snapToGrid w:val="0"/>
              <w:spacing w:before="0" w:beforeAutospacing="0" w:after="0" w:afterAutospacing="0"/>
              <w:jc w:val="center"/>
              <w:rPr>
                <w:rFonts w:ascii="Times New Roman" w:hAnsi="Times New Roman" w:cs="宋体"/>
                <w:kern w:val="2"/>
                <w:szCs w:val="24"/>
              </w:rPr>
            </w:pPr>
          </w:p>
          <w:p>
            <w:pPr>
              <w:pStyle w:val="18"/>
              <w:adjustRightInd w:val="0"/>
              <w:snapToGrid w:val="0"/>
              <w:spacing w:before="0" w:beforeAutospacing="0" w:after="0" w:afterAutospacing="0"/>
              <w:jc w:val="center"/>
              <w:rPr>
                <w:rFonts w:ascii="Times New Roman" w:hAnsi="Times New Roman" w:cs="宋体"/>
                <w:kern w:val="2"/>
                <w:szCs w:val="24"/>
              </w:rPr>
            </w:pPr>
          </w:p>
          <w:p>
            <w:pPr>
              <w:pStyle w:val="18"/>
              <w:adjustRightInd w:val="0"/>
              <w:snapToGrid w:val="0"/>
              <w:spacing w:before="0" w:beforeAutospacing="0" w:after="0" w:afterAutospacing="0"/>
              <w:jc w:val="center"/>
              <w:rPr>
                <w:rFonts w:ascii="Times New Roman" w:hAnsi="Times New Roman" w:cs="宋体"/>
                <w:kern w:val="2"/>
                <w:szCs w:val="24"/>
              </w:rPr>
            </w:pPr>
          </w:p>
          <w:p>
            <w:pPr>
              <w:pStyle w:val="18"/>
              <w:adjustRightInd w:val="0"/>
              <w:snapToGrid w:val="0"/>
              <w:spacing w:before="0" w:beforeAutospacing="0" w:after="0" w:afterAutospacing="0"/>
              <w:jc w:val="center"/>
              <w:rPr>
                <w:rFonts w:ascii="Times New Roman" w:hAnsi="Times New Roman" w:cs="宋体"/>
                <w:kern w:val="2"/>
                <w:szCs w:val="24"/>
              </w:rPr>
            </w:pPr>
          </w:p>
          <w:p>
            <w:pPr>
              <w:pStyle w:val="18"/>
              <w:adjustRightInd w:val="0"/>
              <w:snapToGrid w:val="0"/>
              <w:spacing w:before="0" w:beforeAutospacing="0" w:after="0" w:afterAutospacing="0"/>
              <w:jc w:val="center"/>
              <w:rPr>
                <w:rFonts w:ascii="Times New Roman" w:hAnsi="Times New Roman" w:cs="宋体"/>
                <w:kern w:val="2"/>
                <w:szCs w:val="24"/>
              </w:rPr>
            </w:pPr>
          </w:p>
          <w:p>
            <w:pPr>
              <w:pStyle w:val="18"/>
              <w:adjustRightInd w:val="0"/>
              <w:snapToGrid w:val="0"/>
              <w:spacing w:before="0" w:beforeAutospacing="0" w:after="0" w:afterAutospacing="0"/>
              <w:jc w:val="center"/>
              <w:rPr>
                <w:rFonts w:ascii="Times New Roman" w:hAnsi="Times New Roman" w:cs="宋体"/>
                <w:kern w:val="2"/>
                <w:szCs w:val="24"/>
              </w:rPr>
            </w:pPr>
          </w:p>
          <w:p>
            <w:pPr>
              <w:pStyle w:val="18"/>
              <w:adjustRightInd w:val="0"/>
              <w:snapToGrid w:val="0"/>
              <w:spacing w:before="0" w:beforeAutospacing="0" w:after="0" w:afterAutospacing="0"/>
              <w:jc w:val="center"/>
              <w:rPr>
                <w:rFonts w:ascii="Times New Roman" w:hAnsi="Times New Roman" w:cs="宋体"/>
                <w:kern w:val="2"/>
                <w:szCs w:val="24"/>
              </w:rPr>
            </w:pPr>
          </w:p>
          <w:p>
            <w:pPr>
              <w:pStyle w:val="18"/>
              <w:adjustRightInd w:val="0"/>
              <w:snapToGrid w:val="0"/>
              <w:spacing w:before="0" w:beforeAutospacing="0" w:after="0" w:afterAutospacing="0"/>
              <w:jc w:val="center"/>
              <w:rPr>
                <w:rFonts w:ascii="Times New Roman" w:hAnsi="Times New Roman" w:cs="宋体"/>
                <w:kern w:val="2"/>
                <w:szCs w:val="24"/>
              </w:rPr>
            </w:pPr>
          </w:p>
          <w:p>
            <w:pPr>
              <w:pStyle w:val="18"/>
              <w:adjustRightInd w:val="0"/>
              <w:snapToGrid w:val="0"/>
              <w:spacing w:before="0" w:beforeAutospacing="0" w:after="0" w:afterAutospacing="0"/>
              <w:jc w:val="center"/>
              <w:rPr>
                <w:rFonts w:ascii="Times New Roman" w:hAnsi="Times New Roman" w:cs="宋体"/>
                <w:kern w:val="2"/>
                <w:szCs w:val="24"/>
              </w:rPr>
            </w:pPr>
          </w:p>
          <w:p>
            <w:pPr>
              <w:pStyle w:val="18"/>
              <w:adjustRightInd w:val="0"/>
              <w:snapToGrid w:val="0"/>
              <w:spacing w:before="0" w:beforeAutospacing="0" w:after="0" w:afterAutospacing="0"/>
              <w:jc w:val="center"/>
              <w:rPr>
                <w:rFonts w:ascii="Times New Roman" w:hAnsi="Times New Roman" w:cs="宋体"/>
                <w:kern w:val="2"/>
                <w:szCs w:val="24"/>
              </w:rPr>
            </w:pPr>
          </w:p>
          <w:p>
            <w:pPr>
              <w:pStyle w:val="18"/>
              <w:adjustRightInd w:val="0"/>
              <w:snapToGrid w:val="0"/>
              <w:spacing w:before="0" w:beforeAutospacing="0" w:after="0" w:afterAutospacing="0"/>
              <w:jc w:val="center"/>
              <w:rPr>
                <w:rFonts w:ascii="Times New Roman" w:hAnsi="Times New Roman" w:cs="宋体"/>
                <w:kern w:val="2"/>
                <w:szCs w:val="24"/>
              </w:rPr>
            </w:pPr>
          </w:p>
          <w:p>
            <w:pPr>
              <w:pStyle w:val="18"/>
              <w:adjustRightInd w:val="0"/>
              <w:snapToGrid w:val="0"/>
              <w:spacing w:before="0" w:beforeAutospacing="0" w:after="0" w:afterAutospacing="0"/>
              <w:jc w:val="center"/>
              <w:rPr>
                <w:rFonts w:ascii="Times New Roman" w:hAnsi="Times New Roman" w:cs="宋体"/>
                <w:kern w:val="2"/>
                <w:szCs w:val="24"/>
              </w:rPr>
            </w:pPr>
          </w:p>
          <w:p>
            <w:pPr>
              <w:pStyle w:val="18"/>
              <w:adjustRightInd w:val="0"/>
              <w:snapToGrid w:val="0"/>
              <w:spacing w:before="0" w:beforeAutospacing="0" w:after="0" w:afterAutospacing="0"/>
              <w:jc w:val="center"/>
              <w:rPr>
                <w:rFonts w:ascii="Times New Roman" w:hAnsi="Times New Roman" w:cs="宋体"/>
                <w:kern w:val="2"/>
                <w:szCs w:val="24"/>
              </w:rPr>
            </w:pPr>
          </w:p>
          <w:p>
            <w:pPr>
              <w:pStyle w:val="18"/>
              <w:adjustRightInd w:val="0"/>
              <w:snapToGrid w:val="0"/>
              <w:spacing w:before="0" w:beforeAutospacing="0" w:after="0" w:afterAutospacing="0"/>
              <w:jc w:val="center"/>
              <w:rPr>
                <w:rFonts w:ascii="Times New Roman" w:hAnsi="Times New Roman" w:cs="宋体"/>
                <w:kern w:val="2"/>
                <w:szCs w:val="24"/>
              </w:rPr>
            </w:pPr>
          </w:p>
          <w:p>
            <w:pPr>
              <w:pStyle w:val="18"/>
              <w:adjustRightInd w:val="0"/>
              <w:snapToGrid w:val="0"/>
              <w:spacing w:before="0" w:beforeAutospacing="0" w:after="0" w:afterAutospacing="0"/>
              <w:jc w:val="center"/>
              <w:rPr>
                <w:rFonts w:ascii="Times New Roman" w:hAnsi="Times New Roman" w:cs="宋体"/>
                <w:kern w:val="2"/>
                <w:szCs w:val="24"/>
              </w:rPr>
            </w:pPr>
          </w:p>
          <w:p>
            <w:pPr>
              <w:pStyle w:val="18"/>
              <w:adjustRightInd w:val="0"/>
              <w:snapToGrid w:val="0"/>
              <w:spacing w:before="0" w:beforeAutospacing="0" w:after="0" w:afterAutospacing="0"/>
              <w:jc w:val="center"/>
              <w:rPr>
                <w:rFonts w:ascii="Times New Roman" w:hAnsi="Times New Roman" w:cs="宋体"/>
                <w:kern w:val="2"/>
                <w:szCs w:val="24"/>
              </w:rPr>
            </w:pPr>
          </w:p>
          <w:p>
            <w:pPr>
              <w:pStyle w:val="18"/>
              <w:adjustRightInd w:val="0"/>
              <w:snapToGrid w:val="0"/>
              <w:spacing w:before="0" w:beforeAutospacing="0" w:after="0" w:afterAutospacing="0"/>
              <w:jc w:val="center"/>
              <w:rPr>
                <w:rFonts w:ascii="Times New Roman" w:hAnsi="Times New Roman" w:cs="宋体"/>
                <w:kern w:val="2"/>
                <w:szCs w:val="24"/>
              </w:rPr>
            </w:pPr>
          </w:p>
          <w:p>
            <w:pPr>
              <w:pStyle w:val="18"/>
              <w:adjustRightInd w:val="0"/>
              <w:snapToGrid w:val="0"/>
              <w:spacing w:before="0" w:beforeAutospacing="0" w:after="0" w:afterAutospacing="0"/>
              <w:jc w:val="center"/>
              <w:rPr>
                <w:rFonts w:ascii="Times New Roman" w:hAnsi="Times New Roman" w:cs="宋体"/>
                <w:kern w:val="2"/>
                <w:szCs w:val="24"/>
              </w:rPr>
            </w:pPr>
          </w:p>
          <w:p>
            <w:pPr>
              <w:pStyle w:val="18"/>
              <w:adjustRightInd w:val="0"/>
              <w:snapToGrid w:val="0"/>
              <w:spacing w:before="0" w:beforeAutospacing="0" w:after="0" w:afterAutospacing="0"/>
              <w:jc w:val="center"/>
              <w:rPr>
                <w:rFonts w:ascii="Times New Roman" w:hAnsi="Times New Roman" w:cs="宋体"/>
                <w:kern w:val="2"/>
                <w:szCs w:val="24"/>
              </w:rPr>
            </w:pPr>
          </w:p>
          <w:p>
            <w:pPr>
              <w:pStyle w:val="18"/>
              <w:adjustRightInd w:val="0"/>
              <w:snapToGrid w:val="0"/>
              <w:spacing w:before="0" w:beforeAutospacing="0" w:after="0" w:afterAutospacing="0"/>
              <w:jc w:val="center"/>
              <w:rPr>
                <w:rFonts w:ascii="Times New Roman" w:hAnsi="Times New Roman" w:cs="宋体"/>
                <w:kern w:val="2"/>
                <w:szCs w:val="24"/>
              </w:rPr>
            </w:pPr>
          </w:p>
          <w:p>
            <w:pPr>
              <w:pStyle w:val="18"/>
              <w:adjustRightInd w:val="0"/>
              <w:snapToGrid w:val="0"/>
              <w:spacing w:before="0" w:beforeAutospacing="0" w:after="0" w:afterAutospacing="0"/>
              <w:jc w:val="center"/>
              <w:rPr>
                <w:rFonts w:ascii="Times New Roman" w:hAnsi="Times New Roman" w:cs="宋体"/>
                <w:kern w:val="2"/>
                <w:szCs w:val="24"/>
              </w:rPr>
            </w:pPr>
          </w:p>
          <w:p>
            <w:pPr>
              <w:pStyle w:val="18"/>
              <w:adjustRightInd w:val="0"/>
              <w:snapToGrid w:val="0"/>
              <w:spacing w:before="0" w:beforeAutospacing="0" w:after="0" w:afterAutospacing="0"/>
              <w:jc w:val="center"/>
              <w:rPr>
                <w:rFonts w:ascii="Times New Roman" w:hAnsi="Times New Roman" w:cs="宋体"/>
                <w:kern w:val="2"/>
                <w:szCs w:val="24"/>
              </w:rPr>
            </w:pPr>
          </w:p>
          <w:p>
            <w:pPr>
              <w:pStyle w:val="18"/>
              <w:adjustRightInd w:val="0"/>
              <w:snapToGrid w:val="0"/>
              <w:spacing w:before="0" w:beforeAutospacing="0" w:after="0" w:afterAutospacing="0"/>
              <w:jc w:val="center"/>
              <w:rPr>
                <w:rFonts w:ascii="Times New Roman" w:hAnsi="Times New Roman" w:cs="宋体"/>
                <w:kern w:val="2"/>
                <w:szCs w:val="24"/>
              </w:rPr>
            </w:pPr>
            <w:r>
              <w:rPr>
                <w:rFonts w:hint="eastAsia" w:ascii="Times New Roman" w:hAnsi="Times New Roman" w:cs="宋体"/>
                <w:kern w:val="2"/>
                <w:szCs w:val="24"/>
              </w:rPr>
              <w:t>施工</w:t>
            </w:r>
          </w:p>
          <w:p>
            <w:pPr>
              <w:pStyle w:val="18"/>
              <w:adjustRightInd w:val="0"/>
              <w:snapToGrid w:val="0"/>
              <w:spacing w:before="0" w:beforeAutospacing="0" w:after="0" w:afterAutospacing="0"/>
              <w:jc w:val="center"/>
              <w:rPr>
                <w:rFonts w:ascii="Times New Roman" w:hAnsi="Times New Roman" w:cs="宋体"/>
                <w:kern w:val="2"/>
                <w:szCs w:val="24"/>
              </w:rPr>
            </w:pPr>
            <w:r>
              <w:rPr>
                <w:rFonts w:hint="eastAsia" w:ascii="Times New Roman" w:hAnsi="Times New Roman" w:cs="宋体"/>
                <w:kern w:val="2"/>
                <w:szCs w:val="24"/>
              </w:rPr>
              <w:t>期环</w:t>
            </w:r>
          </w:p>
          <w:p>
            <w:pPr>
              <w:pStyle w:val="18"/>
              <w:adjustRightInd w:val="0"/>
              <w:snapToGrid w:val="0"/>
              <w:spacing w:before="0" w:beforeAutospacing="0" w:after="0" w:afterAutospacing="0"/>
              <w:jc w:val="center"/>
              <w:rPr>
                <w:rFonts w:ascii="Times New Roman" w:hAnsi="Times New Roman" w:cs="宋体"/>
                <w:kern w:val="2"/>
                <w:szCs w:val="24"/>
              </w:rPr>
            </w:pPr>
            <w:r>
              <w:rPr>
                <w:rFonts w:hint="eastAsia" w:ascii="Times New Roman" w:hAnsi="Times New Roman" w:cs="宋体"/>
                <w:kern w:val="2"/>
                <w:szCs w:val="24"/>
              </w:rPr>
              <w:t>境保</w:t>
            </w:r>
          </w:p>
          <w:p>
            <w:pPr>
              <w:pStyle w:val="18"/>
              <w:adjustRightInd w:val="0"/>
              <w:snapToGrid w:val="0"/>
              <w:spacing w:before="0" w:beforeAutospacing="0" w:after="0" w:afterAutospacing="0"/>
              <w:jc w:val="center"/>
              <w:rPr>
                <w:rFonts w:ascii="Times New Roman" w:hAnsi="Times New Roman" w:cs="宋体"/>
                <w:kern w:val="2"/>
                <w:szCs w:val="24"/>
              </w:rPr>
            </w:pPr>
            <w:r>
              <w:rPr>
                <w:rFonts w:hint="eastAsia" w:ascii="Times New Roman" w:hAnsi="Times New Roman" w:cs="宋体"/>
                <w:kern w:val="2"/>
                <w:szCs w:val="24"/>
              </w:rPr>
              <w:t>护措</w:t>
            </w:r>
          </w:p>
          <w:p>
            <w:pPr>
              <w:pStyle w:val="18"/>
              <w:adjustRightInd w:val="0"/>
              <w:snapToGrid w:val="0"/>
              <w:spacing w:before="0" w:beforeAutospacing="0" w:after="0" w:afterAutospacing="0"/>
              <w:jc w:val="center"/>
              <w:rPr>
                <w:rFonts w:ascii="Times New Roman" w:hAnsi="Times New Roman" w:cs="宋体"/>
                <w:kern w:val="2"/>
                <w:szCs w:val="24"/>
              </w:rPr>
            </w:pPr>
            <w:r>
              <w:rPr>
                <w:rFonts w:hint="eastAsia" w:ascii="Times New Roman" w:hAnsi="Times New Roman" w:cs="宋体"/>
                <w:kern w:val="2"/>
                <w:szCs w:val="24"/>
              </w:rPr>
              <w:t>施</w:t>
            </w:r>
          </w:p>
          <w:p>
            <w:pPr>
              <w:pStyle w:val="18"/>
              <w:adjustRightInd w:val="0"/>
              <w:snapToGrid w:val="0"/>
              <w:spacing w:before="0" w:beforeAutospacing="0" w:after="0" w:afterAutospacing="0"/>
              <w:jc w:val="center"/>
              <w:rPr>
                <w:rFonts w:ascii="Times New Roman" w:hAnsi="Times New Roman" w:cs="宋体"/>
                <w:kern w:val="2"/>
                <w:szCs w:val="24"/>
              </w:rPr>
            </w:pPr>
          </w:p>
          <w:p>
            <w:pPr>
              <w:pStyle w:val="18"/>
              <w:adjustRightInd w:val="0"/>
              <w:snapToGrid w:val="0"/>
              <w:spacing w:before="0" w:beforeAutospacing="0" w:after="0" w:afterAutospacing="0"/>
              <w:jc w:val="center"/>
              <w:rPr>
                <w:rFonts w:ascii="Times New Roman" w:hAnsi="Times New Roman" w:cs="宋体"/>
                <w:kern w:val="2"/>
                <w:szCs w:val="24"/>
              </w:rPr>
            </w:pPr>
          </w:p>
          <w:p>
            <w:pPr>
              <w:pStyle w:val="18"/>
              <w:adjustRightInd w:val="0"/>
              <w:snapToGrid w:val="0"/>
              <w:spacing w:before="0" w:beforeAutospacing="0" w:after="0" w:afterAutospacing="0"/>
              <w:jc w:val="center"/>
              <w:rPr>
                <w:rFonts w:ascii="Times New Roman" w:hAnsi="Times New Roman" w:cs="宋体"/>
                <w:kern w:val="2"/>
                <w:szCs w:val="24"/>
              </w:rPr>
            </w:pPr>
          </w:p>
          <w:p>
            <w:pPr>
              <w:pStyle w:val="18"/>
              <w:adjustRightInd w:val="0"/>
              <w:snapToGrid w:val="0"/>
              <w:spacing w:before="0" w:beforeAutospacing="0" w:after="0" w:afterAutospacing="0"/>
              <w:jc w:val="center"/>
              <w:rPr>
                <w:rFonts w:ascii="Times New Roman" w:hAnsi="Times New Roman" w:cs="宋体"/>
                <w:kern w:val="2"/>
                <w:szCs w:val="24"/>
              </w:rPr>
            </w:pPr>
          </w:p>
          <w:p>
            <w:pPr>
              <w:pStyle w:val="18"/>
              <w:adjustRightInd w:val="0"/>
              <w:snapToGrid w:val="0"/>
              <w:spacing w:before="0" w:beforeAutospacing="0" w:after="0" w:afterAutospacing="0"/>
              <w:jc w:val="center"/>
              <w:rPr>
                <w:rFonts w:ascii="Times New Roman" w:hAnsi="Times New Roman" w:cs="宋体"/>
                <w:kern w:val="2"/>
                <w:szCs w:val="24"/>
              </w:rPr>
            </w:pPr>
          </w:p>
          <w:p>
            <w:pPr>
              <w:pStyle w:val="18"/>
              <w:adjustRightInd w:val="0"/>
              <w:snapToGrid w:val="0"/>
              <w:spacing w:before="0" w:beforeAutospacing="0" w:after="0" w:afterAutospacing="0"/>
              <w:jc w:val="center"/>
              <w:rPr>
                <w:rFonts w:ascii="Times New Roman" w:hAnsi="Times New Roman" w:cs="宋体"/>
                <w:kern w:val="2"/>
                <w:szCs w:val="24"/>
              </w:rPr>
            </w:pPr>
          </w:p>
          <w:p>
            <w:pPr>
              <w:pStyle w:val="18"/>
              <w:adjustRightInd w:val="0"/>
              <w:snapToGrid w:val="0"/>
              <w:spacing w:before="0" w:beforeAutospacing="0" w:after="0" w:afterAutospacing="0"/>
              <w:jc w:val="center"/>
              <w:rPr>
                <w:rFonts w:ascii="Times New Roman" w:hAnsi="Times New Roman" w:cs="宋体"/>
                <w:kern w:val="2"/>
                <w:szCs w:val="24"/>
              </w:rPr>
            </w:pPr>
          </w:p>
          <w:p>
            <w:pPr>
              <w:pStyle w:val="18"/>
              <w:adjustRightInd w:val="0"/>
              <w:snapToGrid w:val="0"/>
              <w:spacing w:before="0" w:beforeAutospacing="0" w:after="0" w:afterAutospacing="0"/>
              <w:jc w:val="center"/>
              <w:rPr>
                <w:rFonts w:ascii="Times New Roman" w:hAnsi="Times New Roman" w:cs="宋体"/>
                <w:kern w:val="2"/>
                <w:szCs w:val="24"/>
              </w:rPr>
            </w:pPr>
          </w:p>
          <w:p>
            <w:pPr>
              <w:pStyle w:val="18"/>
              <w:adjustRightInd w:val="0"/>
              <w:snapToGrid w:val="0"/>
              <w:spacing w:before="0" w:beforeAutospacing="0" w:after="0" w:afterAutospacing="0"/>
              <w:jc w:val="center"/>
              <w:rPr>
                <w:rFonts w:ascii="Times New Roman" w:hAnsi="Times New Roman" w:cs="宋体"/>
                <w:kern w:val="2"/>
                <w:szCs w:val="24"/>
              </w:rPr>
            </w:pPr>
          </w:p>
          <w:p>
            <w:pPr>
              <w:pStyle w:val="18"/>
              <w:adjustRightInd w:val="0"/>
              <w:snapToGrid w:val="0"/>
              <w:spacing w:before="0" w:beforeAutospacing="0" w:after="0" w:afterAutospacing="0"/>
              <w:jc w:val="center"/>
              <w:rPr>
                <w:rFonts w:ascii="Times New Roman" w:hAnsi="Times New Roman" w:cs="宋体"/>
                <w:kern w:val="2"/>
                <w:szCs w:val="24"/>
              </w:rPr>
            </w:pPr>
          </w:p>
          <w:p>
            <w:pPr>
              <w:pStyle w:val="18"/>
              <w:adjustRightInd w:val="0"/>
              <w:snapToGrid w:val="0"/>
              <w:spacing w:before="0" w:beforeAutospacing="0" w:after="0" w:afterAutospacing="0"/>
              <w:jc w:val="center"/>
              <w:rPr>
                <w:rFonts w:ascii="Times New Roman" w:hAnsi="Times New Roman" w:cs="宋体"/>
                <w:kern w:val="2"/>
                <w:szCs w:val="24"/>
              </w:rPr>
            </w:pPr>
          </w:p>
          <w:p>
            <w:pPr>
              <w:pStyle w:val="18"/>
              <w:adjustRightInd w:val="0"/>
              <w:snapToGrid w:val="0"/>
              <w:spacing w:before="0" w:beforeAutospacing="0" w:after="0" w:afterAutospacing="0"/>
              <w:jc w:val="center"/>
              <w:rPr>
                <w:rFonts w:ascii="Times New Roman" w:hAnsi="Times New Roman" w:cs="宋体"/>
                <w:kern w:val="2"/>
                <w:szCs w:val="24"/>
              </w:rPr>
            </w:pPr>
          </w:p>
          <w:p>
            <w:pPr>
              <w:pStyle w:val="18"/>
              <w:adjustRightInd w:val="0"/>
              <w:snapToGrid w:val="0"/>
              <w:spacing w:before="0" w:beforeAutospacing="0" w:after="0" w:afterAutospacing="0"/>
              <w:jc w:val="center"/>
              <w:rPr>
                <w:rFonts w:ascii="Times New Roman" w:hAnsi="Times New Roman" w:cs="宋体"/>
                <w:kern w:val="2"/>
                <w:szCs w:val="24"/>
              </w:rPr>
            </w:pPr>
          </w:p>
          <w:p>
            <w:pPr>
              <w:pStyle w:val="18"/>
              <w:adjustRightInd w:val="0"/>
              <w:snapToGrid w:val="0"/>
              <w:spacing w:before="0" w:beforeAutospacing="0" w:after="0" w:afterAutospacing="0"/>
              <w:jc w:val="center"/>
              <w:rPr>
                <w:rFonts w:ascii="Times New Roman" w:hAnsi="Times New Roman" w:cs="宋体"/>
                <w:kern w:val="2"/>
                <w:szCs w:val="24"/>
              </w:rPr>
            </w:pPr>
          </w:p>
          <w:p>
            <w:pPr>
              <w:pStyle w:val="18"/>
              <w:adjustRightInd w:val="0"/>
              <w:snapToGrid w:val="0"/>
              <w:spacing w:before="0" w:beforeAutospacing="0" w:after="0" w:afterAutospacing="0"/>
              <w:jc w:val="center"/>
              <w:rPr>
                <w:rFonts w:ascii="Times New Roman" w:hAnsi="Times New Roman" w:cs="宋体"/>
                <w:kern w:val="2"/>
                <w:szCs w:val="24"/>
              </w:rPr>
            </w:pPr>
          </w:p>
          <w:p>
            <w:pPr>
              <w:pStyle w:val="18"/>
              <w:adjustRightInd w:val="0"/>
              <w:snapToGrid w:val="0"/>
              <w:spacing w:before="0" w:beforeAutospacing="0" w:after="0" w:afterAutospacing="0"/>
              <w:jc w:val="center"/>
              <w:rPr>
                <w:rFonts w:ascii="Times New Roman" w:hAnsi="Times New Roman" w:cs="宋体"/>
                <w:kern w:val="2"/>
                <w:szCs w:val="24"/>
              </w:rPr>
            </w:pPr>
          </w:p>
          <w:p>
            <w:pPr>
              <w:pStyle w:val="18"/>
              <w:adjustRightInd w:val="0"/>
              <w:snapToGrid w:val="0"/>
              <w:spacing w:before="0" w:beforeAutospacing="0" w:after="0" w:afterAutospacing="0"/>
              <w:jc w:val="center"/>
              <w:rPr>
                <w:rFonts w:ascii="Times New Roman" w:hAnsi="Times New Roman" w:cs="宋体"/>
                <w:kern w:val="2"/>
                <w:szCs w:val="24"/>
              </w:rPr>
            </w:pPr>
          </w:p>
          <w:p>
            <w:pPr>
              <w:pStyle w:val="18"/>
              <w:adjustRightInd w:val="0"/>
              <w:snapToGrid w:val="0"/>
              <w:spacing w:before="0" w:beforeAutospacing="0" w:after="0" w:afterAutospacing="0"/>
              <w:jc w:val="center"/>
              <w:rPr>
                <w:rFonts w:ascii="Times New Roman" w:hAnsi="Times New Roman" w:cs="宋体"/>
                <w:kern w:val="2"/>
                <w:szCs w:val="24"/>
              </w:rPr>
            </w:pPr>
          </w:p>
          <w:p>
            <w:pPr>
              <w:pStyle w:val="18"/>
              <w:adjustRightInd w:val="0"/>
              <w:snapToGrid w:val="0"/>
              <w:spacing w:before="0" w:beforeAutospacing="0" w:after="0" w:afterAutospacing="0"/>
              <w:jc w:val="center"/>
              <w:rPr>
                <w:rFonts w:ascii="Times New Roman" w:hAnsi="Times New Roman" w:cs="宋体"/>
                <w:kern w:val="2"/>
                <w:szCs w:val="24"/>
              </w:rPr>
            </w:pPr>
          </w:p>
          <w:p>
            <w:pPr>
              <w:pStyle w:val="18"/>
              <w:adjustRightInd w:val="0"/>
              <w:snapToGrid w:val="0"/>
              <w:spacing w:before="0" w:beforeAutospacing="0" w:after="0" w:afterAutospacing="0"/>
              <w:jc w:val="center"/>
              <w:rPr>
                <w:rFonts w:ascii="Times New Roman" w:hAnsi="Times New Roman" w:cs="宋体"/>
                <w:kern w:val="2"/>
                <w:szCs w:val="24"/>
              </w:rPr>
            </w:pPr>
          </w:p>
          <w:p>
            <w:pPr>
              <w:pStyle w:val="18"/>
              <w:adjustRightInd w:val="0"/>
              <w:snapToGrid w:val="0"/>
              <w:spacing w:before="0" w:beforeAutospacing="0" w:after="0" w:afterAutospacing="0"/>
              <w:rPr>
                <w:rFonts w:ascii="Times New Roman" w:hAnsi="Times New Roman" w:cs="宋体"/>
                <w:kern w:val="2"/>
                <w:szCs w:val="24"/>
              </w:rPr>
            </w:pPr>
          </w:p>
        </w:tc>
        <w:tc>
          <w:tcPr>
            <w:tcW w:w="8162" w:type="dxa"/>
            <w:vAlign w:val="center"/>
          </w:tcPr>
          <w:p>
            <w:pPr>
              <w:autoSpaceDE w:val="0"/>
              <w:autoSpaceDN w:val="0"/>
              <w:adjustRightInd w:val="0"/>
              <w:snapToGrid w:val="0"/>
              <w:spacing w:line="360" w:lineRule="auto"/>
              <w:ind w:firstLine="480" w:firstLineChars="200"/>
              <w:rPr>
                <w:rFonts w:cs="宋体"/>
                <w:bCs/>
                <w:kern w:val="0"/>
                <w:sz w:val="24"/>
              </w:rPr>
            </w:pPr>
            <w:r>
              <w:rPr>
                <w:rFonts w:hint="eastAsia" w:cs="宋体"/>
                <w:bCs/>
                <w:kern w:val="0"/>
                <w:sz w:val="24"/>
              </w:rPr>
              <w:t>本项目</w:t>
            </w:r>
            <w:r>
              <w:rPr>
                <w:rFonts w:hint="eastAsia" w:cs="宋体"/>
                <w:kern w:val="0"/>
                <w:sz w:val="24"/>
              </w:rPr>
              <w:t>施工期</w:t>
            </w:r>
            <w:r>
              <w:rPr>
                <w:rFonts w:hint="eastAsia" w:cs="宋体"/>
                <w:bCs/>
                <w:kern w:val="0"/>
                <w:sz w:val="24"/>
              </w:rPr>
              <w:t>主要建设内容为平整</w:t>
            </w:r>
            <w:r>
              <w:rPr>
                <w:rFonts w:cs="宋体"/>
                <w:bCs/>
                <w:kern w:val="0"/>
                <w:sz w:val="24"/>
              </w:rPr>
              <w:t>场地、</w:t>
            </w:r>
            <w:r>
              <w:rPr>
                <w:rFonts w:hint="eastAsia" w:cs="宋体"/>
                <w:bCs/>
                <w:kern w:val="0"/>
                <w:sz w:val="24"/>
              </w:rPr>
              <w:t>原料和产品</w:t>
            </w:r>
            <w:r>
              <w:rPr>
                <w:rFonts w:cs="宋体"/>
                <w:bCs/>
                <w:kern w:val="0"/>
                <w:sz w:val="24"/>
              </w:rPr>
              <w:t>筒仓及</w:t>
            </w:r>
            <w:r>
              <w:rPr>
                <w:rFonts w:hint="eastAsia" w:cs="宋体"/>
                <w:bCs/>
                <w:kern w:val="0"/>
                <w:sz w:val="24"/>
              </w:rPr>
              <w:t>钢结构厂房（分选粉磨</w:t>
            </w:r>
            <w:r>
              <w:rPr>
                <w:rFonts w:cs="宋体"/>
                <w:bCs/>
                <w:kern w:val="0"/>
                <w:sz w:val="24"/>
              </w:rPr>
              <w:t>车间</w:t>
            </w:r>
            <w:r>
              <w:rPr>
                <w:rFonts w:hint="eastAsia" w:cs="宋体"/>
                <w:bCs/>
                <w:kern w:val="0"/>
                <w:sz w:val="24"/>
              </w:rPr>
              <w:t>）的建设安装，同时进行</w:t>
            </w:r>
            <w:r>
              <w:rPr>
                <w:rFonts w:cs="宋体"/>
                <w:bCs/>
                <w:kern w:val="0"/>
                <w:sz w:val="24"/>
              </w:rPr>
              <w:t>生产设备、</w:t>
            </w:r>
            <w:r>
              <w:rPr>
                <w:rFonts w:hint="eastAsia" w:cs="宋体"/>
                <w:bCs/>
                <w:kern w:val="0"/>
                <w:sz w:val="24"/>
              </w:rPr>
              <w:t>环保设施的布置、安装等工作，预计施工期共2个月。</w:t>
            </w:r>
          </w:p>
          <w:p>
            <w:pPr>
              <w:adjustRightInd w:val="0"/>
              <w:snapToGrid w:val="0"/>
              <w:spacing w:line="360" w:lineRule="auto"/>
              <w:ind w:firstLine="480" w:firstLineChars="200"/>
              <w:rPr>
                <w:sz w:val="24"/>
              </w:rPr>
            </w:pPr>
            <w:r>
              <w:rPr>
                <w:sz w:val="24"/>
              </w:rPr>
              <w:t>施工期产生的主要污染物</w:t>
            </w:r>
            <w:r>
              <w:rPr>
                <w:rFonts w:hint="eastAsia"/>
                <w:sz w:val="24"/>
              </w:rPr>
              <w:t>为</w:t>
            </w:r>
            <w:r>
              <w:rPr>
                <w:sz w:val="24"/>
              </w:rPr>
              <w:t>施工扬尘、</w:t>
            </w:r>
            <w:r>
              <w:rPr>
                <w:rFonts w:hint="eastAsia"/>
                <w:sz w:val="24"/>
              </w:rPr>
              <w:t>施工机械尾气、施工</w:t>
            </w:r>
            <w:r>
              <w:rPr>
                <w:sz w:val="24"/>
              </w:rPr>
              <w:t>噪声、</w:t>
            </w:r>
            <w:r>
              <w:rPr>
                <w:rFonts w:hint="eastAsia"/>
                <w:sz w:val="24"/>
              </w:rPr>
              <w:t>施工</w:t>
            </w:r>
            <w:r>
              <w:rPr>
                <w:sz w:val="24"/>
              </w:rPr>
              <w:t>人员污水</w:t>
            </w:r>
            <w:r>
              <w:rPr>
                <w:rFonts w:hint="eastAsia"/>
                <w:sz w:val="24"/>
              </w:rPr>
              <w:t>及</w:t>
            </w:r>
            <w:r>
              <w:rPr>
                <w:sz w:val="24"/>
              </w:rPr>
              <w:t>建筑垃圾等</w:t>
            </w:r>
            <w:r>
              <w:rPr>
                <w:rFonts w:hint="eastAsia"/>
                <w:sz w:val="24"/>
              </w:rPr>
              <w:t>。本次评价针对项目施工特点提出以下施工期环境保护措施：</w:t>
            </w:r>
          </w:p>
          <w:p>
            <w:pPr>
              <w:autoSpaceDE w:val="0"/>
              <w:autoSpaceDN w:val="0"/>
              <w:adjustRightInd w:val="0"/>
              <w:snapToGrid w:val="0"/>
              <w:spacing w:line="360" w:lineRule="auto"/>
              <w:ind w:firstLine="482" w:firstLineChars="200"/>
              <w:rPr>
                <w:rFonts w:cs="宋体"/>
                <w:b/>
                <w:bCs/>
                <w:kern w:val="0"/>
                <w:sz w:val="24"/>
              </w:rPr>
            </w:pPr>
            <w:r>
              <w:rPr>
                <w:rFonts w:hint="eastAsia" w:cs="宋体"/>
                <w:b/>
                <w:bCs/>
                <w:kern w:val="0"/>
                <w:sz w:val="24"/>
              </w:rPr>
              <w:t>1、施工废气污染防治措施</w:t>
            </w:r>
          </w:p>
          <w:p>
            <w:pPr>
              <w:autoSpaceDE w:val="0"/>
              <w:autoSpaceDN w:val="0"/>
              <w:adjustRightInd w:val="0"/>
              <w:snapToGrid w:val="0"/>
              <w:spacing w:line="360" w:lineRule="auto"/>
              <w:ind w:firstLine="480" w:firstLineChars="200"/>
              <w:rPr>
                <w:bCs/>
                <w:sz w:val="24"/>
              </w:rPr>
            </w:pPr>
            <w:r>
              <w:rPr>
                <w:bCs/>
                <w:sz w:val="24"/>
              </w:rPr>
              <w:t>为</w:t>
            </w:r>
            <w:r>
              <w:rPr>
                <w:rFonts w:hint="eastAsia"/>
                <w:bCs/>
                <w:sz w:val="24"/>
              </w:rPr>
              <w:t>尽可能减轻</w:t>
            </w:r>
            <w:r>
              <w:rPr>
                <w:bCs/>
                <w:sz w:val="24"/>
              </w:rPr>
              <w:t>项目建设对周围环境空气的影响，施工期应严格执行</w:t>
            </w:r>
            <w:r>
              <w:rPr>
                <w:rFonts w:hint="eastAsia"/>
                <w:bCs/>
                <w:sz w:val="24"/>
              </w:rPr>
              <w:t>《河南省2021年大气污染防治攻坚战实施方案》、《河南省建筑施工现场扬尘防治管理暂行规定》，建议施工单位采取相应措施：</w:t>
            </w:r>
          </w:p>
          <w:p>
            <w:pPr>
              <w:autoSpaceDE w:val="0"/>
              <w:autoSpaceDN w:val="0"/>
              <w:adjustRightInd w:val="0"/>
              <w:snapToGrid w:val="0"/>
              <w:spacing w:line="360" w:lineRule="auto"/>
              <w:ind w:firstLine="482" w:firstLineChars="200"/>
              <w:rPr>
                <w:rFonts w:cs="宋体"/>
                <w:b/>
                <w:kern w:val="0"/>
                <w:sz w:val="24"/>
                <w:u w:val="single"/>
              </w:rPr>
            </w:pPr>
            <w:r>
              <w:rPr>
                <w:rFonts w:hint="eastAsia" w:cs="宋体"/>
                <w:b/>
                <w:kern w:val="0"/>
                <w:sz w:val="24"/>
                <w:u w:val="single"/>
              </w:rPr>
              <w:t>（1）施工现场设置连续围挡，围挡设置高度不低于1.8m；并在围挡墙上设置扬尘治理公示栏，公示施工扬尘控制措施、项目经理、具体责任人姓名及扬尘投诉举报电话，举报电话应包括施工企业、建设单位和行业监管部门电话，接受社会监督；</w:t>
            </w:r>
          </w:p>
          <w:p>
            <w:pPr>
              <w:autoSpaceDE w:val="0"/>
              <w:autoSpaceDN w:val="0"/>
              <w:adjustRightInd w:val="0"/>
              <w:snapToGrid w:val="0"/>
              <w:spacing w:line="360" w:lineRule="auto"/>
              <w:ind w:firstLine="482" w:firstLineChars="200"/>
              <w:rPr>
                <w:rFonts w:cs="宋体"/>
                <w:b/>
                <w:kern w:val="0"/>
                <w:sz w:val="24"/>
                <w:u w:val="single"/>
              </w:rPr>
            </w:pPr>
            <w:r>
              <w:rPr>
                <w:rFonts w:hint="eastAsia" w:cs="宋体"/>
                <w:b/>
                <w:kern w:val="0"/>
                <w:sz w:val="24"/>
                <w:u w:val="single"/>
              </w:rPr>
              <w:t>（2）施工现场运输沙石、渣土等散体物料的车辆必须封闭严密，防止遗洒飞扬；</w:t>
            </w:r>
          </w:p>
          <w:p>
            <w:pPr>
              <w:autoSpaceDE w:val="0"/>
              <w:autoSpaceDN w:val="0"/>
              <w:adjustRightInd w:val="0"/>
              <w:snapToGrid w:val="0"/>
              <w:spacing w:line="360" w:lineRule="auto"/>
              <w:ind w:firstLine="482" w:firstLineChars="200"/>
              <w:rPr>
                <w:rFonts w:cs="宋体"/>
                <w:b/>
                <w:kern w:val="0"/>
                <w:sz w:val="24"/>
                <w:u w:val="single"/>
              </w:rPr>
            </w:pPr>
            <w:r>
              <w:rPr>
                <w:rFonts w:hint="eastAsia" w:cs="宋体"/>
                <w:b/>
                <w:kern w:val="0"/>
                <w:sz w:val="24"/>
                <w:u w:val="single"/>
              </w:rPr>
              <w:t>（3）</w:t>
            </w:r>
            <w:r>
              <w:rPr>
                <w:rFonts w:cs="宋体"/>
                <w:b/>
                <w:kern w:val="0"/>
                <w:sz w:val="24"/>
                <w:u w:val="single"/>
              </w:rPr>
              <w:t>设专人负责环保工作，配备洒水设备</w:t>
            </w:r>
            <w:r>
              <w:rPr>
                <w:rFonts w:hint="eastAsia" w:cs="宋体"/>
                <w:b/>
                <w:kern w:val="0"/>
                <w:sz w:val="24"/>
                <w:u w:val="single"/>
              </w:rPr>
              <w:t>，施工期间应及时洒水降尘。在开挖土方时，应做到随挖随运走或随填随压，施工场地临时堆放的土方、施工裸地应采取加盖防护网、喷淋保湿等防护措施，防止大风造成的尘土飞扬；</w:t>
            </w:r>
          </w:p>
          <w:p>
            <w:pPr>
              <w:autoSpaceDE w:val="0"/>
              <w:autoSpaceDN w:val="0"/>
              <w:adjustRightInd w:val="0"/>
              <w:snapToGrid w:val="0"/>
              <w:spacing w:line="360" w:lineRule="auto"/>
              <w:ind w:firstLine="482" w:firstLineChars="200"/>
              <w:rPr>
                <w:rFonts w:cs="宋体"/>
                <w:b/>
                <w:kern w:val="0"/>
                <w:sz w:val="24"/>
                <w:u w:val="single"/>
              </w:rPr>
            </w:pPr>
            <w:r>
              <w:rPr>
                <w:rFonts w:hint="eastAsia" w:cs="宋体"/>
                <w:b/>
                <w:kern w:val="0"/>
                <w:sz w:val="24"/>
                <w:u w:val="single"/>
              </w:rPr>
              <w:t>（4）施工现场道路、作业区地面硬化，厂区出口设置车辆冲洗设施，车辆驶离前应对轮胎及车身实施有效清洗，不得带泥上路；施工单位运输工程渣土、建筑垃圾及砂、石等散体建筑材料，应当采用密闭运输车辆、采取喷淋压尘装载、禁止超载并按指定路线行驶，驶离厂区的运输车辆必须冲洗，避免尘土洒落增加道路扬尘；</w:t>
            </w:r>
          </w:p>
          <w:p>
            <w:pPr>
              <w:autoSpaceDE w:val="0"/>
              <w:autoSpaceDN w:val="0"/>
              <w:adjustRightInd w:val="0"/>
              <w:snapToGrid w:val="0"/>
              <w:spacing w:line="360" w:lineRule="auto"/>
              <w:ind w:firstLine="482" w:firstLineChars="200"/>
              <w:rPr>
                <w:rFonts w:cs="宋体"/>
                <w:b/>
                <w:kern w:val="0"/>
                <w:sz w:val="24"/>
                <w:u w:val="single"/>
              </w:rPr>
            </w:pPr>
            <w:r>
              <w:rPr>
                <w:rFonts w:hint="eastAsia" w:cs="宋体"/>
                <w:b/>
                <w:kern w:val="0"/>
                <w:sz w:val="24"/>
                <w:u w:val="single"/>
              </w:rPr>
              <w:t>（5）严格落实施工工地“六个100%”（施工现场100%围挡、物料堆放100%覆盖、裸露地面100%绿化或覆盖、进出车辆100%冲洗、拆除和土方作业100%喷淋、渣土运输车100%封闭）；</w:t>
            </w:r>
          </w:p>
          <w:p>
            <w:pPr>
              <w:autoSpaceDE w:val="0"/>
              <w:autoSpaceDN w:val="0"/>
              <w:adjustRightInd w:val="0"/>
              <w:snapToGrid w:val="0"/>
              <w:spacing w:line="360" w:lineRule="auto"/>
              <w:ind w:firstLine="482" w:firstLineChars="200"/>
              <w:rPr>
                <w:rFonts w:cs="宋体"/>
                <w:b/>
                <w:kern w:val="0"/>
                <w:sz w:val="24"/>
                <w:u w:val="single"/>
              </w:rPr>
            </w:pPr>
            <w:r>
              <w:rPr>
                <w:rFonts w:hint="eastAsia" w:cs="宋体"/>
                <w:b/>
                <w:kern w:val="0"/>
                <w:sz w:val="24"/>
                <w:u w:val="single"/>
              </w:rPr>
              <w:t>（</w:t>
            </w:r>
            <w:r>
              <w:rPr>
                <w:rFonts w:cs="宋体"/>
                <w:b/>
                <w:kern w:val="0"/>
                <w:sz w:val="24"/>
                <w:u w:val="single"/>
              </w:rPr>
              <w:t>6</w:t>
            </w:r>
            <w:r>
              <w:rPr>
                <w:rFonts w:hint="eastAsia" w:cs="宋体"/>
                <w:b/>
                <w:kern w:val="0"/>
                <w:sz w:val="24"/>
                <w:u w:val="single"/>
              </w:rPr>
              <w:t>）</w:t>
            </w:r>
            <w:r>
              <w:rPr>
                <w:rFonts w:hint="eastAsia"/>
                <w:b/>
                <w:sz w:val="24"/>
                <w:u w:val="single"/>
              </w:rPr>
              <w:t>采用商品混凝土，禁止在施工现场搅拌混凝土</w:t>
            </w:r>
            <w:r>
              <w:rPr>
                <w:rFonts w:hint="eastAsia" w:cs="宋体"/>
                <w:b/>
                <w:kern w:val="0"/>
                <w:sz w:val="24"/>
                <w:u w:val="single"/>
              </w:rPr>
              <w:t>。</w:t>
            </w:r>
          </w:p>
          <w:p>
            <w:pPr>
              <w:autoSpaceDE w:val="0"/>
              <w:autoSpaceDN w:val="0"/>
              <w:adjustRightInd w:val="0"/>
              <w:snapToGrid w:val="0"/>
              <w:spacing w:line="360" w:lineRule="auto"/>
              <w:ind w:firstLine="480" w:firstLineChars="200"/>
              <w:rPr>
                <w:rFonts w:cs="宋体"/>
                <w:bCs/>
                <w:kern w:val="0"/>
                <w:sz w:val="24"/>
              </w:rPr>
            </w:pPr>
            <w:r>
              <w:rPr>
                <w:rFonts w:hint="eastAsia" w:cs="宋体"/>
                <w:bCs/>
                <w:kern w:val="0"/>
                <w:sz w:val="24"/>
              </w:rPr>
              <w:t>扬尘的产生量及扬尘污染程度与车辆的运输方式、路面状况，天气条件等因素关系密切。上述过程中产生的扬尘浓度一般为20mg/m</w:t>
            </w:r>
            <w:r>
              <w:rPr>
                <w:rFonts w:hint="eastAsia" w:cs="宋体"/>
                <w:bCs/>
                <w:kern w:val="0"/>
                <w:sz w:val="24"/>
                <w:vertAlign w:val="superscript"/>
              </w:rPr>
              <w:t>3</w:t>
            </w:r>
            <w:r>
              <w:rPr>
                <w:rFonts w:hint="eastAsia" w:cs="宋体"/>
                <w:bCs/>
                <w:kern w:val="0"/>
                <w:sz w:val="24"/>
              </w:rPr>
              <w:t>，经评价提出的上述措施处理后，扬尘浓度＜1.0mg/m</w:t>
            </w:r>
            <w:r>
              <w:rPr>
                <w:rFonts w:hint="eastAsia" w:cs="宋体"/>
                <w:bCs/>
                <w:kern w:val="0"/>
                <w:sz w:val="24"/>
                <w:vertAlign w:val="superscript"/>
              </w:rPr>
              <w:t>3</w:t>
            </w:r>
            <w:r>
              <w:rPr>
                <w:rFonts w:hint="eastAsia" w:cs="宋体"/>
                <w:bCs/>
                <w:kern w:val="0"/>
                <w:sz w:val="24"/>
              </w:rPr>
              <w:t>。</w:t>
            </w:r>
          </w:p>
          <w:p>
            <w:pPr>
              <w:autoSpaceDE w:val="0"/>
              <w:autoSpaceDN w:val="0"/>
              <w:adjustRightInd w:val="0"/>
              <w:snapToGrid w:val="0"/>
              <w:spacing w:line="360" w:lineRule="auto"/>
              <w:ind w:firstLine="480" w:firstLineChars="200"/>
              <w:rPr>
                <w:rFonts w:cs="宋体"/>
                <w:bCs/>
                <w:kern w:val="0"/>
                <w:sz w:val="24"/>
              </w:rPr>
            </w:pPr>
            <w:r>
              <w:rPr>
                <w:rFonts w:hint="eastAsia" w:cs="宋体"/>
                <w:bCs/>
                <w:kern w:val="0"/>
                <w:sz w:val="24"/>
              </w:rPr>
              <w:t>在工程施工期间，施工机械及运输车辆的发动机排放的尾气中含有NO</w:t>
            </w:r>
            <w:r>
              <w:rPr>
                <w:rFonts w:hint="eastAsia" w:cs="宋体"/>
                <w:bCs/>
                <w:kern w:val="0"/>
                <w:sz w:val="24"/>
                <w:vertAlign w:val="subscript"/>
              </w:rPr>
              <w:t>2</w:t>
            </w:r>
            <w:r>
              <w:rPr>
                <w:rFonts w:hint="eastAsia" w:cs="宋体"/>
                <w:bCs/>
                <w:kern w:val="0"/>
                <w:sz w:val="24"/>
              </w:rPr>
              <w:t>、CO、THC等污染物。在一般情况下，各种污染物排放量不大，通过当地风力扩散后对环境影响较小。</w:t>
            </w:r>
          </w:p>
          <w:p>
            <w:pPr>
              <w:autoSpaceDE w:val="0"/>
              <w:autoSpaceDN w:val="0"/>
              <w:adjustRightInd w:val="0"/>
              <w:snapToGrid w:val="0"/>
              <w:spacing w:line="360" w:lineRule="auto"/>
              <w:ind w:firstLine="482" w:firstLineChars="200"/>
              <w:rPr>
                <w:rFonts w:cs="宋体"/>
                <w:b/>
                <w:bCs/>
                <w:kern w:val="0"/>
                <w:sz w:val="24"/>
              </w:rPr>
            </w:pPr>
            <w:r>
              <w:rPr>
                <w:rFonts w:hint="eastAsia" w:cs="宋体"/>
                <w:b/>
                <w:bCs/>
                <w:kern w:val="0"/>
                <w:sz w:val="24"/>
              </w:rPr>
              <w:t>2、废水污染防治措施</w:t>
            </w:r>
          </w:p>
          <w:p>
            <w:pPr>
              <w:autoSpaceDE w:val="0"/>
              <w:autoSpaceDN w:val="0"/>
              <w:adjustRightInd w:val="0"/>
              <w:snapToGrid w:val="0"/>
              <w:spacing w:line="360" w:lineRule="auto"/>
              <w:ind w:firstLine="480" w:firstLineChars="200"/>
              <w:rPr>
                <w:rFonts w:cs="宋体"/>
                <w:kern w:val="0"/>
                <w:sz w:val="24"/>
              </w:rPr>
            </w:pPr>
            <w:r>
              <w:rPr>
                <w:rFonts w:hint="eastAsia" w:cs="宋体"/>
                <w:kern w:val="0"/>
                <w:sz w:val="24"/>
              </w:rPr>
              <w:t>（1）施工期生产废水</w:t>
            </w:r>
          </w:p>
          <w:p>
            <w:pPr>
              <w:autoSpaceDE w:val="0"/>
              <w:autoSpaceDN w:val="0"/>
              <w:adjustRightInd w:val="0"/>
              <w:snapToGrid w:val="0"/>
              <w:spacing w:line="360" w:lineRule="auto"/>
              <w:ind w:firstLine="480" w:firstLineChars="200"/>
              <w:rPr>
                <w:rFonts w:cs="宋体"/>
                <w:kern w:val="0"/>
                <w:sz w:val="24"/>
              </w:rPr>
            </w:pPr>
            <w:r>
              <w:rPr>
                <w:rFonts w:hint="eastAsia" w:cs="宋体"/>
                <w:kern w:val="0"/>
                <w:sz w:val="24"/>
              </w:rPr>
              <w:t>本项目施工期生产废水主要包括施工机械、运输车辆的冲洗废水，废水中含油泥沙等悬浮物及石油类。本项目施工期在进厂处设置感应式全车冲洗装置（与营运期共用），对进出场车辆进行冲洗，保证进出场车辆洁净。同时车辆冲洗水经</w:t>
            </w:r>
            <w:r>
              <w:rPr>
                <w:rFonts w:cs="宋体"/>
                <w:kern w:val="0"/>
                <w:sz w:val="24"/>
              </w:rPr>
              <w:t>沉淀后</w:t>
            </w:r>
            <w:r>
              <w:rPr>
                <w:rFonts w:hint="eastAsia" w:cs="宋体"/>
                <w:kern w:val="0"/>
                <w:sz w:val="24"/>
              </w:rPr>
              <w:t>循环使用不外排。</w:t>
            </w:r>
          </w:p>
          <w:p>
            <w:pPr>
              <w:autoSpaceDE w:val="0"/>
              <w:autoSpaceDN w:val="0"/>
              <w:adjustRightInd w:val="0"/>
              <w:snapToGrid w:val="0"/>
              <w:spacing w:line="360" w:lineRule="auto"/>
              <w:ind w:firstLine="480" w:firstLineChars="200"/>
              <w:rPr>
                <w:rFonts w:cs="宋体"/>
                <w:kern w:val="0"/>
                <w:sz w:val="24"/>
              </w:rPr>
            </w:pPr>
            <w:r>
              <w:rPr>
                <w:rFonts w:hint="eastAsia" w:cs="宋体"/>
                <w:kern w:val="0"/>
                <w:sz w:val="24"/>
              </w:rPr>
              <w:t>（2）施工期生活污水</w:t>
            </w:r>
          </w:p>
          <w:p>
            <w:pPr>
              <w:autoSpaceDE w:val="0"/>
              <w:autoSpaceDN w:val="0"/>
              <w:adjustRightInd w:val="0"/>
              <w:snapToGrid w:val="0"/>
              <w:spacing w:line="360" w:lineRule="auto"/>
              <w:ind w:firstLine="480" w:firstLineChars="200"/>
              <w:rPr>
                <w:rFonts w:cs="宋体"/>
                <w:kern w:val="0"/>
                <w:sz w:val="24"/>
              </w:rPr>
            </w:pPr>
            <w:r>
              <w:rPr>
                <w:rFonts w:hint="eastAsia" w:cs="宋体"/>
                <w:kern w:val="0"/>
                <w:sz w:val="24"/>
              </w:rPr>
              <w:t>施工期施工人员不在施工场地食宿。施工人员生活用水主要为洗漱用水，人均日用水量为</w:t>
            </w:r>
            <w:r>
              <w:rPr>
                <w:rFonts w:cs="宋体"/>
                <w:kern w:val="0"/>
                <w:sz w:val="24"/>
              </w:rPr>
              <w:t>4</w:t>
            </w:r>
            <w:r>
              <w:rPr>
                <w:rFonts w:hint="eastAsia" w:cs="宋体"/>
                <w:kern w:val="0"/>
                <w:sz w:val="24"/>
              </w:rPr>
              <w:t>0L，高峰期施工人数按1</w:t>
            </w:r>
            <w:r>
              <w:rPr>
                <w:rFonts w:cs="宋体"/>
                <w:kern w:val="0"/>
                <w:sz w:val="24"/>
              </w:rPr>
              <w:t>0</w:t>
            </w:r>
            <w:r>
              <w:rPr>
                <w:rFonts w:hint="eastAsia" w:cs="宋体"/>
                <w:kern w:val="0"/>
                <w:sz w:val="24"/>
              </w:rPr>
              <w:t>人计，生活污水排放系数取0.8，高峰日生活污水排放量约为0.</w:t>
            </w:r>
            <w:r>
              <w:rPr>
                <w:rFonts w:cs="宋体"/>
                <w:kern w:val="0"/>
                <w:sz w:val="24"/>
              </w:rPr>
              <w:t>32</w:t>
            </w:r>
            <w:r>
              <w:rPr>
                <w:rFonts w:hint="eastAsia" w:cs="宋体"/>
                <w:kern w:val="0"/>
                <w:sz w:val="24"/>
              </w:rPr>
              <w:t>m</w:t>
            </w:r>
            <w:r>
              <w:rPr>
                <w:rFonts w:hint="eastAsia" w:cs="宋体"/>
                <w:kern w:val="0"/>
                <w:sz w:val="24"/>
                <w:vertAlign w:val="superscript"/>
              </w:rPr>
              <w:t>3</w:t>
            </w:r>
            <w:r>
              <w:rPr>
                <w:rFonts w:hint="eastAsia" w:cs="宋体"/>
                <w:kern w:val="0"/>
                <w:sz w:val="24"/>
              </w:rPr>
              <w:t>，施工期（60天）共产生</w:t>
            </w:r>
            <w:r>
              <w:rPr>
                <w:rFonts w:cs="宋体"/>
                <w:kern w:val="0"/>
                <w:sz w:val="24"/>
              </w:rPr>
              <w:t>19.2</w:t>
            </w:r>
            <w:r>
              <w:rPr>
                <w:rFonts w:hint="eastAsia" w:cs="宋体"/>
                <w:kern w:val="0"/>
                <w:sz w:val="24"/>
              </w:rPr>
              <w:t>m</w:t>
            </w:r>
            <w:r>
              <w:rPr>
                <w:rFonts w:hint="eastAsia" w:cs="宋体"/>
                <w:kern w:val="0"/>
                <w:sz w:val="24"/>
                <w:vertAlign w:val="superscript"/>
              </w:rPr>
              <w:t>3</w:t>
            </w:r>
            <w:r>
              <w:rPr>
                <w:rFonts w:hint="eastAsia" w:cs="宋体"/>
                <w:kern w:val="0"/>
                <w:sz w:val="24"/>
              </w:rPr>
              <w:t>的生活污水，生活污水排入化粪池处理后，定期清运肥田。</w:t>
            </w:r>
          </w:p>
          <w:p>
            <w:pPr>
              <w:autoSpaceDE w:val="0"/>
              <w:autoSpaceDN w:val="0"/>
              <w:adjustRightInd w:val="0"/>
              <w:snapToGrid w:val="0"/>
              <w:spacing w:line="360" w:lineRule="auto"/>
              <w:ind w:firstLine="482" w:firstLineChars="200"/>
              <w:rPr>
                <w:rFonts w:cs="宋体"/>
                <w:b/>
                <w:bCs/>
                <w:kern w:val="0"/>
                <w:sz w:val="24"/>
              </w:rPr>
            </w:pPr>
            <w:r>
              <w:rPr>
                <w:rFonts w:hint="eastAsia" w:cs="宋体"/>
                <w:b/>
                <w:bCs/>
                <w:kern w:val="0"/>
                <w:sz w:val="24"/>
              </w:rPr>
              <w:t>3、噪声污染防治措施</w:t>
            </w:r>
          </w:p>
          <w:p>
            <w:pPr>
              <w:adjustRightInd w:val="0"/>
              <w:snapToGrid w:val="0"/>
              <w:spacing w:line="360" w:lineRule="auto"/>
              <w:ind w:firstLine="480" w:firstLineChars="200"/>
              <w:rPr>
                <w:bCs/>
                <w:sz w:val="24"/>
              </w:rPr>
            </w:pPr>
            <w:r>
              <w:rPr>
                <w:rFonts w:hint="eastAsia"/>
                <w:bCs/>
                <w:sz w:val="24"/>
              </w:rPr>
              <w:t>本项目</w:t>
            </w:r>
            <w:r>
              <w:rPr>
                <w:rFonts w:hint="eastAsia" w:cs="宋体"/>
                <w:kern w:val="0"/>
                <w:sz w:val="24"/>
              </w:rPr>
              <w:t>施工机械有平地机、</w:t>
            </w:r>
            <w:r>
              <w:rPr>
                <w:rFonts w:cs="宋体"/>
                <w:kern w:val="0"/>
                <w:sz w:val="24"/>
              </w:rPr>
              <w:t>推土机</w:t>
            </w:r>
            <w:r>
              <w:rPr>
                <w:rFonts w:hint="eastAsia" w:cs="宋体"/>
                <w:kern w:val="0"/>
                <w:sz w:val="24"/>
              </w:rPr>
              <w:t>、装载机、切割机和电锯等，</w:t>
            </w:r>
            <w:r>
              <w:rPr>
                <w:rFonts w:hint="eastAsia" w:ascii="宋体" w:hAnsi="宋体" w:cs="宋体"/>
                <w:sz w:val="24"/>
              </w:rPr>
              <w:t>噪声值为</w:t>
            </w:r>
            <w:r>
              <w:rPr>
                <w:sz w:val="24"/>
              </w:rPr>
              <w:t>75-95dB(A)</w:t>
            </w:r>
            <w:r>
              <w:rPr>
                <w:rFonts w:hint="eastAsia" w:cs="宋体"/>
                <w:kern w:val="0"/>
                <w:sz w:val="24"/>
              </w:rPr>
              <w:t>，</w:t>
            </w:r>
            <w:r>
              <w:rPr>
                <w:rFonts w:hint="eastAsia"/>
                <w:bCs/>
                <w:sz w:val="24"/>
              </w:rPr>
              <w:t>项目距曲店</w:t>
            </w:r>
            <w:r>
              <w:rPr>
                <w:bCs/>
                <w:sz w:val="24"/>
              </w:rPr>
              <w:t>村、新孙庄</w:t>
            </w:r>
            <w:r>
              <w:rPr>
                <w:rFonts w:hint="eastAsia"/>
                <w:bCs/>
                <w:sz w:val="24"/>
              </w:rPr>
              <w:t>距离超过2</w:t>
            </w:r>
            <w:r>
              <w:rPr>
                <w:bCs/>
                <w:sz w:val="24"/>
              </w:rPr>
              <w:t>00m</w:t>
            </w:r>
            <w:r>
              <w:rPr>
                <w:rFonts w:hint="eastAsia"/>
                <w:bCs/>
                <w:sz w:val="24"/>
              </w:rPr>
              <w:t>。因此，施工期对外界的噪声影响较小。但为最大限度降低施工噪声影响，施工期应采取以下噪声防治措施：</w:t>
            </w:r>
          </w:p>
          <w:p>
            <w:pPr>
              <w:adjustRightInd w:val="0"/>
              <w:snapToGrid w:val="0"/>
              <w:spacing w:line="360" w:lineRule="auto"/>
              <w:ind w:firstLine="480" w:firstLineChars="200"/>
              <w:rPr>
                <w:bCs/>
                <w:iCs/>
                <w:sz w:val="24"/>
              </w:rPr>
            </w:pPr>
            <w:r>
              <w:rPr>
                <w:rFonts w:hint="eastAsia"/>
                <w:bCs/>
                <w:iCs/>
                <w:sz w:val="24"/>
              </w:rPr>
              <w:t>（1）从声源上控制：</w:t>
            </w:r>
            <w:r>
              <w:rPr>
                <w:bCs/>
                <w:iCs/>
                <w:sz w:val="24"/>
              </w:rPr>
              <w:t>施工单位应合理选用施工机械，尽量选用先进的低噪声设备</w:t>
            </w:r>
            <w:r>
              <w:rPr>
                <w:rFonts w:hint="eastAsia"/>
                <w:bCs/>
                <w:iCs/>
                <w:sz w:val="24"/>
              </w:rPr>
              <w:t>。同时施工过程中应</w:t>
            </w:r>
            <w:r>
              <w:rPr>
                <w:bCs/>
                <w:iCs/>
                <w:sz w:val="24"/>
              </w:rPr>
              <w:t>对</w:t>
            </w:r>
            <w:r>
              <w:rPr>
                <w:rFonts w:hint="eastAsia"/>
                <w:bCs/>
                <w:iCs/>
                <w:sz w:val="24"/>
              </w:rPr>
              <w:t>机械设备进行定期保养和维护，</w:t>
            </w:r>
            <w:r>
              <w:rPr>
                <w:bCs/>
                <w:iCs/>
                <w:sz w:val="24"/>
              </w:rPr>
              <w:t>严格按操作规范使用各类机械；</w:t>
            </w:r>
          </w:p>
          <w:p>
            <w:pPr>
              <w:adjustRightInd w:val="0"/>
              <w:snapToGrid w:val="0"/>
              <w:spacing w:line="360" w:lineRule="auto"/>
              <w:ind w:firstLine="480" w:firstLineChars="200"/>
              <w:rPr>
                <w:bCs/>
                <w:iCs/>
                <w:sz w:val="24"/>
              </w:rPr>
            </w:pPr>
            <w:r>
              <w:rPr>
                <w:bCs/>
                <w:iCs/>
                <w:sz w:val="24"/>
              </w:rPr>
              <w:t>（2）</w:t>
            </w:r>
            <w:r>
              <w:rPr>
                <w:rFonts w:hint="eastAsia"/>
                <w:bCs/>
                <w:iCs/>
                <w:sz w:val="24"/>
              </w:rPr>
              <w:t>使用商品混凝土，避免混凝土搅拌机等的噪声影响</w:t>
            </w:r>
            <w:r>
              <w:rPr>
                <w:bCs/>
                <w:iCs/>
                <w:sz w:val="24"/>
              </w:rPr>
              <w:t>；</w:t>
            </w:r>
          </w:p>
          <w:p>
            <w:pPr>
              <w:adjustRightInd w:val="0"/>
              <w:snapToGrid w:val="0"/>
              <w:spacing w:line="360" w:lineRule="auto"/>
              <w:ind w:firstLine="480" w:firstLineChars="200"/>
              <w:rPr>
                <w:bCs/>
                <w:iCs/>
                <w:sz w:val="24"/>
              </w:rPr>
            </w:pPr>
            <w:r>
              <w:rPr>
                <w:bCs/>
                <w:iCs/>
                <w:sz w:val="24"/>
              </w:rPr>
              <w:t>（3）</w:t>
            </w:r>
            <w:r>
              <w:rPr>
                <w:rFonts w:hint="eastAsia"/>
                <w:bCs/>
                <w:iCs/>
                <w:sz w:val="24"/>
              </w:rPr>
              <w:t>施工车辆途经敏感点时，应低速、禁鸣；</w:t>
            </w:r>
          </w:p>
          <w:p>
            <w:pPr>
              <w:adjustRightInd w:val="0"/>
              <w:snapToGrid w:val="0"/>
              <w:spacing w:line="360" w:lineRule="auto"/>
              <w:ind w:firstLine="480" w:firstLineChars="200"/>
              <w:rPr>
                <w:iCs/>
                <w:sz w:val="24"/>
              </w:rPr>
            </w:pPr>
            <w:r>
              <w:rPr>
                <w:rFonts w:hint="eastAsia"/>
                <w:iCs/>
                <w:sz w:val="24"/>
              </w:rPr>
              <w:t>（4）</w:t>
            </w:r>
            <w:r>
              <w:rPr>
                <w:iCs/>
                <w:sz w:val="24"/>
              </w:rPr>
              <w:t>施工单位应尽量合理安排施工次序、时间，禁止夜间（22点至次日6点）施工和运输物料。</w:t>
            </w:r>
          </w:p>
          <w:p>
            <w:pPr>
              <w:adjustRightInd w:val="0"/>
              <w:snapToGrid w:val="0"/>
              <w:spacing w:line="360" w:lineRule="auto"/>
              <w:ind w:firstLine="480" w:firstLineChars="200"/>
              <w:jc w:val="left"/>
              <w:rPr>
                <w:sz w:val="24"/>
              </w:rPr>
            </w:pPr>
            <w:r>
              <w:rPr>
                <w:sz w:val="24"/>
              </w:rPr>
              <w:t>通过以上噪声防治措施的实施，可以把施工期噪声对周围环境的影响降低到最小。</w:t>
            </w:r>
          </w:p>
          <w:p>
            <w:pPr>
              <w:autoSpaceDE w:val="0"/>
              <w:autoSpaceDN w:val="0"/>
              <w:adjustRightInd w:val="0"/>
              <w:snapToGrid w:val="0"/>
              <w:spacing w:line="360" w:lineRule="auto"/>
              <w:ind w:firstLine="482" w:firstLineChars="200"/>
              <w:rPr>
                <w:rFonts w:cs="宋体"/>
                <w:b/>
                <w:bCs/>
                <w:kern w:val="0"/>
                <w:sz w:val="24"/>
              </w:rPr>
            </w:pPr>
            <w:r>
              <w:rPr>
                <w:rFonts w:hint="eastAsia" w:cs="宋体"/>
                <w:b/>
                <w:bCs/>
                <w:kern w:val="0"/>
                <w:sz w:val="24"/>
              </w:rPr>
              <w:t>4、固体废物污染防治措施</w:t>
            </w:r>
          </w:p>
          <w:p>
            <w:pPr>
              <w:snapToGrid w:val="0"/>
              <w:spacing w:line="440" w:lineRule="exact"/>
              <w:ind w:firstLine="480" w:firstLineChars="200"/>
              <w:rPr>
                <w:sz w:val="24"/>
              </w:rPr>
            </w:pPr>
            <w:r>
              <w:rPr>
                <w:rFonts w:hint="eastAsia"/>
                <w:sz w:val="24"/>
              </w:rPr>
              <w:t>施工期产生的固体废物主要有建筑垃圾，施工人员在日常生活中产生的少量生活垃圾。</w:t>
            </w:r>
          </w:p>
          <w:p>
            <w:pPr>
              <w:autoSpaceDE w:val="0"/>
              <w:autoSpaceDN w:val="0"/>
              <w:adjustRightInd w:val="0"/>
              <w:spacing w:line="440" w:lineRule="exact"/>
              <w:ind w:firstLine="480" w:firstLineChars="200"/>
              <w:rPr>
                <w:sz w:val="24"/>
              </w:rPr>
            </w:pPr>
            <w:r>
              <w:rPr>
                <w:sz w:val="24"/>
              </w:rPr>
              <w:t>工程</w:t>
            </w:r>
            <w:r>
              <w:rPr>
                <w:rFonts w:hint="eastAsia"/>
                <w:sz w:val="24"/>
              </w:rPr>
              <w:t>建设</w:t>
            </w:r>
            <w:r>
              <w:rPr>
                <w:sz w:val="24"/>
              </w:rPr>
              <w:t>完工后，会残留一部分废建筑材料。能重新利用的分类收集后作为再生资源利用，</w:t>
            </w:r>
            <w:r>
              <w:rPr>
                <w:rFonts w:hint="eastAsia"/>
                <w:sz w:val="24"/>
              </w:rPr>
              <w:t>不能回收利用的建筑垃圾应按鲁山县相关要求，清运至指定的消纳场地</w:t>
            </w:r>
            <w:r>
              <w:rPr>
                <w:sz w:val="24"/>
              </w:rPr>
              <w:t>，不得随意倾倒垃圾，以减少对周围环境产生的影响。</w:t>
            </w:r>
          </w:p>
          <w:p>
            <w:pPr>
              <w:snapToGrid w:val="0"/>
              <w:spacing w:line="440" w:lineRule="exact"/>
              <w:ind w:firstLine="480" w:firstLineChars="200"/>
              <w:rPr>
                <w:sz w:val="24"/>
              </w:rPr>
            </w:pPr>
            <w:r>
              <w:rPr>
                <w:rFonts w:hint="eastAsia"/>
                <w:sz w:val="24"/>
              </w:rPr>
              <w:t>施工人员的生活垃圾其成分与城市居民生活垃圾成分相似。施工人员共计为1</w:t>
            </w:r>
            <w:r>
              <w:rPr>
                <w:sz w:val="24"/>
              </w:rPr>
              <w:t>0</w:t>
            </w:r>
            <w:r>
              <w:rPr>
                <w:rFonts w:hint="eastAsia"/>
                <w:sz w:val="24"/>
              </w:rPr>
              <w:t>人，每人产生垃圾按</w:t>
            </w:r>
            <w:r>
              <w:rPr>
                <w:sz w:val="24"/>
              </w:rPr>
              <w:t>0.5kg/d</w:t>
            </w:r>
            <w:r>
              <w:rPr>
                <w:rFonts w:hint="eastAsia"/>
                <w:sz w:val="24"/>
              </w:rPr>
              <w:t>计，施工期按60天计，则施工期间产生的生活垃圾约为0.</w:t>
            </w:r>
            <w:r>
              <w:rPr>
                <w:sz w:val="24"/>
              </w:rPr>
              <w:t>3t</w:t>
            </w:r>
            <w:r>
              <w:rPr>
                <w:rFonts w:hint="eastAsia"/>
                <w:sz w:val="24"/>
              </w:rPr>
              <w:t>，生活垃圾集中收集后送往当地垃圾中转站。</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597" w:hRule="atLeast"/>
          <w:jc w:val="center"/>
        </w:trPr>
        <w:tc>
          <w:tcPr>
            <w:tcW w:w="746" w:type="dxa"/>
            <w:tcMar>
              <w:left w:w="28" w:type="dxa"/>
              <w:right w:w="28" w:type="dxa"/>
            </w:tcMar>
            <w:vAlign w:val="center"/>
          </w:tcPr>
          <w:p>
            <w:pPr>
              <w:adjustRightInd w:val="0"/>
              <w:snapToGrid w:val="0"/>
              <w:rPr>
                <w:rFonts w:cs="宋体"/>
                <w:bCs/>
                <w:sz w:val="24"/>
              </w:rPr>
            </w:pPr>
          </w:p>
        </w:tc>
        <w:tc>
          <w:tcPr>
            <w:tcW w:w="8162" w:type="dxa"/>
            <w:vAlign w:val="center"/>
          </w:tcPr>
          <w:p>
            <w:pPr>
              <w:autoSpaceDE w:val="0"/>
              <w:autoSpaceDN w:val="0"/>
              <w:adjustRightInd w:val="0"/>
              <w:snapToGrid w:val="0"/>
              <w:spacing w:line="360" w:lineRule="auto"/>
              <w:ind w:firstLine="482" w:firstLineChars="200"/>
              <w:rPr>
                <w:rFonts w:cs="宋体"/>
                <w:b/>
                <w:bCs/>
                <w:kern w:val="0"/>
                <w:sz w:val="24"/>
              </w:rPr>
            </w:pPr>
            <w:r>
              <w:rPr>
                <w:rFonts w:hint="eastAsia" w:cs="宋体"/>
                <w:b/>
                <w:bCs/>
                <w:kern w:val="0"/>
                <w:sz w:val="24"/>
              </w:rPr>
              <w:t>1、废气</w:t>
            </w:r>
          </w:p>
          <w:p>
            <w:pPr>
              <w:spacing w:line="360" w:lineRule="auto"/>
              <w:ind w:firstLine="480" w:firstLineChars="200"/>
              <w:rPr>
                <w:snapToGrid w:val="0"/>
                <w:kern w:val="0"/>
                <w:sz w:val="24"/>
              </w:rPr>
            </w:pPr>
            <w:r>
              <w:rPr>
                <w:rFonts w:hint="eastAsia"/>
                <w:snapToGrid w:val="0"/>
                <w:kern w:val="0"/>
                <w:sz w:val="24"/>
              </w:rPr>
              <w:t>本项目</w:t>
            </w:r>
            <w:r>
              <w:rPr>
                <w:snapToGrid w:val="0"/>
                <w:kern w:val="0"/>
                <w:sz w:val="24"/>
              </w:rPr>
              <w:t>设置</w:t>
            </w:r>
            <w:r>
              <w:rPr>
                <w:rFonts w:hint="eastAsia"/>
                <w:snapToGrid w:val="0"/>
                <w:kern w:val="0"/>
                <w:sz w:val="24"/>
              </w:rPr>
              <w:t>1套</w:t>
            </w:r>
            <w:r>
              <w:rPr>
                <w:rFonts w:hint="eastAsia" w:cs="宋体"/>
                <w:sz w:val="24"/>
              </w:rPr>
              <w:t>年产3万吨固废粉末罐装储存生产线</w:t>
            </w:r>
            <w:r>
              <w:rPr>
                <w:rFonts w:cs="宋体"/>
                <w:sz w:val="24"/>
              </w:rPr>
              <w:t>，产品料仓、</w:t>
            </w:r>
            <w:r>
              <w:rPr>
                <w:rFonts w:hint="eastAsia" w:cs="宋体"/>
                <w:sz w:val="24"/>
              </w:rPr>
              <w:t>成品料仓</w:t>
            </w:r>
            <w:r>
              <w:rPr>
                <w:rFonts w:cs="宋体"/>
                <w:sz w:val="24"/>
              </w:rPr>
              <w:t>、</w:t>
            </w:r>
            <w:r>
              <w:rPr>
                <w:rFonts w:hint="eastAsia" w:cs="宋体"/>
                <w:sz w:val="24"/>
              </w:rPr>
              <w:t>分选</w:t>
            </w:r>
            <w:r>
              <w:rPr>
                <w:rFonts w:cs="宋体"/>
                <w:sz w:val="24"/>
              </w:rPr>
              <w:t>粉磨工段均为</w:t>
            </w:r>
            <w:r>
              <w:rPr>
                <w:rFonts w:hint="eastAsia" w:cs="宋体"/>
                <w:sz w:val="24"/>
              </w:rPr>
              <w:t>全封闭</w:t>
            </w:r>
            <w:r>
              <w:rPr>
                <w:rFonts w:cs="宋体"/>
                <w:sz w:val="24"/>
              </w:rPr>
              <w:t>处理</w:t>
            </w:r>
            <w:r>
              <w:rPr>
                <w:rFonts w:hint="eastAsia" w:cs="宋体"/>
                <w:sz w:val="24"/>
              </w:rPr>
              <w:t>，</w:t>
            </w:r>
            <w:r>
              <w:rPr>
                <w:rFonts w:cs="宋体"/>
                <w:sz w:val="24"/>
              </w:rPr>
              <w:t>项目</w:t>
            </w:r>
            <w:r>
              <w:rPr>
                <w:rFonts w:hint="eastAsia" w:cs="宋体"/>
                <w:sz w:val="24"/>
              </w:rPr>
              <w:t>营运</w:t>
            </w:r>
            <w:r>
              <w:rPr>
                <w:rFonts w:cs="宋体"/>
                <w:sz w:val="24"/>
              </w:rPr>
              <w:t>期产生的废气主要为</w:t>
            </w:r>
            <w:r>
              <w:rPr>
                <w:rFonts w:hint="eastAsia" w:cs="宋体"/>
                <w:sz w:val="24"/>
              </w:rPr>
              <w:t>料仓</w:t>
            </w:r>
            <w:r>
              <w:rPr>
                <w:rFonts w:cs="宋体"/>
                <w:sz w:val="24"/>
              </w:rPr>
              <w:t>颗粒物、</w:t>
            </w:r>
            <w:r>
              <w:rPr>
                <w:rFonts w:hint="eastAsia" w:cs="宋体"/>
                <w:sz w:val="24"/>
              </w:rPr>
              <w:t>粉磨</w:t>
            </w:r>
            <w:r>
              <w:rPr>
                <w:rFonts w:cs="宋体"/>
                <w:sz w:val="24"/>
              </w:rPr>
              <w:t>废气</w:t>
            </w:r>
            <w:r>
              <w:rPr>
                <w:rFonts w:hint="eastAsia" w:cs="宋体"/>
                <w:sz w:val="24"/>
              </w:rPr>
              <w:t>、</w:t>
            </w:r>
            <w:r>
              <w:rPr>
                <w:rFonts w:cs="宋体"/>
                <w:sz w:val="24"/>
              </w:rPr>
              <w:t>车辆运输扬尘</w:t>
            </w:r>
            <w:r>
              <w:rPr>
                <w:rFonts w:hint="eastAsia"/>
                <w:snapToGrid w:val="0"/>
                <w:kern w:val="0"/>
                <w:sz w:val="24"/>
              </w:rPr>
              <w:t>。</w:t>
            </w:r>
          </w:p>
          <w:p>
            <w:pPr>
              <w:snapToGrid w:val="0"/>
              <w:spacing w:line="480" w:lineRule="exact"/>
              <w:ind w:firstLine="482"/>
              <w:rPr>
                <w:rFonts w:cs="宋体"/>
                <w:b/>
                <w:sz w:val="24"/>
              </w:rPr>
            </w:pPr>
            <w:r>
              <w:rPr>
                <w:rFonts w:hint="eastAsia" w:cs="宋体"/>
                <w:b/>
                <w:sz w:val="24"/>
              </w:rPr>
              <w:t>1.1 废气产排情况及</w:t>
            </w:r>
            <w:r>
              <w:rPr>
                <w:rFonts w:cs="宋体"/>
                <w:b/>
                <w:sz w:val="24"/>
              </w:rPr>
              <w:t>达标情况</w:t>
            </w:r>
          </w:p>
          <w:p>
            <w:pPr>
              <w:spacing w:line="480" w:lineRule="exact"/>
              <w:ind w:firstLine="482" w:firstLineChars="200"/>
              <w:rPr>
                <w:b/>
                <w:bCs/>
                <w:snapToGrid w:val="0"/>
                <w:kern w:val="0"/>
                <w:sz w:val="24"/>
              </w:rPr>
            </w:pPr>
            <w:r>
              <w:rPr>
                <w:rFonts w:hint="eastAsia"/>
                <w:b/>
                <w:bCs/>
                <w:snapToGrid w:val="0"/>
                <w:kern w:val="0"/>
                <w:sz w:val="24"/>
              </w:rPr>
              <w:t>1.1.1 有组织废气</w:t>
            </w:r>
          </w:p>
          <w:p>
            <w:pPr>
              <w:numPr>
                <w:ilvl w:val="0"/>
                <w:numId w:val="2"/>
              </w:numPr>
              <w:spacing w:line="480" w:lineRule="exact"/>
              <w:ind w:firstLine="480" w:firstLineChars="200"/>
              <w:rPr>
                <w:snapToGrid w:val="0"/>
                <w:kern w:val="0"/>
                <w:sz w:val="24"/>
              </w:rPr>
            </w:pPr>
            <w:r>
              <w:rPr>
                <w:rFonts w:hint="eastAsia"/>
                <w:snapToGrid w:val="0"/>
                <w:kern w:val="0"/>
                <w:sz w:val="24"/>
              </w:rPr>
              <w:t>原料</w:t>
            </w:r>
            <w:r>
              <w:rPr>
                <w:snapToGrid w:val="0"/>
                <w:kern w:val="0"/>
                <w:sz w:val="24"/>
              </w:rPr>
              <w:t>仓</w:t>
            </w:r>
            <w:r>
              <w:rPr>
                <w:rFonts w:hint="eastAsia"/>
                <w:snapToGrid w:val="0"/>
                <w:kern w:val="0"/>
                <w:sz w:val="24"/>
              </w:rPr>
              <w:t>废气</w:t>
            </w:r>
          </w:p>
          <w:p>
            <w:pPr>
              <w:pStyle w:val="47"/>
              <w:rPr>
                <w:rFonts w:hint="default" w:cs="宋体"/>
              </w:rPr>
            </w:pPr>
            <w:r>
              <w:rPr>
                <w:rFonts w:cs="宋体"/>
              </w:rPr>
              <w:t>本项目原料粉煤灰采用筒仓储存，共设置有</w:t>
            </w:r>
            <w:r>
              <w:rPr>
                <w:rFonts w:hint="default" w:cs="宋体"/>
              </w:rPr>
              <w:t>1</w:t>
            </w:r>
            <w:r>
              <w:rPr>
                <w:rFonts w:cs="宋体"/>
              </w:rPr>
              <w:t>个3000</w:t>
            </w:r>
            <w:r>
              <w:rPr>
                <w:rFonts w:hint="default" w:cs="宋体"/>
              </w:rPr>
              <w:t>t</w:t>
            </w:r>
            <w:r>
              <w:rPr>
                <w:rFonts w:cs="宋体"/>
              </w:rPr>
              <w:t>粉煤灰筒仓，粉煤灰仓进料由密封罐车通过压缩空气泵打入料仓，</w:t>
            </w:r>
            <w:r>
              <w:t>散装粉状物料在输送中被压缩空气吹散成悬浮状态，混合气体沿管道输送到罐中，筒仓顶部设置安装仓顶脉冲袋式除尘器，收集从筒仓中溢出的颗粒物气体，净化后排放。</w:t>
            </w:r>
            <w:r>
              <w:rPr>
                <w:rFonts w:cs="宋体"/>
              </w:rPr>
              <w:t>根据建设单位提供资料，项目粉煤灰</w:t>
            </w:r>
            <w:r>
              <w:rPr>
                <w:rFonts w:hint="default" w:cs="宋体"/>
              </w:rPr>
              <w:t>原料</w:t>
            </w:r>
            <w:r>
              <w:rPr>
                <w:rFonts w:cs="宋体"/>
              </w:rPr>
              <w:t>运输车运载量</w:t>
            </w:r>
            <w:r>
              <w:rPr>
                <w:rFonts w:hint="default" w:cs="宋体"/>
              </w:rPr>
              <w:t>为</w:t>
            </w:r>
            <w:r>
              <w:rPr>
                <w:rFonts w:cs="宋体"/>
              </w:rPr>
              <w:t>30</w:t>
            </w:r>
            <w:r>
              <w:rPr>
                <w:rFonts w:hint="default" w:cs="宋体"/>
              </w:rPr>
              <w:t>t</w:t>
            </w:r>
            <w:r>
              <w:rPr>
                <w:rFonts w:cs="宋体"/>
              </w:rPr>
              <w:t>。</w:t>
            </w:r>
            <w:r>
              <w:rPr>
                <w:b/>
                <w:u w:val="single"/>
              </w:rPr>
              <w:t>每车粉料打入贮罐需</w:t>
            </w:r>
            <w:r>
              <w:rPr>
                <w:rFonts w:hint="default"/>
                <w:b/>
                <w:u w:val="single"/>
              </w:rPr>
              <w:t>40min</w:t>
            </w:r>
            <w:r>
              <w:rPr>
                <w:b/>
                <w:u w:val="single"/>
              </w:rPr>
              <w:t>，本项目原料</w:t>
            </w:r>
            <w:r>
              <w:rPr>
                <w:rFonts w:hint="default"/>
                <w:b/>
                <w:u w:val="single"/>
              </w:rPr>
              <w:t>量为30000.82</w:t>
            </w:r>
            <w:r>
              <w:rPr>
                <w:b/>
                <w:u w:val="single"/>
              </w:rPr>
              <w:t>t，则上料时间为</w:t>
            </w:r>
            <w:r>
              <w:rPr>
                <w:rFonts w:hint="default"/>
                <w:b/>
                <w:u w:val="single"/>
              </w:rPr>
              <w:t>40003</w:t>
            </w:r>
            <w:r>
              <w:rPr>
                <w:b/>
                <w:u w:val="single"/>
              </w:rPr>
              <w:t>min</w:t>
            </w:r>
            <w:r>
              <w:rPr>
                <w:rFonts w:hint="default"/>
                <w:b/>
                <w:u w:val="single"/>
              </w:rPr>
              <w:t>/a</w:t>
            </w:r>
            <w:r>
              <w:rPr>
                <w:b/>
                <w:u w:val="single"/>
              </w:rPr>
              <w:t>，</w:t>
            </w:r>
            <w:r>
              <w:rPr>
                <w:rFonts w:hint="default"/>
                <w:b/>
                <w:u w:val="single"/>
              </w:rPr>
              <w:t>合667</w:t>
            </w:r>
            <w:r>
              <w:rPr>
                <w:b/>
                <w:u w:val="single"/>
              </w:rPr>
              <w:t>h</w:t>
            </w:r>
            <w:r>
              <w:rPr>
                <w:rFonts w:hint="default"/>
                <w:b/>
                <w:u w:val="single"/>
              </w:rPr>
              <w:t>/a</w:t>
            </w:r>
            <w:r>
              <w:rPr>
                <w:b/>
                <w:u w:val="single"/>
              </w:rPr>
              <w:t>。项目所采用30</w:t>
            </w:r>
            <w:r>
              <w:rPr>
                <w:rFonts w:hint="default"/>
                <w:b/>
                <w:u w:val="single"/>
              </w:rPr>
              <w:t>t的</w:t>
            </w:r>
            <w:r>
              <w:rPr>
                <w:b/>
                <w:u w:val="single"/>
              </w:rPr>
              <w:t>罐车</w:t>
            </w:r>
            <w:r>
              <w:rPr>
                <w:rFonts w:hint="default"/>
                <w:b/>
                <w:u w:val="single"/>
              </w:rPr>
              <w:t>压缩机</w:t>
            </w:r>
            <w:r>
              <w:rPr>
                <w:b/>
                <w:u w:val="single"/>
              </w:rPr>
              <w:t>排气量</w:t>
            </w:r>
            <w:r>
              <w:rPr>
                <w:rFonts w:hint="default"/>
                <w:b/>
                <w:u w:val="single"/>
              </w:rPr>
              <w:t>为</w:t>
            </w:r>
            <w:r>
              <w:rPr>
                <w:b/>
                <w:u w:val="single"/>
              </w:rPr>
              <w:t>12</w:t>
            </w:r>
            <w:r>
              <w:rPr>
                <w:rFonts w:hint="default"/>
                <w:b/>
                <w:u w:val="single"/>
              </w:rPr>
              <w:t>m</w:t>
            </w:r>
            <w:r>
              <w:rPr>
                <w:rFonts w:hint="default"/>
                <w:b/>
                <w:u w:val="single"/>
                <w:vertAlign w:val="superscript"/>
              </w:rPr>
              <w:t>3</w:t>
            </w:r>
            <w:r>
              <w:rPr>
                <w:rFonts w:hint="default"/>
                <w:b/>
                <w:u w:val="single"/>
              </w:rPr>
              <w:t>/min</w:t>
            </w:r>
            <w:r>
              <w:rPr>
                <w:b/>
                <w:u w:val="single"/>
              </w:rPr>
              <w:t>，折合为</w:t>
            </w:r>
            <w:r>
              <w:rPr>
                <w:rFonts w:hint="default"/>
                <w:b/>
                <w:u w:val="single"/>
              </w:rPr>
              <w:t>72</w:t>
            </w:r>
            <w:r>
              <w:rPr>
                <w:b/>
                <w:u w:val="single"/>
              </w:rPr>
              <w:t>0</w:t>
            </w:r>
            <w:r>
              <w:rPr>
                <w:rFonts w:hint="default"/>
                <w:b/>
                <w:u w:val="single"/>
              </w:rPr>
              <w:t>m</w:t>
            </w:r>
            <w:r>
              <w:rPr>
                <w:rFonts w:hint="default"/>
                <w:b/>
                <w:u w:val="single"/>
                <w:vertAlign w:val="superscript"/>
              </w:rPr>
              <w:t>3</w:t>
            </w:r>
            <w:r>
              <w:rPr>
                <w:rFonts w:hint="default"/>
                <w:b/>
                <w:u w:val="single"/>
              </w:rPr>
              <w:t>/h</w:t>
            </w:r>
            <w:r>
              <w:t>。</w:t>
            </w:r>
          </w:p>
          <w:p>
            <w:pPr>
              <w:pStyle w:val="47"/>
              <w:rPr>
                <w:rFonts w:hint="default" w:cs="宋体"/>
              </w:rPr>
            </w:pPr>
            <w:r>
              <w:t>经参考《逸散性工业粉尘控制技术》（中国环境科学出版社）表22-1给出的混凝土分批搅拌厂粉料卸料至</w:t>
            </w:r>
            <w:r>
              <w:rPr>
                <w:rFonts w:hint="default"/>
              </w:rPr>
              <w:t>高架贮</w:t>
            </w:r>
            <w:r>
              <w:t>仓产尘系数0.12kg/t粉料，项目原料仓的粉料量为</w:t>
            </w:r>
            <w:r>
              <w:rPr>
                <w:rFonts w:hint="default"/>
              </w:rPr>
              <w:t>30000.82</w:t>
            </w:r>
            <w:r>
              <w:t>t/a，此</w:t>
            </w:r>
            <w:r>
              <w:rPr>
                <w:rFonts w:hint="default"/>
              </w:rPr>
              <w:t>工序</w:t>
            </w:r>
            <w:r>
              <w:t>年工作时间为</w:t>
            </w:r>
            <w:r>
              <w:rPr>
                <w:rFonts w:hint="default"/>
              </w:rPr>
              <w:t>667</w:t>
            </w:r>
            <w:r>
              <w:t>h，则粉煤灰筒仓产尘量为</w:t>
            </w:r>
            <w:r>
              <w:rPr>
                <w:rFonts w:hint="default"/>
              </w:rPr>
              <w:t>5.40</w:t>
            </w:r>
            <w:r>
              <w:t>kg/h，产生量约</w:t>
            </w:r>
            <w:r>
              <w:rPr>
                <w:rFonts w:hint="default"/>
              </w:rPr>
              <w:t>3.6</w:t>
            </w:r>
            <w:r>
              <w:t>t/a，</w:t>
            </w:r>
            <w:r>
              <w:rPr>
                <w:rFonts w:hint="default"/>
              </w:rPr>
              <w:t>考虑</w:t>
            </w:r>
            <w:r>
              <w:t>罐车</w:t>
            </w:r>
            <w:r>
              <w:rPr>
                <w:rFonts w:hint="default"/>
              </w:rPr>
              <w:t>压缩机排气、原料落料</w:t>
            </w:r>
            <w:r>
              <w:t>呼吸</w:t>
            </w:r>
            <w:r>
              <w:rPr>
                <w:rFonts w:hint="default"/>
              </w:rPr>
              <w:t>废气</w:t>
            </w:r>
            <w:r>
              <w:t>、30</w:t>
            </w:r>
            <w:r>
              <w:rPr>
                <w:rFonts w:hint="default"/>
              </w:rPr>
              <w:t>%左右漏风系数等综合因素下，</w:t>
            </w:r>
            <w:r>
              <w:t>工程设计配置一台风量为</w:t>
            </w:r>
            <w:r>
              <w:rPr>
                <w:rFonts w:hint="default"/>
              </w:rPr>
              <w:t>270</w:t>
            </w:r>
            <w:r>
              <w:t>0</w:t>
            </w:r>
            <w:r>
              <w:rPr>
                <w:rFonts w:hint="default"/>
              </w:rPr>
              <w:t>m</w:t>
            </w:r>
            <w:r>
              <w:rPr>
                <w:rFonts w:hint="default"/>
                <w:vertAlign w:val="superscript"/>
              </w:rPr>
              <w:t>3</w:t>
            </w:r>
            <w:r>
              <w:rPr>
                <w:rFonts w:hint="default"/>
              </w:rPr>
              <w:t>/h</w:t>
            </w:r>
            <w:r>
              <w:t>的风机，则颗粒物产生浓度为</w:t>
            </w:r>
            <w:r>
              <w:rPr>
                <w:rFonts w:hint="default"/>
              </w:rPr>
              <w:t>2000</w:t>
            </w:r>
            <w:r>
              <w:t>mg/m</w:t>
            </w:r>
            <w:r>
              <w:rPr>
                <w:vertAlign w:val="superscript"/>
              </w:rPr>
              <w:t>3</w:t>
            </w:r>
            <w:r>
              <w:t>。</w:t>
            </w:r>
            <w:r>
              <w:rPr>
                <w:rFonts w:cs="宋体"/>
              </w:rPr>
              <w:t>筒仓</w:t>
            </w:r>
            <w:r>
              <w:rPr>
                <w:rFonts w:hint="default" w:cs="宋体"/>
              </w:rPr>
              <w:t>废气</w:t>
            </w:r>
            <w:r>
              <w:rPr>
                <w:rFonts w:cs="宋体"/>
              </w:rPr>
              <w:t>经仓顶脉冲袋式除尘器处理后由仓顶排气筒排放（排气口高度19</w:t>
            </w:r>
            <w:r>
              <w:rPr>
                <w:rFonts w:hint="default" w:cs="宋体"/>
              </w:rPr>
              <w:t>m</w:t>
            </w:r>
            <w:r>
              <w:rPr>
                <w:rFonts w:cs="宋体"/>
              </w:rPr>
              <w:t>）。</w:t>
            </w:r>
          </w:p>
          <w:p>
            <w:pPr>
              <w:pStyle w:val="47"/>
              <w:rPr>
                <w:rFonts w:hint="default"/>
                <w:b/>
                <w:bCs/>
                <w:u w:val="single"/>
              </w:rPr>
            </w:pPr>
            <w:r>
              <w:rPr>
                <w:rFonts w:cs="宋体"/>
              </w:rPr>
              <w:t>袋式除尘器是一种干式滤尘装置，它适用于捕集细小、干燥、非纤维性粉尘，滤芯采用纺织的滤布或非纺织的毡制成，利用纤维织物的过滤作用对含尘气体进行过滤，目前已广泛应用，</w:t>
            </w:r>
            <w:r>
              <w:t>除尘效率可达到</w:t>
            </w:r>
            <w:r>
              <w:rPr>
                <w:bCs/>
                <w:iCs/>
              </w:rPr>
              <w:t>99.9%</w:t>
            </w:r>
            <w:r>
              <w:t>以上。本次保守考虑，</w:t>
            </w:r>
            <w:r>
              <w:rPr>
                <w:rFonts w:cs="宋体"/>
              </w:rPr>
              <w:t>袋式除尘器去除效率取99</w:t>
            </w:r>
            <w:r>
              <w:rPr>
                <w:rFonts w:hint="default" w:cs="宋体"/>
              </w:rPr>
              <w:t>.7</w:t>
            </w:r>
            <w:r>
              <w:rPr>
                <w:rFonts w:cs="宋体"/>
              </w:rPr>
              <w:t>%，则本项目原料</w:t>
            </w:r>
            <w:r>
              <w:rPr>
                <w:rFonts w:hint="default" w:cs="宋体"/>
              </w:rPr>
              <w:t>筒</w:t>
            </w:r>
            <w:r>
              <w:rPr>
                <w:rFonts w:cs="宋体"/>
              </w:rPr>
              <w:t>仓呼吸口颗粒物排放量为</w:t>
            </w:r>
            <w:r>
              <w:rPr>
                <w:rFonts w:hint="default" w:cs="宋体"/>
              </w:rPr>
              <w:t>0.011</w:t>
            </w:r>
            <w:r>
              <w:rPr>
                <w:rFonts w:cs="宋体"/>
              </w:rPr>
              <w:t>t/a，</w:t>
            </w:r>
            <w:r>
              <w:rPr>
                <w:rFonts w:hint="default" w:cs="宋体"/>
              </w:rPr>
              <w:t>折合</w:t>
            </w:r>
            <w:r>
              <w:rPr>
                <w:rFonts w:cs="宋体"/>
              </w:rPr>
              <w:t>0.</w:t>
            </w:r>
            <w:r>
              <w:rPr>
                <w:rFonts w:hint="default" w:cs="宋体"/>
              </w:rPr>
              <w:t>0162kg/h</w:t>
            </w:r>
            <w:r>
              <w:rPr>
                <w:rFonts w:cs="宋体"/>
              </w:rPr>
              <w:t>，排放</w:t>
            </w:r>
            <w:r>
              <w:t>浓度为</w:t>
            </w:r>
            <w:r>
              <w:rPr>
                <w:rFonts w:hint="default"/>
              </w:rPr>
              <w:t>6.0</w:t>
            </w:r>
            <w:r>
              <w:t>mg/m</w:t>
            </w:r>
            <w:r>
              <w:rPr>
                <w:vertAlign w:val="superscript"/>
              </w:rPr>
              <w:t>3</w:t>
            </w:r>
            <w:r>
              <w:t>。</w:t>
            </w:r>
            <w:r>
              <w:rPr>
                <w:b/>
                <w:bCs/>
                <w:spacing w:val="-6"/>
                <w:u w:val="single"/>
              </w:rPr>
              <w:t>能够满足</w:t>
            </w:r>
            <w:r>
              <w:rPr>
                <w:b/>
                <w:bCs/>
                <w:szCs w:val="21"/>
                <w:u w:val="single"/>
              </w:rPr>
              <w:t>《大气污染物综合排放标准》（GB16297-1996）表</w:t>
            </w:r>
            <w:r>
              <w:rPr>
                <w:rFonts w:hint="default"/>
                <w:b/>
                <w:bCs/>
                <w:szCs w:val="21"/>
                <w:u w:val="single"/>
              </w:rPr>
              <w:t>2</w:t>
            </w:r>
            <w:r>
              <w:rPr>
                <w:b/>
                <w:bCs/>
                <w:szCs w:val="21"/>
                <w:u w:val="single"/>
              </w:rPr>
              <w:t>二级（颗粒物</w:t>
            </w:r>
            <w:r>
              <w:rPr>
                <w:rFonts w:hint="default"/>
                <w:b/>
                <w:bCs/>
                <w:szCs w:val="21"/>
                <w:u w:val="single"/>
              </w:rPr>
              <w:t>排放浓度</w:t>
            </w:r>
            <w:r>
              <w:rPr>
                <w:b/>
                <w:bCs/>
                <w:szCs w:val="21"/>
                <w:u w:val="single"/>
              </w:rPr>
              <w:t>120</w:t>
            </w:r>
            <w:r>
              <w:rPr>
                <w:b/>
                <w:bCs/>
                <w:u w:val="single"/>
              </w:rPr>
              <w:t xml:space="preserve"> mg/m</w:t>
            </w:r>
            <w:r>
              <w:rPr>
                <w:b/>
                <w:bCs/>
                <w:u w:val="single"/>
                <w:vertAlign w:val="superscript"/>
              </w:rPr>
              <w:t>3</w:t>
            </w:r>
            <w:r>
              <w:rPr>
                <w:b/>
                <w:bCs/>
                <w:u w:val="single"/>
              </w:rPr>
              <w:t>，内插法计算</w:t>
            </w:r>
            <w:r>
              <w:rPr>
                <w:rFonts w:hint="default"/>
                <w:b/>
                <w:bCs/>
                <w:u w:val="single"/>
              </w:rPr>
              <w:t>得出19m高排气筒排放速率4.02kg/h</w:t>
            </w:r>
            <w:r>
              <w:rPr>
                <w:b/>
                <w:bCs/>
                <w:szCs w:val="21"/>
                <w:u w:val="single"/>
              </w:rPr>
              <w:t>）以及《河南省重污染天气通用行业应急减排措施制定技术指南（2021年修订稿）》附录2其他工序PM排放浓度不高于10mg/m</w:t>
            </w:r>
            <w:r>
              <w:rPr>
                <w:rFonts w:cs="宋体"/>
                <w:b/>
                <w:bCs/>
                <w:kern w:val="0"/>
                <w:szCs w:val="21"/>
                <w:u w:val="single"/>
                <w:vertAlign w:val="superscript"/>
              </w:rPr>
              <w:t>3</w:t>
            </w:r>
            <w:r>
              <w:rPr>
                <w:rFonts w:cs="宋体"/>
                <w:b/>
                <w:bCs/>
                <w:kern w:val="0"/>
                <w:szCs w:val="21"/>
                <w:u w:val="single"/>
              </w:rPr>
              <w:t>要求</w:t>
            </w:r>
            <w:r>
              <w:rPr>
                <w:b/>
                <w:bCs/>
                <w:u w:val="single"/>
              </w:rPr>
              <w:t>。</w:t>
            </w:r>
          </w:p>
          <w:p>
            <w:pPr>
              <w:numPr>
                <w:ilvl w:val="0"/>
                <w:numId w:val="2"/>
              </w:numPr>
              <w:spacing w:line="500" w:lineRule="exact"/>
              <w:ind w:firstLine="480" w:firstLineChars="200"/>
              <w:rPr>
                <w:snapToGrid w:val="0"/>
                <w:kern w:val="0"/>
                <w:sz w:val="24"/>
              </w:rPr>
            </w:pPr>
            <w:r>
              <w:rPr>
                <w:rFonts w:hint="eastAsia"/>
                <w:snapToGrid w:val="0"/>
                <w:kern w:val="0"/>
                <w:sz w:val="24"/>
              </w:rPr>
              <w:t>粉磨废气</w:t>
            </w:r>
          </w:p>
          <w:p>
            <w:pPr>
              <w:autoSpaceDE w:val="0"/>
              <w:autoSpaceDN w:val="0"/>
              <w:adjustRightInd w:val="0"/>
              <w:spacing w:line="470" w:lineRule="exact"/>
              <w:ind w:firstLine="480" w:firstLineChars="200"/>
              <w:jc w:val="left"/>
              <w:rPr>
                <w:sz w:val="24"/>
                <w:lang w:val="zh-CN"/>
              </w:rPr>
            </w:pPr>
            <w:r>
              <w:rPr>
                <w:sz w:val="24"/>
                <w:lang w:val="zh-CN"/>
              </w:rPr>
              <w:fldChar w:fldCharType="begin"/>
            </w:r>
            <w:r>
              <w:rPr>
                <w:sz w:val="24"/>
                <w:lang w:val="zh-CN"/>
              </w:rPr>
              <w:instrText xml:space="preserve"> </w:instrText>
            </w:r>
            <w:r>
              <w:rPr>
                <w:rFonts w:hint="eastAsia"/>
                <w:sz w:val="24"/>
                <w:lang w:val="zh-CN"/>
              </w:rPr>
              <w:instrText xml:space="preserve">= 1 \* GB3</w:instrText>
            </w:r>
            <w:r>
              <w:rPr>
                <w:sz w:val="24"/>
                <w:lang w:val="zh-CN"/>
              </w:rPr>
              <w:instrText xml:space="preserve"> </w:instrText>
            </w:r>
            <w:r>
              <w:rPr>
                <w:sz w:val="24"/>
                <w:lang w:val="zh-CN"/>
              </w:rPr>
              <w:fldChar w:fldCharType="separate"/>
            </w:r>
            <w:r>
              <w:rPr>
                <w:rFonts w:hint="eastAsia"/>
                <w:sz w:val="24"/>
                <w:lang w:val="zh-CN"/>
              </w:rPr>
              <w:t>①</w:t>
            </w:r>
            <w:r>
              <w:rPr>
                <w:sz w:val="24"/>
                <w:lang w:val="zh-CN"/>
              </w:rPr>
              <w:fldChar w:fldCharType="end"/>
            </w:r>
            <w:r>
              <w:rPr>
                <w:rFonts w:hint="eastAsia"/>
                <w:sz w:val="24"/>
                <w:lang w:val="zh-CN"/>
              </w:rPr>
              <w:t>废气</w:t>
            </w:r>
            <w:r>
              <w:rPr>
                <w:sz w:val="24"/>
                <w:lang w:val="zh-CN"/>
              </w:rPr>
              <w:t>产生量</w:t>
            </w:r>
          </w:p>
          <w:p>
            <w:pPr>
              <w:autoSpaceDE w:val="0"/>
              <w:autoSpaceDN w:val="0"/>
              <w:adjustRightInd w:val="0"/>
              <w:spacing w:line="470" w:lineRule="exact"/>
              <w:ind w:firstLine="482" w:firstLineChars="200"/>
              <w:jc w:val="left"/>
              <w:rPr>
                <w:b/>
                <w:sz w:val="24"/>
                <w:u w:val="single"/>
              </w:rPr>
            </w:pPr>
            <w:r>
              <w:rPr>
                <w:rFonts w:hint="eastAsia"/>
                <w:b/>
                <w:sz w:val="24"/>
                <w:u w:val="single"/>
              </w:rPr>
              <w:t>经分选后，粒径</w:t>
            </w:r>
            <w:r>
              <w:rPr>
                <w:rFonts w:hint="eastAsia" w:ascii="Calibri" w:hAnsi="Calibri"/>
                <w:b/>
                <w:sz w:val="24"/>
                <w:u w:val="single"/>
              </w:rPr>
              <w:t>&gt;</w:t>
            </w:r>
            <w:r>
              <w:rPr>
                <w:rFonts w:hint="eastAsia"/>
                <w:b/>
                <w:sz w:val="24"/>
                <w:u w:val="single"/>
              </w:rPr>
              <w:t>325目的</w:t>
            </w:r>
            <w:r>
              <w:rPr>
                <w:b/>
                <w:sz w:val="24"/>
                <w:u w:val="single"/>
              </w:rPr>
              <w:t>细</w:t>
            </w:r>
            <w:r>
              <w:rPr>
                <w:rFonts w:hint="eastAsia"/>
                <w:b/>
                <w:sz w:val="24"/>
                <w:u w:val="single"/>
              </w:rPr>
              <w:t>灰通过</w:t>
            </w:r>
            <w:r>
              <w:rPr>
                <w:b/>
                <w:sz w:val="24"/>
                <w:u w:val="single"/>
              </w:rPr>
              <w:t>提升机进入</w:t>
            </w:r>
            <w:r>
              <w:rPr>
                <w:rFonts w:hint="eastAsia"/>
                <w:b/>
                <w:sz w:val="24"/>
                <w:u w:val="single"/>
              </w:rPr>
              <w:t>成品</w:t>
            </w:r>
            <w:r>
              <w:rPr>
                <w:b/>
                <w:sz w:val="24"/>
                <w:u w:val="single"/>
              </w:rPr>
              <w:t>料仓，</w:t>
            </w:r>
            <w:r>
              <w:rPr>
                <w:rFonts w:hint="eastAsia"/>
                <w:b/>
                <w:sz w:val="24"/>
                <w:u w:val="single"/>
              </w:rPr>
              <w:t>粒径&lt;325目</w:t>
            </w:r>
            <w:r>
              <w:rPr>
                <w:b/>
                <w:sz w:val="24"/>
                <w:u w:val="single"/>
              </w:rPr>
              <w:t>的</w:t>
            </w:r>
            <w:r>
              <w:rPr>
                <w:rFonts w:hint="eastAsia"/>
                <w:b/>
                <w:sz w:val="24"/>
                <w:u w:val="single"/>
              </w:rPr>
              <w:t>粗灰</w:t>
            </w:r>
            <w:r>
              <w:rPr>
                <w:b/>
                <w:sz w:val="24"/>
                <w:u w:val="single"/>
              </w:rPr>
              <w:t>通过气体输送</w:t>
            </w:r>
            <w:r>
              <w:rPr>
                <w:rFonts w:hint="eastAsia"/>
                <w:b/>
                <w:sz w:val="24"/>
                <w:u w:val="single"/>
              </w:rPr>
              <w:t>斜槽（气量</w:t>
            </w:r>
            <w:r>
              <w:rPr>
                <w:rFonts w:hint="eastAsia" w:cs="宋体"/>
                <w:b/>
                <w:kern w:val="0"/>
                <w:sz w:val="24"/>
                <w:u w:val="single"/>
              </w:rPr>
              <w:t>3600</w:t>
            </w:r>
            <w:r>
              <w:rPr>
                <w:rFonts w:cs="宋体"/>
                <w:b/>
                <w:kern w:val="0"/>
                <w:sz w:val="24"/>
                <w:u w:val="single"/>
              </w:rPr>
              <w:t>m</w:t>
            </w:r>
            <w:r>
              <w:rPr>
                <w:rFonts w:cs="宋体"/>
                <w:b/>
                <w:kern w:val="0"/>
                <w:sz w:val="24"/>
                <w:u w:val="single"/>
                <w:vertAlign w:val="superscript"/>
              </w:rPr>
              <w:t>3</w:t>
            </w:r>
            <w:r>
              <w:rPr>
                <w:rFonts w:cs="宋体"/>
                <w:b/>
                <w:kern w:val="0"/>
                <w:sz w:val="24"/>
                <w:u w:val="single"/>
              </w:rPr>
              <w:t>/h</w:t>
            </w:r>
            <w:r>
              <w:rPr>
                <w:rFonts w:hint="eastAsia" w:cs="宋体"/>
                <w:b/>
                <w:kern w:val="0"/>
                <w:sz w:val="24"/>
                <w:u w:val="single"/>
              </w:rPr>
              <w:t>）</w:t>
            </w:r>
            <w:r>
              <w:rPr>
                <w:rFonts w:hint="eastAsia"/>
                <w:b/>
                <w:sz w:val="24"/>
                <w:u w:val="single"/>
              </w:rPr>
              <w:t>进</w:t>
            </w:r>
            <w:r>
              <w:rPr>
                <w:b/>
                <w:sz w:val="24"/>
                <w:u w:val="single"/>
              </w:rPr>
              <w:t>入高</w:t>
            </w:r>
            <w:r>
              <w:rPr>
                <w:rFonts w:hint="eastAsia"/>
                <w:b/>
                <w:sz w:val="24"/>
                <w:u w:val="single"/>
              </w:rPr>
              <w:t>细管磨机</w:t>
            </w:r>
            <w:r>
              <w:rPr>
                <w:b/>
                <w:sz w:val="24"/>
                <w:u w:val="single"/>
              </w:rPr>
              <w:t>进行</w:t>
            </w:r>
            <w:r>
              <w:rPr>
                <w:rFonts w:hint="eastAsia"/>
                <w:b/>
                <w:sz w:val="24"/>
                <w:u w:val="single"/>
              </w:rPr>
              <w:t>磨粉</w:t>
            </w:r>
            <w:r>
              <w:rPr>
                <w:b/>
                <w:sz w:val="24"/>
                <w:u w:val="single"/>
              </w:rPr>
              <w:t>，</w:t>
            </w:r>
            <w:r>
              <w:rPr>
                <w:rFonts w:hint="eastAsia"/>
                <w:b/>
                <w:sz w:val="24"/>
                <w:u w:val="single"/>
              </w:rPr>
              <w:t>之后</w:t>
            </w:r>
            <w:r>
              <w:rPr>
                <w:b/>
                <w:sz w:val="24"/>
                <w:u w:val="single"/>
              </w:rPr>
              <w:t>粉磨后的物料通过气体输送</w:t>
            </w:r>
            <w:r>
              <w:rPr>
                <w:rFonts w:hint="eastAsia"/>
                <w:b/>
                <w:sz w:val="24"/>
                <w:u w:val="single"/>
              </w:rPr>
              <w:t>斜槽（气量</w:t>
            </w:r>
            <w:r>
              <w:rPr>
                <w:rFonts w:hint="eastAsia" w:cs="宋体"/>
                <w:b/>
                <w:kern w:val="0"/>
                <w:sz w:val="24"/>
                <w:u w:val="single"/>
              </w:rPr>
              <w:t>3600</w:t>
            </w:r>
            <w:r>
              <w:rPr>
                <w:rFonts w:cs="宋体"/>
                <w:b/>
                <w:kern w:val="0"/>
                <w:sz w:val="24"/>
                <w:u w:val="single"/>
              </w:rPr>
              <w:t>m</w:t>
            </w:r>
            <w:r>
              <w:rPr>
                <w:rFonts w:cs="宋体"/>
                <w:b/>
                <w:kern w:val="0"/>
                <w:sz w:val="24"/>
                <w:u w:val="single"/>
                <w:vertAlign w:val="superscript"/>
              </w:rPr>
              <w:t>3</w:t>
            </w:r>
            <w:r>
              <w:rPr>
                <w:rFonts w:cs="宋体"/>
                <w:b/>
                <w:kern w:val="0"/>
                <w:sz w:val="24"/>
                <w:u w:val="single"/>
              </w:rPr>
              <w:t>/h</w:t>
            </w:r>
            <w:r>
              <w:rPr>
                <w:rFonts w:hint="eastAsia" w:cs="宋体"/>
                <w:b/>
                <w:kern w:val="0"/>
                <w:sz w:val="24"/>
                <w:u w:val="single"/>
              </w:rPr>
              <w:t>）</w:t>
            </w:r>
            <w:r>
              <w:rPr>
                <w:rFonts w:hint="eastAsia"/>
                <w:b/>
                <w:sz w:val="24"/>
                <w:u w:val="single"/>
              </w:rPr>
              <w:t>回流</w:t>
            </w:r>
            <w:r>
              <w:rPr>
                <w:b/>
                <w:sz w:val="24"/>
                <w:u w:val="single"/>
              </w:rPr>
              <w:t>至</w:t>
            </w:r>
            <w:r>
              <w:rPr>
                <w:rFonts w:hint="eastAsia"/>
                <w:b/>
                <w:sz w:val="24"/>
                <w:u w:val="single"/>
              </w:rPr>
              <w:t>分选机。物料</w:t>
            </w:r>
            <w:r>
              <w:rPr>
                <w:b/>
                <w:sz w:val="24"/>
                <w:u w:val="single"/>
              </w:rPr>
              <w:t>在磨头、磨尾及气体</w:t>
            </w:r>
            <w:r>
              <w:rPr>
                <w:rFonts w:hint="eastAsia"/>
                <w:b/>
                <w:sz w:val="24"/>
                <w:u w:val="single"/>
              </w:rPr>
              <w:t>输送斜槽回流</w:t>
            </w:r>
            <w:r>
              <w:rPr>
                <w:b/>
                <w:sz w:val="24"/>
                <w:u w:val="single"/>
              </w:rPr>
              <w:t>至分选机下料口处</w:t>
            </w:r>
            <w:r>
              <w:rPr>
                <w:rFonts w:hint="eastAsia"/>
                <w:b/>
                <w:sz w:val="24"/>
                <w:u w:val="single"/>
              </w:rPr>
              <w:t>共</w:t>
            </w:r>
            <w:r>
              <w:rPr>
                <w:b/>
                <w:sz w:val="24"/>
                <w:u w:val="single"/>
              </w:rPr>
              <w:t>三个</w:t>
            </w:r>
            <w:r>
              <w:rPr>
                <w:rFonts w:hint="eastAsia"/>
                <w:b/>
                <w:sz w:val="24"/>
                <w:u w:val="single"/>
              </w:rPr>
              <w:t>产</w:t>
            </w:r>
            <w:r>
              <w:rPr>
                <w:b/>
                <w:sz w:val="24"/>
                <w:u w:val="single"/>
              </w:rPr>
              <w:t>尘点</w:t>
            </w:r>
            <w:r>
              <w:rPr>
                <w:rFonts w:hint="eastAsia"/>
                <w:b/>
                <w:sz w:val="24"/>
                <w:u w:val="single"/>
              </w:rPr>
              <w:t>会散逸</w:t>
            </w:r>
            <w:r>
              <w:rPr>
                <w:b/>
                <w:sz w:val="24"/>
                <w:u w:val="single"/>
              </w:rPr>
              <w:t>一定量的颗粒物</w:t>
            </w:r>
            <w:r>
              <w:rPr>
                <w:rFonts w:hint="eastAsia"/>
                <w:b/>
                <w:sz w:val="24"/>
                <w:u w:val="single"/>
              </w:rPr>
              <w:t>。</w:t>
            </w:r>
          </w:p>
          <w:p>
            <w:pPr>
              <w:autoSpaceDE w:val="0"/>
              <w:autoSpaceDN w:val="0"/>
              <w:adjustRightInd w:val="0"/>
              <w:spacing w:line="470" w:lineRule="exact"/>
              <w:ind w:firstLine="482" w:firstLineChars="200"/>
              <w:jc w:val="left"/>
              <w:rPr>
                <w:b/>
                <w:sz w:val="24"/>
                <w:u w:val="single"/>
              </w:rPr>
            </w:pPr>
            <w:r>
              <w:rPr>
                <w:rFonts w:hint="eastAsia"/>
                <w:b/>
                <w:sz w:val="24"/>
                <w:u w:val="single"/>
              </w:rPr>
              <w:t>经查阅</w:t>
            </w:r>
            <w:r>
              <w:rPr>
                <w:b/>
                <w:sz w:val="24"/>
                <w:u w:val="single"/>
              </w:rPr>
              <w:t>资料</w:t>
            </w:r>
            <w:bookmarkStart w:id="2" w:name="_Hlk94014837"/>
            <w:r>
              <w:rPr>
                <w:rFonts w:hint="eastAsia"/>
                <w:b/>
                <w:sz w:val="24"/>
                <w:u w:val="single"/>
              </w:rPr>
              <w:t>（</w:t>
            </w:r>
            <w:r>
              <w:rPr>
                <w:b/>
                <w:sz w:val="24"/>
                <w:u w:val="single"/>
              </w:rPr>
              <w:t>山东建筑材料工业学院</w:t>
            </w:r>
            <w:r>
              <w:rPr>
                <w:rFonts w:hint="eastAsia"/>
                <w:b/>
                <w:sz w:val="24"/>
                <w:u w:val="single"/>
              </w:rPr>
              <w:t>编著的《小水泥厂除尘》，1</w:t>
            </w:r>
            <w:r>
              <w:rPr>
                <w:b/>
                <w:sz w:val="24"/>
                <w:u w:val="single"/>
              </w:rPr>
              <w:t>981.10</w:t>
            </w:r>
            <w:r>
              <w:rPr>
                <w:rFonts w:hint="eastAsia"/>
                <w:b/>
                <w:sz w:val="24"/>
                <w:u w:val="single"/>
              </w:rPr>
              <w:t>）</w:t>
            </w:r>
            <w:r>
              <w:rPr>
                <w:b/>
                <w:sz w:val="24"/>
                <w:u w:val="single"/>
              </w:rPr>
              <w:t>，</w:t>
            </w:r>
            <w:bookmarkEnd w:id="2"/>
            <w:r>
              <w:rPr>
                <w:b/>
                <w:sz w:val="24"/>
                <w:u w:val="single"/>
                <w:lang w:val="zh-CN"/>
              </w:rPr>
              <w:t>粉磨机</w:t>
            </w:r>
            <w:r>
              <w:rPr>
                <w:rFonts w:hint="eastAsia"/>
                <w:b/>
                <w:sz w:val="24"/>
                <w:u w:val="single"/>
                <w:lang w:val="zh-CN"/>
              </w:rPr>
              <w:t>的</w:t>
            </w:r>
            <w:r>
              <w:rPr>
                <w:b/>
                <w:sz w:val="24"/>
                <w:u w:val="single"/>
                <w:lang w:val="zh-CN"/>
              </w:rPr>
              <w:t>通风量</w:t>
            </w:r>
            <w:r>
              <w:rPr>
                <w:rFonts w:hint="eastAsia"/>
                <w:b/>
                <w:sz w:val="24"/>
                <w:u w:val="single"/>
                <w:lang w:val="zh-CN"/>
              </w:rPr>
              <w:t>计算公式</w:t>
            </w:r>
            <w:r>
              <w:rPr>
                <w:b/>
                <w:sz w:val="24"/>
                <w:u w:val="single"/>
                <w:lang w:val="zh-CN"/>
              </w:rPr>
              <w:t>为</w:t>
            </w:r>
            <w:r>
              <w:rPr>
                <w:rFonts w:hint="eastAsia"/>
                <w:b/>
                <w:sz w:val="24"/>
                <w:u w:val="single"/>
                <w:lang w:val="zh-CN"/>
              </w:rPr>
              <w:t>：</w:t>
            </w:r>
          </w:p>
          <w:p>
            <w:pPr>
              <w:autoSpaceDE w:val="0"/>
              <w:autoSpaceDN w:val="0"/>
              <w:adjustRightInd w:val="0"/>
              <w:snapToGrid w:val="0"/>
              <w:ind w:firstLine="1201" w:firstLineChars="500"/>
              <w:jc w:val="left"/>
              <w:rPr>
                <w:rFonts w:ascii="TimesNewRomanPSMT" w:eastAsia="TimesNewRomanPSMT" w:cs="TimesNewRomanPSMT"/>
                <w:b/>
                <w:kern w:val="0"/>
                <w:sz w:val="24"/>
              </w:rPr>
            </w:pPr>
            <m:oMathPara>
              <m:oMath>
                <m:r>
                  <m:rPr>
                    <m:sty m:val="bi"/>
                  </m:rPr>
                  <w:rPr>
                    <w:rFonts w:hint="eastAsia" w:ascii="Cambria Math" w:hAnsi="Cambria Math" w:eastAsia="TimesNewRomanPSMT" w:cs="TimesNewRomanPSMT"/>
                    <w:kern w:val="0"/>
                    <w:sz w:val="24"/>
                  </w:rPr>
                  <m:t>Q</m:t>
                </m:r>
                <m:r>
                  <m:rPr>
                    <m:sty m:val="bi"/>
                  </m:rPr>
                  <w:rPr>
                    <w:rFonts w:ascii="Cambria Math" w:hAnsi="Cambria Math" w:eastAsia="TimesNewRomanPSMT" w:cs="TimesNewRomanPSMT"/>
                    <w:kern w:val="0"/>
                    <w:sz w:val="24"/>
                  </w:rPr>
                  <m:t>=</m:t>
                </m:r>
                <m:f>
                  <m:fPr>
                    <m:ctrlPr>
                      <w:rPr>
                        <w:rFonts w:ascii="Cambria Math" w:hAnsi="Cambria Math" w:eastAsia="TimesNewRomanPSMT" w:cs="TimesNewRomanPSMT"/>
                        <w:b/>
                        <w:i/>
                        <w:kern w:val="0"/>
                        <w:sz w:val="24"/>
                      </w:rPr>
                    </m:ctrlPr>
                  </m:fPr>
                  <m:num>
                    <m:r>
                      <m:rPr>
                        <m:sty m:val="bi"/>
                      </m:rPr>
                      <w:rPr>
                        <w:rFonts w:ascii="Cambria Math" w:hAnsi="Cambria Math" w:eastAsia="TimesNewRomanPSMT" w:cs="TimesNewRomanPSMT"/>
                        <w:kern w:val="0"/>
                        <w:sz w:val="24"/>
                      </w:rPr>
                      <m:t>π</m:t>
                    </m:r>
                    <m:sSup>
                      <m:sSupPr>
                        <m:ctrlPr>
                          <w:rPr>
                            <w:rFonts w:ascii="Cambria Math" w:hAnsi="Cambria Math" w:eastAsia="TimesNewRomanPSMT" w:cs="TimesNewRomanPSMT"/>
                            <w:b/>
                            <w:i/>
                            <w:kern w:val="0"/>
                            <w:sz w:val="24"/>
                          </w:rPr>
                        </m:ctrlPr>
                      </m:sSupPr>
                      <m:e>
                        <m:r>
                          <m:rPr>
                            <m:sty m:val="bi"/>
                          </m:rPr>
                          <w:rPr>
                            <w:rFonts w:hint="eastAsia" w:ascii="Cambria Math" w:hAnsi="Cambria Math" w:eastAsia="TimesNewRomanPSMT" w:cs="TimesNewRomanPSMT"/>
                            <w:kern w:val="0"/>
                            <w:sz w:val="24"/>
                          </w:rPr>
                          <m:t>D</m:t>
                        </m:r>
                        <m:ctrlPr>
                          <w:rPr>
                            <w:rFonts w:ascii="Cambria Math" w:hAnsi="Cambria Math" w:eastAsia="TimesNewRomanPSMT" w:cs="TimesNewRomanPSMT"/>
                            <w:b/>
                            <w:i/>
                            <w:kern w:val="0"/>
                            <w:sz w:val="24"/>
                          </w:rPr>
                        </m:ctrlPr>
                      </m:e>
                      <m:sup>
                        <m:r>
                          <m:rPr>
                            <m:sty m:val="bi"/>
                          </m:rPr>
                          <w:rPr>
                            <w:rFonts w:ascii="Cambria Math" w:hAnsi="Cambria Math" w:eastAsia="TimesNewRomanPSMT" w:cs="TimesNewRomanPSMT"/>
                            <w:kern w:val="0"/>
                            <w:sz w:val="24"/>
                          </w:rPr>
                          <m:t>2</m:t>
                        </m:r>
                        <m:ctrlPr>
                          <w:rPr>
                            <w:rFonts w:ascii="Cambria Math" w:hAnsi="Cambria Math" w:eastAsia="TimesNewRomanPSMT" w:cs="TimesNewRomanPSMT"/>
                            <w:b/>
                            <w:i/>
                            <w:kern w:val="0"/>
                            <w:sz w:val="24"/>
                          </w:rPr>
                        </m:ctrlPr>
                      </m:sup>
                    </m:sSup>
                    <m:ctrlPr>
                      <w:rPr>
                        <w:rFonts w:ascii="Cambria Math" w:hAnsi="Cambria Math" w:eastAsia="TimesNewRomanPSMT" w:cs="TimesNewRomanPSMT"/>
                        <w:b/>
                        <w:i/>
                        <w:kern w:val="0"/>
                        <w:sz w:val="24"/>
                      </w:rPr>
                    </m:ctrlPr>
                  </m:num>
                  <m:den>
                    <m:r>
                      <m:rPr>
                        <m:sty m:val="bi"/>
                      </m:rPr>
                      <w:rPr>
                        <w:rFonts w:ascii="Cambria Math" w:hAnsi="Cambria Math" w:eastAsia="TimesNewRomanPSMT" w:cs="TimesNewRomanPSMT"/>
                        <w:kern w:val="0"/>
                        <w:sz w:val="24"/>
                      </w:rPr>
                      <m:t>4</m:t>
                    </m:r>
                    <m:ctrlPr>
                      <w:rPr>
                        <w:rFonts w:ascii="Cambria Math" w:hAnsi="Cambria Math" w:eastAsia="TimesNewRomanPSMT" w:cs="TimesNewRomanPSMT"/>
                        <w:b/>
                        <w:i/>
                        <w:kern w:val="0"/>
                        <w:sz w:val="24"/>
                      </w:rPr>
                    </m:ctrlPr>
                  </m:den>
                </m:f>
                <m:r>
                  <m:rPr>
                    <m:sty m:val="bi"/>
                  </m:rPr>
                  <w:rPr>
                    <w:rFonts w:hint="eastAsia" w:ascii="Cambria Math" w:hAnsi="Cambria Math" w:cs="宋体"/>
                    <w:kern w:val="0"/>
                    <w:sz w:val="24"/>
                  </w:rPr>
                  <m:t>（</m:t>
                </m:r>
                <m:r>
                  <m:rPr>
                    <m:sty m:val="bi"/>
                  </m:rPr>
                  <w:rPr>
                    <w:rFonts w:ascii="Cambria Math" w:hAnsi="宋体" w:cs="宋体"/>
                    <w:kern w:val="0"/>
                    <w:sz w:val="24"/>
                  </w:rPr>
                  <m:t>1−</m:t>
                </m:r>
                <m:r>
                  <m:rPr>
                    <m:sty m:val="bi"/>
                  </m:rPr>
                  <w:rPr>
                    <w:rFonts w:ascii="Cambria Math" w:hAnsi="Cambria Math" w:cs="宋体"/>
                    <w:kern w:val="0"/>
                    <w:sz w:val="24"/>
                  </w:rPr>
                  <m:t>φ</m:t>
                </m:r>
                <m:r>
                  <m:rPr>
                    <m:sty m:val="bi"/>
                  </m:rPr>
                  <w:rPr>
                    <w:rFonts w:hint="eastAsia" w:ascii="Cambria Math" w:hAnsi="宋体" w:cs="宋体"/>
                    <w:kern w:val="0"/>
                    <w:sz w:val="24"/>
                  </w:rPr>
                  <m:t>）</m:t>
                </m:r>
                <m:r>
                  <m:rPr>
                    <m:sty m:val="bi"/>
                  </m:rPr>
                  <w:rPr>
                    <w:rFonts w:ascii="Cambria Math" w:hAnsi="Cambria Math" w:cs="宋体"/>
                    <w:kern w:val="0"/>
                    <w:sz w:val="24"/>
                  </w:rPr>
                  <m:t>ω3600</m:t>
                </m:r>
              </m:oMath>
            </m:oMathPara>
          </w:p>
          <w:p>
            <w:pPr>
              <w:autoSpaceDE w:val="0"/>
              <w:autoSpaceDN w:val="0"/>
              <w:adjustRightInd w:val="0"/>
              <w:snapToGrid w:val="0"/>
              <w:spacing w:line="470" w:lineRule="exact"/>
              <w:ind w:firstLine="480" w:firstLineChars="200"/>
              <w:jc w:val="left"/>
              <w:rPr>
                <w:rFonts w:cs="宋体"/>
                <w:bCs/>
                <w:kern w:val="0"/>
                <w:sz w:val="24"/>
              </w:rPr>
            </w:pPr>
            <w:r>
              <w:rPr>
                <w:rFonts w:hint="eastAsia" w:cs="宋体"/>
                <w:bCs/>
                <w:kern w:val="0"/>
                <w:sz w:val="24"/>
              </w:rPr>
              <w:t>式中：</w:t>
            </w:r>
            <w:r>
              <w:rPr>
                <w:rFonts w:ascii="TimesNewRomanPSMT" w:eastAsia="TimesNewRomanPSMT" w:cs="TimesNewRomanPSMT"/>
                <w:bCs/>
                <w:kern w:val="0"/>
                <w:sz w:val="24"/>
              </w:rPr>
              <w:t>Q</w:t>
            </w:r>
            <w:r>
              <w:rPr>
                <w:rFonts w:hint="eastAsia" w:cs="宋体"/>
                <w:bCs/>
                <w:kern w:val="0"/>
                <w:sz w:val="24"/>
              </w:rPr>
              <w:t>——通风量，</w:t>
            </w:r>
            <w:r>
              <w:rPr>
                <w:rFonts w:ascii="TimesNewRomanPSMT" w:eastAsia="TimesNewRomanPSMT" w:cs="TimesNewRomanPSMT"/>
                <w:bCs/>
                <w:kern w:val="0"/>
                <w:sz w:val="24"/>
              </w:rPr>
              <w:t>m</w:t>
            </w:r>
            <w:r>
              <w:rPr>
                <w:rFonts w:ascii="TimesNewRomanPSMT" w:eastAsia="TimesNewRomanPSMT" w:cs="TimesNewRomanPSMT"/>
                <w:bCs/>
                <w:kern w:val="0"/>
                <w:sz w:val="24"/>
                <w:vertAlign w:val="superscript"/>
              </w:rPr>
              <w:t>3</w:t>
            </w:r>
            <w:r>
              <w:rPr>
                <w:rFonts w:ascii="TimesNewRomanPSMT" w:eastAsia="TimesNewRomanPSMT" w:cs="TimesNewRomanPSMT"/>
                <w:bCs/>
                <w:kern w:val="0"/>
                <w:sz w:val="24"/>
              </w:rPr>
              <w:t>/ h</w:t>
            </w:r>
            <w:r>
              <w:rPr>
                <w:rFonts w:hint="eastAsia" w:cs="宋体"/>
                <w:bCs/>
                <w:kern w:val="0"/>
                <w:sz w:val="24"/>
              </w:rPr>
              <w:t>；</w:t>
            </w:r>
          </w:p>
          <w:p>
            <w:pPr>
              <w:autoSpaceDE w:val="0"/>
              <w:autoSpaceDN w:val="0"/>
              <w:adjustRightInd w:val="0"/>
              <w:snapToGrid w:val="0"/>
              <w:spacing w:line="470" w:lineRule="exact"/>
              <w:ind w:firstLine="1200" w:firstLineChars="500"/>
              <w:jc w:val="left"/>
              <w:rPr>
                <w:rFonts w:cs="宋体"/>
                <w:bCs/>
                <w:kern w:val="0"/>
                <w:sz w:val="24"/>
              </w:rPr>
            </w:pPr>
            <w:r>
              <w:rPr>
                <w:rFonts w:hint="eastAsia" w:ascii="TimesNewRomanPSMT" w:eastAsia="TimesNewRomanPSMT" w:cs="TimesNewRomanPSMT"/>
                <w:bCs/>
                <w:kern w:val="0"/>
                <w:sz w:val="24"/>
              </w:rPr>
              <w:t>D</w:t>
            </w:r>
            <w:r>
              <w:rPr>
                <w:rFonts w:hint="eastAsia" w:cs="宋体"/>
                <w:bCs/>
                <w:kern w:val="0"/>
                <w:sz w:val="24"/>
              </w:rPr>
              <w:t>——粉磨机内径</w:t>
            </w:r>
            <w:r>
              <w:rPr>
                <w:rFonts w:cs="宋体"/>
                <w:bCs/>
                <w:kern w:val="0"/>
                <w:sz w:val="24"/>
              </w:rPr>
              <w:t>，m，</w:t>
            </w:r>
            <w:r>
              <w:rPr>
                <w:rFonts w:hint="eastAsia" w:cs="宋体"/>
                <w:bCs/>
                <w:kern w:val="0"/>
                <w:sz w:val="24"/>
              </w:rPr>
              <w:t>为</w:t>
            </w:r>
            <w:r>
              <w:rPr>
                <w:rFonts w:cs="宋体"/>
                <w:bCs/>
                <w:kern w:val="0"/>
                <w:sz w:val="24"/>
              </w:rPr>
              <w:t>2.2</w:t>
            </w:r>
            <w:r>
              <w:rPr>
                <w:rFonts w:hint="eastAsia" w:cs="宋体"/>
                <w:bCs/>
                <w:kern w:val="0"/>
                <w:sz w:val="24"/>
              </w:rPr>
              <w:t>；</w:t>
            </w:r>
          </w:p>
          <w:p>
            <w:pPr>
              <w:autoSpaceDE w:val="0"/>
              <w:autoSpaceDN w:val="0"/>
              <w:adjustRightInd w:val="0"/>
              <w:snapToGrid w:val="0"/>
              <w:spacing w:line="470" w:lineRule="exact"/>
              <w:ind w:firstLine="1200" w:firstLineChars="500"/>
              <w:jc w:val="left"/>
              <w:rPr>
                <w:bCs/>
                <w:kern w:val="0"/>
                <w:sz w:val="24"/>
              </w:rPr>
            </w:pPr>
            <w:r>
              <w:rPr>
                <w:bCs/>
                <w:kern w:val="0"/>
                <w:sz w:val="24"/>
              </w:rPr>
              <w:t>φ</w:t>
            </w:r>
            <w:r>
              <w:rPr>
                <w:rFonts w:hint="eastAsia" w:cs="宋体"/>
                <w:bCs/>
                <w:kern w:val="0"/>
                <w:sz w:val="24"/>
              </w:rPr>
              <w:t>——钢球填充率，取</w:t>
            </w:r>
            <w:r>
              <w:rPr>
                <w:rFonts w:cs="宋体"/>
                <w:bCs/>
                <w:kern w:val="0"/>
                <w:sz w:val="24"/>
              </w:rPr>
              <w:t>40%</w:t>
            </w:r>
          </w:p>
          <w:p>
            <w:pPr>
              <w:autoSpaceDE w:val="0"/>
              <w:autoSpaceDN w:val="0"/>
              <w:adjustRightInd w:val="0"/>
              <w:snapToGrid w:val="0"/>
              <w:spacing w:line="470" w:lineRule="exact"/>
              <w:ind w:firstLine="1200" w:firstLineChars="500"/>
              <w:jc w:val="left"/>
              <w:rPr>
                <w:rFonts w:cs="宋体"/>
                <w:bCs/>
                <w:kern w:val="0"/>
                <w:sz w:val="24"/>
              </w:rPr>
            </w:pPr>
            <w:r>
              <w:rPr>
                <w:bCs/>
                <w:kern w:val="0"/>
                <w:sz w:val="24"/>
              </w:rPr>
              <w:t>ω</w:t>
            </w:r>
            <w:r>
              <w:rPr>
                <w:rFonts w:hint="eastAsia" w:cs="宋体"/>
                <w:bCs/>
                <w:kern w:val="0"/>
                <w:sz w:val="24"/>
              </w:rPr>
              <w:t>——磨内通风速度</w:t>
            </w:r>
            <w:r>
              <w:rPr>
                <w:rFonts w:cs="宋体"/>
                <w:bCs/>
                <w:kern w:val="0"/>
                <w:sz w:val="24"/>
              </w:rPr>
              <w:t>，</w:t>
            </w:r>
            <w:r>
              <w:rPr>
                <w:rFonts w:hint="eastAsia" w:cs="宋体"/>
                <w:bCs/>
                <w:kern w:val="0"/>
                <w:sz w:val="24"/>
              </w:rPr>
              <w:t>一般0</w:t>
            </w:r>
            <w:r>
              <w:rPr>
                <w:rFonts w:cs="宋体"/>
                <w:bCs/>
                <w:kern w:val="0"/>
                <w:sz w:val="24"/>
              </w:rPr>
              <w:t>.7-1.2</w:t>
            </w:r>
            <w:r>
              <w:rPr>
                <w:rFonts w:hint="eastAsia" w:cs="宋体"/>
                <w:bCs/>
                <w:kern w:val="0"/>
                <w:sz w:val="24"/>
              </w:rPr>
              <w:t>m</w:t>
            </w:r>
            <w:r>
              <w:rPr>
                <w:rFonts w:cs="宋体"/>
                <w:bCs/>
                <w:kern w:val="0"/>
                <w:sz w:val="24"/>
              </w:rPr>
              <w:t>/s</w:t>
            </w:r>
            <w:r>
              <w:rPr>
                <w:rFonts w:hint="eastAsia" w:cs="宋体"/>
                <w:bCs/>
                <w:kern w:val="0"/>
                <w:sz w:val="24"/>
              </w:rPr>
              <w:t>，</w:t>
            </w:r>
            <w:r>
              <w:rPr>
                <w:rFonts w:cs="宋体"/>
                <w:bCs/>
                <w:kern w:val="0"/>
                <w:sz w:val="24"/>
              </w:rPr>
              <w:t>本次</w:t>
            </w:r>
            <w:r>
              <w:rPr>
                <w:rFonts w:hint="eastAsia" w:cs="宋体"/>
                <w:bCs/>
                <w:kern w:val="0"/>
                <w:sz w:val="24"/>
              </w:rPr>
              <w:t>取</w:t>
            </w:r>
            <w:r>
              <w:rPr>
                <w:rFonts w:cs="宋体"/>
                <w:bCs/>
                <w:kern w:val="0"/>
                <w:sz w:val="24"/>
              </w:rPr>
              <w:t>1m/s</w:t>
            </w:r>
            <w:r>
              <w:rPr>
                <w:rFonts w:hint="eastAsia" w:cs="宋体"/>
                <w:bCs/>
                <w:kern w:val="0"/>
                <w:sz w:val="24"/>
              </w:rPr>
              <w:t>。</w:t>
            </w:r>
          </w:p>
          <w:p>
            <w:pPr>
              <w:adjustRightInd w:val="0"/>
              <w:snapToGrid w:val="0"/>
              <w:spacing w:line="470" w:lineRule="exact"/>
              <w:ind w:firstLine="602" w:firstLineChars="250"/>
              <w:rPr>
                <w:rFonts w:cs="宋体"/>
                <w:b/>
                <w:kern w:val="0"/>
                <w:sz w:val="24"/>
                <w:u w:val="single"/>
              </w:rPr>
            </w:pPr>
            <w:r>
              <w:rPr>
                <w:rFonts w:hint="eastAsia" w:cs="宋体"/>
                <w:b/>
                <w:kern w:val="0"/>
                <w:sz w:val="24"/>
                <w:u w:val="single"/>
              </w:rPr>
              <w:t>计算</w:t>
            </w:r>
            <w:r>
              <w:rPr>
                <w:rFonts w:cs="宋体"/>
                <w:b/>
                <w:kern w:val="0"/>
                <w:sz w:val="24"/>
                <w:u w:val="single"/>
              </w:rPr>
              <w:t>得出</w:t>
            </w:r>
            <w:r>
              <w:rPr>
                <w:rFonts w:hint="eastAsia" w:cs="宋体"/>
                <w:b/>
                <w:kern w:val="0"/>
                <w:sz w:val="24"/>
                <w:u w:val="single"/>
              </w:rPr>
              <w:t>粉磨机</w:t>
            </w:r>
            <w:r>
              <w:rPr>
                <w:rFonts w:cs="宋体"/>
                <w:b/>
                <w:kern w:val="0"/>
                <w:sz w:val="24"/>
                <w:u w:val="single"/>
              </w:rPr>
              <w:t>内通风量</w:t>
            </w:r>
            <w:r>
              <w:rPr>
                <w:rFonts w:ascii="TimesNewRomanPSMT" w:eastAsia="TimesNewRomanPSMT" w:cs="TimesNewRomanPSMT"/>
                <w:b/>
                <w:kern w:val="0"/>
                <w:sz w:val="24"/>
                <w:u w:val="single"/>
              </w:rPr>
              <w:t>Q=8206m</w:t>
            </w:r>
            <w:r>
              <w:rPr>
                <w:rFonts w:ascii="TimesNewRomanPSMT" w:eastAsia="TimesNewRomanPSMT" w:cs="TimesNewRomanPSMT"/>
                <w:b/>
                <w:kern w:val="0"/>
                <w:sz w:val="24"/>
                <w:u w:val="single"/>
                <w:vertAlign w:val="superscript"/>
              </w:rPr>
              <w:t>3</w:t>
            </w:r>
            <w:r>
              <w:rPr>
                <w:rFonts w:ascii="TimesNewRomanPSMT" w:eastAsia="TimesNewRomanPSMT" w:cs="TimesNewRomanPSMT"/>
                <w:b/>
                <w:kern w:val="0"/>
                <w:sz w:val="24"/>
                <w:u w:val="single"/>
              </w:rPr>
              <w:t>/h</w:t>
            </w:r>
            <w:r>
              <w:rPr>
                <w:rFonts w:hint="eastAsia" w:cs="宋体"/>
                <w:b/>
                <w:kern w:val="0"/>
                <w:sz w:val="24"/>
                <w:u w:val="single"/>
              </w:rPr>
              <w:t>，</w:t>
            </w:r>
            <w:r>
              <w:rPr>
                <w:rFonts w:cs="宋体"/>
                <w:b/>
                <w:kern w:val="0"/>
                <w:sz w:val="24"/>
                <w:u w:val="single"/>
              </w:rPr>
              <w:t>项目</w:t>
            </w:r>
            <w:r>
              <w:rPr>
                <w:rFonts w:hint="eastAsia"/>
                <w:b/>
                <w:sz w:val="24"/>
                <w:u w:val="single"/>
              </w:rPr>
              <w:t>设计在粉磨</w:t>
            </w:r>
            <w:r>
              <w:rPr>
                <w:b/>
                <w:sz w:val="24"/>
                <w:u w:val="single"/>
              </w:rPr>
              <w:t>机</w:t>
            </w:r>
            <w:r>
              <w:rPr>
                <w:rFonts w:hint="eastAsia"/>
                <w:b/>
                <w:sz w:val="24"/>
                <w:u w:val="single"/>
              </w:rPr>
              <w:t>磨头</w:t>
            </w:r>
            <w:r>
              <w:rPr>
                <w:b/>
                <w:sz w:val="24"/>
                <w:u w:val="single"/>
              </w:rPr>
              <w:t>、磨尾</w:t>
            </w:r>
            <w:r>
              <w:rPr>
                <w:rFonts w:hint="eastAsia"/>
                <w:b/>
                <w:sz w:val="24"/>
                <w:u w:val="single"/>
              </w:rPr>
              <w:t>设置密闭集气罩，并</w:t>
            </w:r>
            <w:r>
              <w:rPr>
                <w:b/>
                <w:sz w:val="24"/>
                <w:u w:val="single"/>
              </w:rPr>
              <w:t>采用</w:t>
            </w:r>
            <w:r>
              <w:rPr>
                <w:rFonts w:hint="eastAsia"/>
                <w:b/>
                <w:sz w:val="24"/>
                <w:u w:val="single"/>
              </w:rPr>
              <w:t>收</w:t>
            </w:r>
            <w:r>
              <w:rPr>
                <w:b/>
                <w:sz w:val="24"/>
                <w:u w:val="single"/>
              </w:rPr>
              <w:t>尘</w:t>
            </w:r>
            <w:r>
              <w:rPr>
                <w:rFonts w:hint="eastAsia"/>
                <w:b/>
                <w:sz w:val="24"/>
                <w:u w:val="single"/>
              </w:rPr>
              <w:t>管道将各</w:t>
            </w:r>
            <w:r>
              <w:rPr>
                <w:b/>
                <w:sz w:val="24"/>
                <w:u w:val="single"/>
              </w:rPr>
              <w:t>产</w:t>
            </w:r>
            <w:r>
              <w:rPr>
                <w:rFonts w:hint="eastAsia"/>
                <w:b/>
                <w:sz w:val="24"/>
                <w:u w:val="single"/>
              </w:rPr>
              <w:t>尘</w:t>
            </w:r>
            <w:r>
              <w:rPr>
                <w:b/>
                <w:sz w:val="24"/>
                <w:u w:val="single"/>
              </w:rPr>
              <w:t>点</w:t>
            </w:r>
            <w:r>
              <w:rPr>
                <w:rFonts w:hint="eastAsia"/>
                <w:b/>
                <w:sz w:val="24"/>
                <w:u w:val="single"/>
              </w:rPr>
              <w:t>颗粒物收集至</w:t>
            </w:r>
            <w:r>
              <w:rPr>
                <w:b/>
                <w:sz w:val="24"/>
                <w:u w:val="single"/>
              </w:rPr>
              <w:t>1</w:t>
            </w:r>
            <w:r>
              <w:rPr>
                <w:rFonts w:hint="eastAsia"/>
                <w:b/>
                <w:sz w:val="24"/>
                <w:u w:val="single"/>
              </w:rPr>
              <w:t>套脉冲袋式除尘器进行处理，每个</w:t>
            </w:r>
            <w:r>
              <w:rPr>
                <w:b/>
                <w:sz w:val="24"/>
                <w:u w:val="single"/>
              </w:rPr>
              <w:t>收</w:t>
            </w:r>
            <w:r>
              <w:rPr>
                <w:rFonts w:hint="eastAsia"/>
                <w:b/>
                <w:sz w:val="24"/>
                <w:u w:val="single"/>
              </w:rPr>
              <w:t>尘</w:t>
            </w:r>
            <w:r>
              <w:rPr>
                <w:b/>
                <w:sz w:val="24"/>
                <w:u w:val="single"/>
              </w:rPr>
              <w:t>点</w:t>
            </w:r>
            <w:r>
              <w:rPr>
                <w:rFonts w:hint="eastAsia"/>
                <w:b/>
                <w:sz w:val="24"/>
                <w:u w:val="single"/>
              </w:rPr>
              <w:t>引</w:t>
            </w:r>
            <w:r>
              <w:rPr>
                <w:b/>
                <w:sz w:val="24"/>
                <w:u w:val="single"/>
              </w:rPr>
              <w:t>风量</w:t>
            </w:r>
            <w:r>
              <w:rPr>
                <w:rFonts w:hint="eastAsia"/>
                <w:b/>
                <w:sz w:val="24"/>
                <w:u w:val="single"/>
              </w:rPr>
              <w:t>按I</w:t>
            </w:r>
            <w:r>
              <w:rPr>
                <w:rFonts w:eastAsia="TimesNewRomanPSMT"/>
                <w:b/>
                <w:kern w:val="0"/>
                <w:sz w:val="24"/>
                <w:u w:val="single"/>
              </w:rPr>
              <w:t>×</w:t>
            </w:r>
            <w:r>
              <w:rPr>
                <w:rFonts w:ascii="TimesNewRomanPSMT" w:eastAsia="TimesNewRomanPSMT" w:cs="TimesNewRomanPSMT"/>
                <w:b/>
                <w:kern w:val="0"/>
                <w:sz w:val="24"/>
                <w:u w:val="single"/>
              </w:rPr>
              <w:t>Q</w:t>
            </w:r>
            <w:r>
              <w:rPr>
                <w:rFonts w:hint="eastAsia" w:ascii="TimesNewRomanPSMT" w:eastAsia="TimesNewRomanPSMT" w:cs="TimesNewRomanPSMT"/>
                <w:b/>
                <w:kern w:val="0"/>
                <w:sz w:val="24"/>
                <w:u w:val="single"/>
              </w:rPr>
              <w:t>（</w:t>
            </w:r>
            <w:r>
              <w:rPr>
                <w:rFonts w:hint="eastAsia"/>
                <w:b/>
                <w:sz w:val="24"/>
                <w:u w:val="single"/>
              </w:rPr>
              <w:t>I为漏风调整</w:t>
            </w:r>
            <w:r>
              <w:rPr>
                <w:b/>
                <w:sz w:val="24"/>
                <w:u w:val="single"/>
              </w:rPr>
              <w:t>系数，取</w:t>
            </w:r>
            <w:r>
              <w:rPr>
                <w:rFonts w:hint="eastAsia"/>
                <w:b/>
                <w:sz w:val="24"/>
                <w:u w:val="single"/>
              </w:rPr>
              <w:t>1</w:t>
            </w:r>
            <w:r>
              <w:rPr>
                <w:b/>
                <w:sz w:val="24"/>
                <w:u w:val="single"/>
              </w:rPr>
              <w:t>.3</w:t>
            </w:r>
            <w:r>
              <w:rPr>
                <w:rFonts w:hint="eastAsia" w:ascii="TimesNewRomanPSMT" w:eastAsia="TimesNewRomanPSMT" w:cs="TimesNewRomanPSMT"/>
                <w:b/>
                <w:kern w:val="0"/>
                <w:sz w:val="24"/>
                <w:u w:val="single"/>
              </w:rPr>
              <w:t>）计算</w:t>
            </w:r>
            <w:r>
              <w:rPr>
                <w:rFonts w:hint="eastAsia"/>
                <w:b/>
                <w:sz w:val="24"/>
                <w:u w:val="single"/>
              </w:rPr>
              <w:t>为10</w:t>
            </w:r>
            <w:r>
              <w:rPr>
                <w:b/>
                <w:sz w:val="24"/>
                <w:u w:val="single"/>
              </w:rPr>
              <w:t>668</w:t>
            </w:r>
            <w:r>
              <w:rPr>
                <w:rFonts w:ascii="TimesNewRomanPSMT" w:eastAsia="TimesNewRomanPSMT" w:cs="TimesNewRomanPSMT"/>
                <w:b/>
                <w:kern w:val="0"/>
                <w:sz w:val="24"/>
                <w:u w:val="single"/>
              </w:rPr>
              <w:t>m</w:t>
            </w:r>
            <w:r>
              <w:rPr>
                <w:rFonts w:ascii="TimesNewRomanPSMT" w:eastAsia="TimesNewRomanPSMT" w:cs="TimesNewRomanPSMT"/>
                <w:b/>
                <w:kern w:val="0"/>
                <w:sz w:val="24"/>
                <w:u w:val="single"/>
                <w:vertAlign w:val="superscript"/>
              </w:rPr>
              <w:t>3</w:t>
            </w:r>
            <w:r>
              <w:rPr>
                <w:rFonts w:ascii="TimesNewRomanPSMT" w:eastAsia="TimesNewRomanPSMT" w:cs="TimesNewRomanPSMT"/>
                <w:b/>
                <w:kern w:val="0"/>
                <w:sz w:val="24"/>
                <w:u w:val="single"/>
              </w:rPr>
              <w:t>/h</w:t>
            </w:r>
            <w:r>
              <w:rPr>
                <w:rFonts w:hint="eastAsia" w:ascii="TimesNewRomanPSMT" w:eastAsia="TimesNewRomanPSMT" w:cs="TimesNewRomanPSMT"/>
                <w:b/>
                <w:kern w:val="0"/>
                <w:sz w:val="24"/>
                <w:u w:val="single"/>
              </w:rPr>
              <w:t>，粉磨机</w:t>
            </w:r>
            <w:r>
              <w:rPr>
                <w:rFonts w:hint="eastAsia"/>
                <w:b/>
                <w:sz w:val="24"/>
                <w:u w:val="single"/>
              </w:rPr>
              <w:t>共</w:t>
            </w:r>
            <w:r>
              <w:rPr>
                <w:b/>
                <w:sz w:val="24"/>
                <w:u w:val="single"/>
              </w:rPr>
              <w:t>设置</w:t>
            </w:r>
            <w:r>
              <w:rPr>
                <w:rFonts w:hint="eastAsia"/>
                <w:b/>
                <w:sz w:val="24"/>
                <w:u w:val="single"/>
              </w:rPr>
              <w:t>2个</w:t>
            </w:r>
            <w:r>
              <w:rPr>
                <w:b/>
                <w:sz w:val="24"/>
                <w:u w:val="single"/>
              </w:rPr>
              <w:t>收尘点，</w:t>
            </w:r>
            <w:r>
              <w:rPr>
                <w:rFonts w:hint="eastAsia"/>
                <w:b/>
                <w:sz w:val="24"/>
                <w:u w:val="single"/>
              </w:rPr>
              <w:t>则</w:t>
            </w:r>
            <w:r>
              <w:rPr>
                <w:b/>
                <w:sz w:val="24"/>
                <w:u w:val="single"/>
              </w:rPr>
              <w:t>引风量</w:t>
            </w:r>
            <w:r>
              <w:rPr>
                <w:rFonts w:hint="eastAsia"/>
                <w:b/>
                <w:sz w:val="24"/>
                <w:u w:val="single"/>
              </w:rPr>
              <w:t>为21</w:t>
            </w:r>
            <w:r>
              <w:rPr>
                <w:b/>
                <w:sz w:val="24"/>
                <w:u w:val="single"/>
              </w:rPr>
              <w:t>336</w:t>
            </w:r>
            <w:r>
              <w:rPr>
                <w:rFonts w:ascii="TimesNewRomanPSMT" w:eastAsia="TimesNewRomanPSMT" w:cs="TimesNewRomanPSMT"/>
                <w:b/>
                <w:kern w:val="0"/>
                <w:sz w:val="24"/>
                <w:u w:val="single"/>
              </w:rPr>
              <w:t xml:space="preserve"> m</w:t>
            </w:r>
            <w:r>
              <w:rPr>
                <w:rFonts w:ascii="TimesNewRomanPSMT" w:eastAsia="TimesNewRomanPSMT" w:cs="TimesNewRomanPSMT"/>
                <w:b/>
                <w:kern w:val="0"/>
                <w:sz w:val="24"/>
                <w:u w:val="single"/>
                <w:vertAlign w:val="superscript"/>
              </w:rPr>
              <w:t>3</w:t>
            </w:r>
            <w:r>
              <w:rPr>
                <w:rFonts w:ascii="TimesNewRomanPSMT" w:eastAsia="TimesNewRomanPSMT" w:cs="TimesNewRomanPSMT"/>
                <w:b/>
                <w:kern w:val="0"/>
                <w:sz w:val="24"/>
                <w:u w:val="single"/>
              </w:rPr>
              <w:t>/h</w:t>
            </w:r>
            <w:r>
              <w:rPr>
                <w:rFonts w:hint="eastAsia" w:ascii="TimesNewRomanPSMT" w:eastAsia="TimesNewRomanPSMT" w:cs="TimesNewRomanPSMT"/>
                <w:b/>
                <w:kern w:val="0"/>
                <w:sz w:val="24"/>
                <w:u w:val="single"/>
              </w:rPr>
              <w:t>。</w:t>
            </w:r>
          </w:p>
          <w:p>
            <w:pPr>
              <w:adjustRightInd w:val="0"/>
              <w:snapToGrid w:val="0"/>
              <w:spacing w:line="470" w:lineRule="exact"/>
              <w:ind w:firstLine="602" w:firstLineChars="250"/>
              <w:rPr>
                <w:rFonts w:cs="宋体"/>
                <w:b/>
                <w:kern w:val="0"/>
                <w:sz w:val="24"/>
                <w:u w:val="single"/>
              </w:rPr>
            </w:pPr>
            <w:r>
              <w:rPr>
                <w:rFonts w:hint="eastAsia" w:cs="宋体"/>
                <w:b/>
                <w:kern w:val="0"/>
                <w:sz w:val="24"/>
                <w:u w:val="single"/>
              </w:rPr>
              <w:t>同时分选机</w:t>
            </w:r>
            <w:r>
              <w:rPr>
                <w:rFonts w:cs="宋体"/>
                <w:b/>
                <w:kern w:val="0"/>
                <w:sz w:val="24"/>
                <w:u w:val="single"/>
              </w:rPr>
              <w:t>至粉磨机、粉磨机回流至分选机</w:t>
            </w:r>
            <w:r>
              <w:rPr>
                <w:rFonts w:hint="eastAsia" w:cs="宋体"/>
                <w:b/>
                <w:kern w:val="0"/>
                <w:sz w:val="24"/>
                <w:u w:val="single"/>
              </w:rPr>
              <w:t>均</w:t>
            </w:r>
            <w:r>
              <w:rPr>
                <w:rFonts w:cs="宋体"/>
                <w:b/>
                <w:kern w:val="0"/>
                <w:sz w:val="24"/>
                <w:u w:val="single"/>
              </w:rPr>
              <w:t>采用气体</w:t>
            </w:r>
            <w:r>
              <w:rPr>
                <w:rFonts w:hint="eastAsia" w:cs="宋体"/>
                <w:b/>
                <w:kern w:val="0"/>
                <w:sz w:val="24"/>
                <w:u w:val="single"/>
              </w:rPr>
              <w:t>输送管道输运</w:t>
            </w:r>
            <w:r>
              <w:rPr>
                <w:rFonts w:cs="宋体"/>
                <w:b/>
                <w:kern w:val="0"/>
                <w:sz w:val="24"/>
                <w:u w:val="single"/>
              </w:rPr>
              <w:t>物料，</w:t>
            </w:r>
            <w:r>
              <w:rPr>
                <w:rFonts w:hint="eastAsia" w:cs="宋体"/>
                <w:b/>
                <w:kern w:val="0"/>
                <w:sz w:val="24"/>
                <w:u w:val="single"/>
              </w:rPr>
              <w:t>设计采用的气流输送机气</w:t>
            </w:r>
            <w:r>
              <w:rPr>
                <w:rFonts w:cs="宋体"/>
                <w:b/>
                <w:kern w:val="0"/>
                <w:sz w:val="24"/>
                <w:u w:val="single"/>
              </w:rPr>
              <w:t>量为</w:t>
            </w:r>
            <w:r>
              <w:rPr>
                <w:rFonts w:hint="eastAsia" w:cs="宋体"/>
                <w:b/>
                <w:kern w:val="0"/>
                <w:sz w:val="24"/>
                <w:u w:val="single"/>
              </w:rPr>
              <w:t>3600</w:t>
            </w:r>
            <w:r>
              <w:rPr>
                <w:rFonts w:cs="宋体"/>
                <w:b/>
                <w:kern w:val="0"/>
                <w:sz w:val="24"/>
                <w:u w:val="single"/>
              </w:rPr>
              <w:t>m</w:t>
            </w:r>
            <w:r>
              <w:rPr>
                <w:rFonts w:cs="宋体"/>
                <w:b/>
                <w:kern w:val="0"/>
                <w:sz w:val="24"/>
                <w:u w:val="single"/>
                <w:vertAlign w:val="superscript"/>
              </w:rPr>
              <w:t>3</w:t>
            </w:r>
            <w:r>
              <w:rPr>
                <w:rFonts w:cs="宋体"/>
                <w:b/>
                <w:kern w:val="0"/>
                <w:sz w:val="24"/>
                <w:u w:val="single"/>
              </w:rPr>
              <w:t>/h，</w:t>
            </w:r>
            <w:r>
              <w:rPr>
                <w:rFonts w:hint="eastAsia" w:cs="宋体"/>
                <w:b/>
                <w:kern w:val="0"/>
                <w:sz w:val="24"/>
                <w:u w:val="single"/>
              </w:rPr>
              <w:t>根据工程经验，其中约60</w:t>
            </w:r>
            <w:r>
              <w:rPr>
                <w:rFonts w:cs="宋体"/>
                <w:b/>
                <w:kern w:val="0"/>
                <w:sz w:val="24"/>
                <w:u w:val="single"/>
              </w:rPr>
              <w:t>%</w:t>
            </w:r>
            <w:r>
              <w:rPr>
                <w:rFonts w:hint="eastAsia" w:cs="宋体"/>
                <w:b/>
                <w:kern w:val="0"/>
                <w:sz w:val="24"/>
                <w:u w:val="single"/>
              </w:rPr>
              <w:t>的</w:t>
            </w:r>
            <w:r>
              <w:rPr>
                <w:rFonts w:cs="宋体"/>
                <w:b/>
                <w:kern w:val="0"/>
                <w:sz w:val="24"/>
                <w:u w:val="single"/>
              </w:rPr>
              <w:t>气量和物料混合，其余</w:t>
            </w:r>
            <w:r>
              <w:rPr>
                <w:rFonts w:hint="eastAsia" w:cs="宋体"/>
                <w:b/>
                <w:kern w:val="0"/>
                <w:sz w:val="24"/>
                <w:u w:val="single"/>
              </w:rPr>
              <w:t>40</w:t>
            </w:r>
            <w:r>
              <w:rPr>
                <w:rFonts w:cs="宋体"/>
                <w:b/>
                <w:kern w:val="0"/>
                <w:sz w:val="24"/>
                <w:u w:val="single"/>
              </w:rPr>
              <w:t>%</w:t>
            </w:r>
            <w:r>
              <w:rPr>
                <w:rFonts w:hint="eastAsia" w:cs="宋体"/>
                <w:b/>
                <w:kern w:val="0"/>
                <w:sz w:val="24"/>
                <w:u w:val="single"/>
              </w:rPr>
              <w:t>气量通过收尘</w:t>
            </w:r>
            <w:r>
              <w:rPr>
                <w:rFonts w:cs="宋体"/>
                <w:b/>
                <w:kern w:val="0"/>
                <w:sz w:val="24"/>
                <w:u w:val="single"/>
              </w:rPr>
              <w:t>管</w:t>
            </w:r>
            <w:r>
              <w:rPr>
                <w:rFonts w:hint="eastAsia" w:cs="宋体"/>
                <w:b/>
                <w:kern w:val="0"/>
                <w:sz w:val="24"/>
                <w:u w:val="single"/>
              </w:rPr>
              <w:t>进</w:t>
            </w:r>
            <w:r>
              <w:rPr>
                <w:rFonts w:cs="宋体"/>
                <w:b/>
                <w:kern w:val="0"/>
                <w:sz w:val="24"/>
                <w:u w:val="single"/>
              </w:rPr>
              <w:t>入</w:t>
            </w:r>
            <w:r>
              <w:rPr>
                <w:rFonts w:hint="eastAsia" w:cs="宋体"/>
                <w:b/>
                <w:kern w:val="0"/>
                <w:sz w:val="24"/>
                <w:u w:val="single"/>
              </w:rPr>
              <w:t>袋式</w:t>
            </w:r>
            <w:r>
              <w:rPr>
                <w:rFonts w:cs="宋体"/>
                <w:b/>
                <w:kern w:val="0"/>
                <w:sz w:val="24"/>
                <w:u w:val="single"/>
              </w:rPr>
              <w:t>除尘器，则</w:t>
            </w:r>
            <w:r>
              <w:rPr>
                <w:rFonts w:hint="eastAsia" w:cs="宋体"/>
                <w:b/>
                <w:kern w:val="0"/>
                <w:sz w:val="24"/>
                <w:u w:val="single"/>
              </w:rPr>
              <w:t>两段气体输送管道产尘</w:t>
            </w:r>
            <w:r>
              <w:rPr>
                <w:rFonts w:cs="宋体"/>
                <w:b/>
                <w:kern w:val="0"/>
                <w:sz w:val="24"/>
                <w:u w:val="single"/>
              </w:rPr>
              <w:t>点</w:t>
            </w:r>
            <w:r>
              <w:rPr>
                <w:rFonts w:hint="eastAsia" w:cs="宋体"/>
                <w:b/>
                <w:kern w:val="0"/>
                <w:sz w:val="24"/>
                <w:u w:val="single"/>
              </w:rPr>
              <w:t>引风</w:t>
            </w:r>
            <w:r>
              <w:rPr>
                <w:rFonts w:cs="宋体"/>
                <w:b/>
                <w:kern w:val="0"/>
                <w:sz w:val="24"/>
                <w:u w:val="single"/>
              </w:rPr>
              <w:t>量为</w:t>
            </w:r>
            <w:r>
              <w:rPr>
                <w:rFonts w:hint="eastAsia" w:cs="宋体"/>
                <w:b/>
                <w:kern w:val="0"/>
                <w:sz w:val="24"/>
                <w:u w:val="single"/>
              </w:rPr>
              <w:t>2880</w:t>
            </w:r>
            <w:r>
              <w:rPr>
                <w:rFonts w:cs="宋体"/>
                <w:b/>
                <w:kern w:val="0"/>
                <w:sz w:val="24"/>
                <w:u w:val="single"/>
              </w:rPr>
              <w:t>m</w:t>
            </w:r>
            <w:r>
              <w:rPr>
                <w:rFonts w:cs="宋体"/>
                <w:b/>
                <w:kern w:val="0"/>
                <w:sz w:val="24"/>
                <w:u w:val="single"/>
                <w:vertAlign w:val="superscript"/>
              </w:rPr>
              <w:t>3</w:t>
            </w:r>
            <w:r>
              <w:rPr>
                <w:rFonts w:cs="宋体"/>
                <w:b/>
                <w:kern w:val="0"/>
                <w:sz w:val="24"/>
                <w:u w:val="single"/>
              </w:rPr>
              <w:t>/h</w:t>
            </w:r>
            <w:r>
              <w:rPr>
                <w:rFonts w:hint="eastAsia" w:cs="宋体"/>
                <w:b/>
                <w:kern w:val="0"/>
                <w:sz w:val="24"/>
                <w:u w:val="single"/>
              </w:rPr>
              <w:t>。</w:t>
            </w:r>
          </w:p>
          <w:p>
            <w:pPr>
              <w:adjustRightInd w:val="0"/>
              <w:snapToGrid w:val="0"/>
              <w:spacing w:line="470" w:lineRule="exact"/>
              <w:ind w:firstLine="480" w:firstLineChars="200"/>
              <w:rPr>
                <w:rFonts w:ascii="TimesNewRomanPSMT" w:eastAsia="TimesNewRomanPSMT" w:cs="TimesNewRomanPSMT"/>
                <w:b/>
                <w:kern w:val="0"/>
                <w:sz w:val="24"/>
                <w:u w:val="single"/>
              </w:rPr>
            </w:pPr>
            <w:r>
              <w:rPr>
                <w:rFonts w:hint="eastAsia" w:ascii="TimesNewRomanPSMT" w:eastAsia="TimesNewRomanPSMT" w:cs="TimesNewRomanPSMT"/>
                <w:b/>
                <w:kern w:val="0"/>
                <w:sz w:val="24"/>
                <w:u w:val="single"/>
              </w:rPr>
              <w:t>综上，</w:t>
            </w:r>
            <w:r>
              <w:rPr>
                <w:rFonts w:hint="eastAsia" w:ascii="宋体" w:hAnsi="宋体" w:cs="宋体"/>
                <w:b/>
                <w:kern w:val="0"/>
                <w:sz w:val="24"/>
                <w:u w:val="single"/>
              </w:rPr>
              <w:t>设计</w:t>
            </w:r>
            <w:r>
              <w:rPr>
                <w:rFonts w:hint="eastAsia" w:ascii="TimesNewRomanPSMT" w:eastAsia="TimesNewRomanPSMT" w:cs="TimesNewRomanPSMT"/>
                <w:b/>
                <w:kern w:val="0"/>
                <w:sz w:val="24"/>
                <w:u w:val="single"/>
              </w:rPr>
              <w:t>在</w:t>
            </w:r>
            <w:r>
              <w:rPr>
                <w:rFonts w:ascii="TimesNewRomanPSMT" w:eastAsia="TimesNewRomanPSMT" w:cs="TimesNewRomanPSMT"/>
                <w:b/>
                <w:kern w:val="0"/>
                <w:sz w:val="24"/>
                <w:u w:val="single"/>
              </w:rPr>
              <w:t>考虑物料</w:t>
            </w:r>
            <w:r>
              <w:rPr>
                <w:rFonts w:hint="eastAsia" w:ascii="TimesNewRomanPSMT" w:eastAsia="TimesNewRomanPSMT" w:cs="TimesNewRomanPSMT"/>
                <w:b/>
                <w:kern w:val="0"/>
                <w:sz w:val="24"/>
                <w:u w:val="single"/>
              </w:rPr>
              <w:t>输送管道气量、</w:t>
            </w:r>
            <w:r>
              <w:rPr>
                <w:rFonts w:ascii="TimesNewRomanPSMT" w:eastAsia="TimesNewRomanPSMT" w:cs="TimesNewRomanPSMT"/>
                <w:b/>
                <w:kern w:val="0"/>
                <w:sz w:val="24"/>
                <w:u w:val="single"/>
              </w:rPr>
              <w:t>粉磨机通风量</w:t>
            </w:r>
            <w:r>
              <w:rPr>
                <w:rFonts w:hint="eastAsia" w:ascii="TimesNewRomanPSMT" w:eastAsia="TimesNewRomanPSMT" w:cs="TimesNewRomanPSMT"/>
                <w:b/>
                <w:kern w:val="0"/>
                <w:sz w:val="24"/>
                <w:u w:val="single"/>
              </w:rPr>
              <w:t>以及</w:t>
            </w:r>
            <w:r>
              <w:rPr>
                <w:rFonts w:ascii="TimesNewRomanPSMT" w:eastAsia="TimesNewRomanPSMT" w:cs="TimesNewRomanPSMT"/>
                <w:b/>
                <w:kern w:val="0"/>
                <w:sz w:val="24"/>
                <w:u w:val="single"/>
              </w:rPr>
              <w:t>漏风系数后，粉磨机工段除尘</w:t>
            </w:r>
            <w:r>
              <w:rPr>
                <w:rFonts w:hint="eastAsia" w:ascii="TimesNewRomanPSMT" w:eastAsia="TimesNewRomanPSMT" w:cs="TimesNewRomanPSMT"/>
                <w:b/>
                <w:kern w:val="0"/>
                <w:sz w:val="24"/>
                <w:u w:val="single"/>
              </w:rPr>
              <w:t>器配套引风机风量</w:t>
            </w:r>
            <w:r>
              <w:rPr>
                <w:rFonts w:hint="eastAsia" w:ascii="宋体" w:hAnsi="宋体" w:cs="宋体"/>
                <w:b/>
                <w:kern w:val="0"/>
                <w:sz w:val="24"/>
                <w:u w:val="single"/>
              </w:rPr>
              <w:t>确定</w:t>
            </w:r>
            <w:r>
              <w:rPr>
                <w:rFonts w:ascii="TimesNewRomanPSMT" w:eastAsia="TimesNewRomanPSMT" w:cs="TimesNewRomanPSMT"/>
                <w:b/>
                <w:kern w:val="0"/>
                <w:sz w:val="24"/>
                <w:u w:val="single"/>
              </w:rPr>
              <w:t>为26000m</w:t>
            </w:r>
            <w:r>
              <w:rPr>
                <w:rFonts w:ascii="TimesNewRomanPSMT" w:eastAsia="TimesNewRomanPSMT" w:cs="TimesNewRomanPSMT"/>
                <w:b/>
                <w:kern w:val="0"/>
                <w:sz w:val="24"/>
                <w:u w:val="single"/>
                <w:vertAlign w:val="superscript"/>
              </w:rPr>
              <w:t>3</w:t>
            </w:r>
            <w:r>
              <w:rPr>
                <w:rFonts w:ascii="TimesNewRomanPSMT" w:eastAsia="TimesNewRomanPSMT" w:cs="TimesNewRomanPSMT"/>
                <w:b/>
                <w:kern w:val="0"/>
                <w:sz w:val="24"/>
                <w:u w:val="single"/>
              </w:rPr>
              <w:t>/h</w:t>
            </w:r>
            <w:r>
              <w:rPr>
                <w:rFonts w:hint="eastAsia" w:ascii="TimesNewRomanPSMT" w:eastAsia="TimesNewRomanPSMT" w:cs="TimesNewRomanPSMT"/>
                <w:b/>
                <w:kern w:val="0"/>
                <w:sz w:val="24"/>
                <w:u w:val="single"/>
              </w:rPr>
              <w:t>。</w:t>
            </w:r>
          </w:p>
          <w:p>
            <w:pPr>
              <w:autoSpaceDE w:val="0"/>
              <w:autoSpaceDN w:val="0"/>
              <w:adjustRightInd w:val="0"/>
              <w:spacing w:line="470" w:lineRule="exact"/>
              <w:ind w:firstLine="480" w:firstLineChars="200"/>
              <w:jc w:val="left"/>
              <w:rPr>
                <w:sz w:val="24"/>
              </w:rPr>
            </w:pPr>
            <w:r>
              <w:rPr>
                <w:sz w:val="24"/>
              </w:rPr>
              <w:fldChar w:fldCharType="begin"/>
            </w:r>
            <w:r>
              <w:rPr>
                <w:sz w:val="24"/>
              </w:rPr>
              <w:instrText xml:space="preserve"> </w:instrText>
            </w:r>
            <w:r>
              <w:rPr>
                <w:rFonts w:hint="eastAsia"/>
                <w:sz w:val="24"/>
              </w:rPr>
              <w:instrText xml:space="preserve">= 2 \* GB3</w:instrText>
            </w:r>
            <w:r>
              <w:rPr>
                <w:sz w:val="24"/>
              </w:rPr>
              <w:instrText xml:space="preserve"> </w:instrText>
            </w:r>
            <w:r>
              <w:rPr>
                <w:sz w:val="24"/>
              </w:rPr>
              <w:fldChar w:fldCharType="separate"/>
            </w:r>
            <w:r>
              <w:rPr>
                <w:rFonts w:hint="eastAsia"/>
                <w:sz w:val="24"/>
              </w:rPr>
              <w:t>②</w:t>
            </w:r>
            <w:r>
              <w:rPr>
                <w:sz w:val="24"/>
              </w:rPr>
              <w:fldChar w:fldCharType="end"/>
            </w:r>
            <w:r>
              <w:rPr>
                <w:rFonts w:hint="eastAsia"/>
                <w:sz w:val="24"/>
              </w:rPr>
              <w:t>污染物</w:t>
            </w:r>
            <w:r>
              <w:rPr>
                <w:sz w:val="24"/>
              </w:rPr>
              <w:t>产排</w:t>
            </w:r>
            <w:r>
              <w:rPr>
                <w:rFonts w:hint="eastAsia"/>
                <w:sz w:val="24"/>
              </w:rPr>
              <w:t>情况</w:t>
            </w:r>
          </w:p>
          <w:p>
            <w:pPr>
              <w:adjustRightInd w:val="0"/>
              <w:snapToGrid w:val="0"/>
              <w:spacing w:line="500" w:lineRule="exact"/>
              <w:ind w:firstLine="480" w:firstLineChars="200"/>
              <w:rPr>
                <w:sz w:val="24"/>
              </w:rPr>
            </w:pPr>
            <w:r>
              <w:rPr>
                <w:rFonts w:hint="eastAsia"/>
                <w:sz w:val="24"/>
              </w:rPr>
              <w:t>经参考《第二次全国污染源普查工业污染源产排污系数手册》“C30</w:t>
            </w:r>
            <w:r>
              <w:rPr>
                <w:sz w:val="24"/>
              </w:rPr>
              <w:t>99</w:t>
            </w:r>
            <w:r>
              <w:rPr>
                <w:rFonts w:hint="eastAsia"/>
                <w:sz w:val="24"/>
              </w:rPr>
              <w:t xml:space="preserve"> 其他非金属</w:t>
            </w:r>
            <w:r>
              <w:rPr>
                <w:sz w:val="24"/>
              </w:rPr>
              <w:t>矿物制品制造行业（</w:t>
            </w:r>
            <w:r>
              <w:rPr>
                <w:rFonts w:hint="eastAsia"/>
                <w:sz w:val="24"/>
              </w:rPr>
              <w:t>续1</w:t>
            </w:r>
            <w:r>
              <w:rPr>
                <w:sz w:val="24"/>
              </w:rPr>
              <w:t>）</w:t>
            </w:r>
            <w:r>
              <w:rPr>
                <w:rFonts w:hint="eastAsia"/>
                <w:sz w:val="24"/>
              </w:rPr>
              <w:t>”中的产污系数核算</w:t>
            </w:r>
            <w:r>
              <w:rPr>
                <w:sz w:val="24"/>
              </w:rPr>
              <w:t>，</w:t>
            </w:r>
            <w:r>
              <w:rPr>
                <w:rFonts w:hint="eastAsia"/>
                <w:sz w:val="24"/>
              </w:rPr>
              <w:t>粉磨</w:t>
            </w:r>
            <w:r>
              <w:rPr>
                <w:sz w:val="24"/>
              </w:rPr>
              <w:t>工艺的颗粒物产污系数为1.19kg/t·原料</w:t>
            </w:r>
            <w:r>
              <w:rPr>
                <w:rFonts w:hint="eastAsia"/>
                <w:sz w:val="24"/>
              </w:rPr>
              <w:t>。结合</w:t>
            </w:r>
            <w:r>
              <w:rPr>
                <w:sz w:val="24"/>
              </w:rPr>
              <w:t>企业提供资料，</w:t>
            </w:r>
            <w:r>
              <w:rPr>
                <w:rFonts w:hint="eastAsia"/>
                <w:sz w:val="24"/>
              </w:rPr>
              <w:t>进入粉</w:t>
            </w:r>
            <w:r>
              <w:rPr>
                <w:sz w:val="24"/>
              </w:rPr>
              <w:t>磨机物料约</w:t>
            </w:r>
            <w:r>
              <w:rPr>
                <w:rFonts w:hint="eastAsia"/>
                <w:sz w:val="24"/>
              </w:rPr>
              <w:t>2</w:t>
            </w:r>
            <w:r>
              <w:rPr>
                <w:sz w:val="24"/>
              </w:rPr>
              <w:t>5</w:t>
            </w:r>
            <w:r>
              <w:rPr>
                <w:rFonts w:hint="eastAsia"/>
                <w:sz w:val="24"/>
              </w:rPr>
              <w:t>000</w:t>
            </w:r>
            <w:r>
              <w:rPr>
                <w:sz w:val="24"/>
              </w:rPr>
              <w:t>t/a，</w:t>
            </w:r>
            <w:r>
              <w:rPr>
                <w:rFonts w:hint="eastAsia"/>
                <w:sz w:val="24"/>
              </w:rPr>
              <w:t>粉磨机设计</w:t>
            </w:r>
            <w:r>
              <w:rPr>
                <w:sz w:val="24"/>
              </w:rPr>
              <w:t>运行</w:t>
            </w:r>
            <w:r>
              <w:rPr>
                <w:rFonts w:hint="eastAsia"/>
                <w:sz w:val="24"/>
              </w:rPr>
              <w:t>时间</w:t>
            </w:r>
            <w:r>
              <w:rPr>
                <w:sz w:val="24"/>
              </w:rPr>
              <w:t>为2000h，</w:t>
            </w:r>
            <w:r>
              <w:rPr>
                <w:rFonts w:hint="eastAsia"/>
                <w:sz w:val="24"/>
              </w:rPr>
              <w:t>则粉磨产尘量</w:t>
            </w:r>
            <w:r>
              <w:rPr>
                <w:sz w:val="24"/>
              </w:rPr>
              <w:t>为14.88kg/h</w:t>
            </w:r>
            <w:r>
              <w:rPr>
                <w:rFonts w:hint="eastAsia"/>
                <w:sz w:val="24"/>
              </w:rPr>
              <w:t>（合计</w:t>
            </w:r>
            <w:r>
              <w:rPr>
                <w:sz w:val="24"/>
              </w:rPr>
              <w:t>29.75t/a</w:t>
            </w:r>
            <w:r>
              <w:rPr>
                <w:rFonts w:hint="eastAsia"/>
                <w:sz w:val="24"/>
              </w:rPr>
              <w:t>）</w:t>
            </w:r>
            <w:r>
              <w:rPr>
                <w:sz w:val="24"/>
              </w:rPr>
              <w:t>。</w:t>
            </w:r>
          </w:p>
          <w:p>
            <w:pPr>
              <w:adjustRightInd w:val="0"/>
              <w:snapToGrid w:val="0"/>
              <w:spacing w:line="500" w:lineRule="exact"/>
              <w:rPr>
                <w:b/>
                <w:sz w:val="24"/>
                <w:u w:val="single"/>
              </w:rPr>
            </w:pPr>
            <w:r>
              <w:rPr>
                <w:rFonts w:hint="eastAsia"/>
                <w:b/>
                <w:sz w:val="24"/>
                <w:u w:val="single"/>
              </w:rPr>
              <w:t>项目产尘</w:t>
            </w:r>
            <w:r>
              <w:rPr>
                <w:b/>
                <w:sz w:val="24"/>
                <w:u w:val="single"/>
              </w:rPr>
              <w:t>点采用密闭集气罩，</w:t>
            </w:r>
            <w:r>
              <w:rPr>
                <w:rFonts w:hint="eastAsia"/>
                <w:b/>
                <w:sz w:val="24"/>
                <w:u w:val="single"/>
              </w:rPr>
              <w:t>本次产</w:t>
            </w:r>
            <w:r>
              <w:rPr>
                <w:b/>
                <w:sz w:val="24"/>
                <w:u w:val="single"/>
              </w:rPr>
              <w:t>尘点</w:t>
            </w:r>
            <w:r>
              <w:rPr>
                <w:rFonts w:hint="eastAsia"/>
                <w:b/>
                <w:sz w:val="24"/>
                <w:u w:val="single"/>
              </w:rPr>
              <w:t>集气</w:t>
            </w:r>
            <w:r>
              <w:rPr>
                <w:b/>
                <w:sz w:val="24"/>
                <w:u w:val="single"/>
              </w:rPr>
              <w:t>效率按</w:t>
            </w:r>
            <w:r>
              <w:rPr>
                <w:rFonts w:hint="eastAsia"/>
                <w:b/>
                <w:sz w:val="24"/>
                <w:u w:val="single"/>
              </w:rPr>
              <w:t>9</w:t>
            </w:r>
            <w:r>
              <w:rPr>
                <w:b/>
                <w:sz w:val="24"/>
                <w:u w:val="single"/>
              </w:rPr>
              <w:t>9%，</w:t>
            </w:r>
            <w:r>
              <w:rPr>
                <w:rFonts w:hint="eastAsia"/>
                <w:b/>
                <w:sz w:val="24"/>
                <w:u w:val="single"/>
              </w:rPr>
              <w:t>无</w:t>
            </w:r>
            <w:r>
              <w:rPr>
                <w:b/>
                <w:sz w:val="24"/>
                <w:u w:val="single"/>
              </w:rPr>
              <w:t>组织散逸粉尘按1%计</w:t>
            </w:r>
            <w:r>
              <w:rPr>
                <w:rFonts w:hint="eastAsia"/>
                <w:b/>
                <w:sz w:val="24"/>
                <w:u w:val="single"/>
              </w:rPr>
              <w:t>，则进入</w:t>
            </w:r>
            <w:r>
              <w:rPr>
                <w:b/>
                <w:sz w:val="24"/>
                <w:u w:val="single"/>
              </w:rPr>
              <w:t>袋式除尘器颗粒物产生量为14.73kg/h</w:t>
            </w:r>
            <w:r>
              <w:rPr>
                <w:rFonts w:hint="eastAsia"/>
                <w:b/>
                <w:sz w:val="24"/>
                <w:u w:val="single"/>
              </w:rPr>
              <w:t>（合计</w:t>
            </w:r>
            <w:r>
              <w:rPr>
                <w:b/>
                <w:sz w:val="24"/>
                <w:u w:val="single"/>
              </w:rPr>
              <w:t>29.45t/a</w:t>
            </w:r>
            <w:r>
              <w:rPr>
                <w:rFonts w:hint="eastAsia"/>
                <w:b/>
                <w:sz w:val="24"/>
                <w:u w:val="single"/>
              </w:rPr>
              <w:t>），无</w:t>
            </w:r>
            <w:r>
              <w:rPr>
                <w:b/>
                <w:sz w:val="24"/>
                <w:u w:val="single"/>
              </w:rPr>
              <w:t>组织散逸颗粒物量为0.15kg/h</w:t>
            </w:r>
            <w:r>
              <w:rPr>
                <w:rFonts w:hint="eastAsia"/>
                <w:b/>
                <w:sz w:val="24"/>
                <w:u w:val="single"/>
              </w:rPr>
              <w:t>（合计</w:t>
            </w:r>
            <w:r>
              <w:rPr>
                <w:b/>
                <w:sz w:val="24"/>
                <w:u w:val="single"/>
              </w:rPr>
              <w:t>0.3t/a</w:t>
            </w:r>
            <w:r>
              <w:rPr>
                <w:rFonts w:hint="eastAsia"/>
                <w:b/>
                <w:sz w:val="24"/>
                <w:u w:val="single"/>
              </w:rPr>
              <w:t>）。</w:t>
            </w:r>
          </w:p>
          <w:p>
            <w:pPr>
              <w:adjustRightInd w:val="0"/>
              <w:snapToGrid w:val="0"/>
              <w:spacing w:line="500" w:lineRule="exact"/>
              <w:ind w:firstLine="480" w:firstLineChars="200"/>
              <w:rPr>
                <w:b/>
                <w:sz w:val="24"/>
                <w:u w:val="single"/>
              </w:rPr>
            </w:pPr>
            <w:r>
              <w:rPr>
                <w:rFonts w:hint="eastAsia"/>
                <w:sz w:val="24"/>
              </w:rPr>
              <w:t>磨机配套的除尘器风量为</w:t>
            </w:r>
            <w:r>
              <w:rPr>
                <w:sz w:val="24"/>
              </w:rPr>
              <w:t>26000m</w:t>
            </w:r>
            <w:r>
              <w:rPr>
                <w:sz w:val="24"/>
                <w:vertAlign w:val="superscript"/>
              </w:rPr>
              <w:t>3</w:t>
            </w:r>
            <w:r>
              <w:rPr>
                <w:sz w:val="24"/>
              </w:rPr>
              <w:t>/h</w:t>
            </w:r>
            <w:r>
              <w:rPr>
                <w:rFonts w:hint="eastAsia"/>
                <w:sz w:val="24"/>
              </w:rPr>
              <w:t>，</w:t>
            </w:r>
            <w:r>
              <w:rPr>
                <w:sz w:val="24"/>
              </w:rPr>
              <w:t>颗粒物产生浓度为567mg/m</w:t>
            </w:r>
            <w:r>
              <w:rPr>
                <w:sz w:val="24"/>
                <w:vertAlign w:val="superscript"/>
              </w:rPr>
              <w:t>3</w:t>
            </w:r>
            <w:r>
              <w:rPr>
                <w:rFonts w:hint="eastAsia"/>
                <w:sz w:val="24"/>
              </w:rPr>
              <w:t>，考虑此</w:t>
            </w:r>
            <w:r>
              <w:rPr>
                <w:sz w:val="24"/>
              </w:rPr>
              <w:t>工段</w:t>
            </w:r>
            <w:r>
              <w:rPr>
                <w:rFonts w:hint="eastAsia"/>
                <w:sz w:val="24"/>
              </w:rPr>
              <w:t>产尘</w:t>
            </w:r>
            <w:r>
              <w:rPr>
                <w:sz w:val="24"/>
              </w:rPr>
              <w:t>浓度</w:t>
            </w:r>
            <w:r>
              <w:rPr>
                <w:rFonts w:hint="eastAsia"/>
                <w:sz w:val="24"/>
              </w:rPr>
              <w:t>不高</w:t>
            </w:r>
            <w:r>
              <w:rPr>
                <w:sz w:val="24"/>
              </w:rPr>
              <w:t>，</w:t>
            </w:r>
            <w:r>
              <w:rPr>
                <w:rFonts w:hint="eastAsia"/>
                <w:sz w:val="24"/>
              </w:rPr>
              <w:t>则</w:t>
            </w:r>
            <w:r>
              <w:rPr>
                <w:sz w:val="24"/>
              </w:rPr>
              <w:t>配备</w:t>
            </w:r>
            <w:r>
              <w:rPr>
                <w:rFonts w:cs="宋体"/>
                <w:sz w:val="24"/>
              </w:rPr>
              <w:t>脉冲袋式除尘器去除效率</w:t>
            </w:r>
            <w:r>
              <w:rPr>
                <w:rFonts w:hint="eastAsia" w:cs="宋体"/>
                <w:sz w:val="24"/>
              </w:rPr>
              <w:t>保守</w:t>
            </w:r>
            <w:r>
              <w:rPr>
                <w:rFonts w:cs="宋体"/>
                <w:sz w:val="24"/>
              </w:rPr>
              <w:t>按99%考虑，</w:t>
            </w:r>
            <w:r>
              <w:rPr>
                <w:rFonts w:hint="eastAsia" w:cs="宋体"/>
                <w:sz w:val="24"/>
              </w:rPr>
              <w:t>则粉磨</w:t>
            </w:r>
            <w:r>
              <w:rPr>
                <w:rFonts w:cs="宋体"/>
                <w:sz w:val="24"/>
              </w:rPr>
              <w:t>机</w:t>
            </w:r>
            <w:r>
              <w:rPr>
                <w:rFonts w:hint="eastAsia" w:cs="宋体"/>
                <w:sz w:val="24"/>
              </w:rPr>
              <w:t>颗粒物</w:t>
            </w:r>
            <w:r>
              <w:rPr>
                <w:rFonts w:cs="宋体"/>
                <w:sz w:val="24"/>
              </w:rPr>
              <w:t>排放量为0.15kg/h</w:t>
            </w:r>
            <w:r>
              <w:rPr>
                <w:rFonts w:hint="eastAsia" w:cs="宋体"/>
                <w:sz w:val="24"/>
              </w:rPr>
              <w:t>（合计0.</w:t>
            </w:r>
            <w:r>
              <w:rPr>
                <w:rFonts w:cs="宋体"/>
                <w:sz w:val="24"/>
              </w:rPr>
              <w:t>29t/a</w:t>
            </w:r>
            <w:r>
              <w:rPr>
                <w:rFonts w:hint="eastAsia" w:cs="宋体"/>
                <w:sz w:val="24"/>
              </w:rPr>
              <w:t>）</w:t>
            </w:r>
            <w:r>
              <w:rPr>
                <w:rFonts w:cs="宋体"/>
                <w:sz w:val="24"/>
              </w:rPr>
              <w:t>，排放</w:t>
            </w:r>
            <w:r>
              <w:rPr>
                <w:sz w:val="24"/>
              </w:rPr>
              <w:t>浓度为5.7mg/m</w:t>
            </w:r>
            <w:r>
              <w:rPr>
                <w:sz w:val="24"/>
                <w:vertAlign w:val="superscript"/>
              </w:rPr>
              <w:t>3</w:t>
            </w:r>
            <w:r>
              <w:rPr>
                <w:rFonts w:hint="eastAsia"/>
                <w:sz w:val="24"/>
              </w:rPr>
              <w:t>，</w:t>
            </w:r>
            <w:r>
              <w:rPr>
                <w:sz w:val="24"/>
              </w:rPr>
              <w:t>废气通过一根</w:t>
            </w:r>
            <w:r>
              <w:rPr>
                <w:rFonts w:hint="eastAsia"/>
                <w:sz w:val="24"/>
              </w:rPr>
              <w:t>15</w:t>
            </w:r>
            <w:r>
              <w:rPr>
                <w:sz w:val="24"/>
              </w:rPr>
              <w:t>m高排气筒排放，</w:t>
            </w:r>
            <w:r>
              <w:rPr>
                <w:spacing w:val="-6"/>
                <w:sz w:val="24"/>
              </w:rPr>
              <w:t>能够满足</w:t>
            </w:r>
            <w:r>
              <w:rPr>
                <w:sz w:val="24"/>
              </w:rPr>
              <w:t>《大气污染物综合排放标准》（GB16297-1996）表2二级（颗粒物排放浓度120 mg/m</w:t>
            </w:r>
            <w:r>
              <w:rPr>
                <w:sz w:val="24"/>
                <w:vertAlign w:val="superscript"/>
              </w:rPr>
              <w:t>3</w:t>
            </w:r>
            <w:r>
              <w:rPr>
                <w:sz w:val="24"/>
              </w:rPr>
              <w:t>，15m高排气筒排放速率3.5kg/h）</w:t>
            </w:r>
            <w:r>
              <w:rPr>
                <w:rFonts w:hint="eastAsia"/>
                <w:sz w:val="24"/>
              </w:rPr>
              <w:t>以及《河南省重</w:t>
            </w:r>
            <w:r>
              <w:rPr>
                <w:sz w:val="24"/>
              </w:rPr>
              <w:t>污染天气通用行业应急减排措施制定技术指南</w:t>
            </w:r>
            <w:r>
              <w:rPr>
                <w:rFonts w:hint="eastAsia"/>
                <w:sz w:val="24"/>
              </w:rPr>
              <w:t>（2021年修订稿）》附录2其他</w:t>
            </w:r>
            <w:r>
              <w:rPr>
                <w:sz w:val="24"/>
              </w:rPr>
              <w:t>工序PM排放</w:t>
            </w:r>
            <w:r>
              <w:rPr>
                <w:rFonts w:hint="eastAsia"/>
                <w:sz w:val="24"/>
              </w:rPr>
              <w:t>浓度</w:t>
            </w:r>
            <w:r>
              <w:rPr>
                <w:sz w:val="24"/>
              </w:rPr>
              <w:t>不高于</w:t>
            </w:r>
            <w:r>
              <w:rPr>
                <w:rFonts w:hint="eastAsia"/>
                <w:sz w:val="24"/>
              </w:rPr>
              <w:t>10</w:t>
            </w:r>
            <w:r>
              <w:rPr>
                <w:sz w:val="24"/>
              </w:rPr>
              <w:t>mg/m</w:t>
            </w:r>
            <w:r>
              <w:rPr>
                <w:rFonts w:cs="宋体"/>
                <w:bCs/>
                <w:kern w:val="0"/>
                <w:sz w:val="24"/>
                <w:vertAlign w:val="superscript"/>
              </w:rPr>
              <w:t>3</w:t>
            </w:r>
            <w:r>
              <w:rPr>
                <w:rFonts w:cs="宋体"/>
                <w:bCs/>
                <w:kern w:val="0"/>
                <w:sz w:val="24"/>
              </w:rPr>
              <w:t>要求</w:t>
            </w:r>
            <w:r>
              <w:rPr>
                <w:sz w:val="24"/>
              </w:rPr>
              <w:t>。</w:t>
            </w:r>
          </w:p>
          <w:p>
            <w:pPr>
              <w:pStyle w:val="10"/>
              <w:numPr>
                <w:ilvl w:val="0"/>
                <w:numId w:val="2"/>
              </w:numPr>
              <w:spacing w:before="0" w:after="0" w:line="500" w:lineRule="exact"/>
              <w:ind w:firstLine="480"/>
              <w:rPr>
                <w:sz w:val="24"/>
                <w:szCs w:val="24"/>
              </w:rPr>
            </w:pPr>
            <w:r>
              <w:rPr>
                <w:rFonts w:hint="eastAsia"/>
                <w:sz w:val="24"/>
                <w:szCs w:val="24"/>
              </w:rPr>
              <w:t>提升机废气</w:t>
            </w:r>
          </w:p>
          <w:p>
            <w:pPr>
              <w:autoSpaceDE w:val="0"/>
              <w:autoSpaceDN w:val="0"/>
              <w:adjustRightInd w:val="0"/>
              <w:spacing w:line="470" w:lineRule="exact"/>
              <w:ind w:firstLine="480" w:firstLineChars="200"/>
              <w:jc w:val="left"/>
              <w:rPr>
                <w:sz w:val="24"/>
                <w:lang w:val="zh-CN"/>
              </w:rPr>
            </w:pPr>
            <w:r>
              <w:rPr>
                <w:sz w:val="24"/>
                <w:lang w:val="zh-CN"/>
              </w:rPr>
              <w:fldChar w:fldCharType="begin"/>
            </w:r>
            <w:r>
              <w:rPr>
                <w:sz w:val="24"/>
                <w:lang w:val="zh-CN"/>
              </w:rPr>
              <w:instrText xml:space="preserve"> </w:instrText>
            </w:r>
            <w:r>
              <w:rPr>
                <w:rFonts w:hint="eastAsia"/>
                <w:sz w:val="24"/>
                <w:lang w:val="zh-CN"/>
              </w:rPr>
              <w:instrText xml:space="preserve">= 1 \* GB3</w:instrText>
            </w:r>
            <w:r>
              <w:rPr>
                <w:sz w:val="24"/>
                <w:lang w:val="zh-CN"/>
              </w:rPr>
              <w:instrText xml:space="preserve"> </w:instrText>
            </w:r>
            <w:r>
              <w:rPr>
                <w:sz w:val="24"/>
                <w:lang w:val="zh-CN"/>
              </w:rPr>
              <w:fldChar w:fldCharType="separate"/>
            </w:r>
            <w:r>
              <w:rPr>
                <w:rFonts w:hint="eastAsia"/>
                <w:sz w:val="24"/>
                <w:lang w:val="zh-CN"/>
              </w:rPr>
              <w:t>①</w:t>
            </w:r>
            <w:r>
              <w:rPr>
                <w:sz w:val="24"/>
                <w:lang w:val="zh-CN"/>
              </w:rPr>
              <w:fldChar w:fldCharType="end"/>
            </w:r>
            <w:r>
              <w:rPr>
                <w:rFonts w:hint="eastAsia"/>
                <w:sz w:val="24"/>
                <w:lang w:val="zh-CN"/>
              </w:rPr>
              <w:t>废气</w:t>
            </w:r>
            <w:r>
              <w:rPr>
                <w:sz w:val="24"/>
                <w:lang w:val="zh-CN"/>
              </w:rPr>
              <w:t>产生量</w:t>
            </w:r>
          </w:p>
          <w:p>
            <w:pPr>
              <w:pStyle w:val="10"/>
              <w:spacing w:before="0" w:after="0" w:line="500" w:lineRule="exact"/>
              <w:ind w:firstLine="482"/>
              <w:rPr>
                <w:sz w:val="24"/>
                <w:szCs w:val="24"/>
              </w:rPr>
            </w:pPr>
            <w:r>
              <w:rPr>
                <w:rFonts w:hint="eastAsia"/>
                <w:sz w:val="24"/>
                <w:szCs w:val="24"/>
              </w:rPr>
              <w:t>本</w:t>
            </w:r>
            <w:r>
              <w:rPr>
                <w:sz w:val="24"/>
                <w:szCs w:val="24"/>
              </w:rPr>
              <w:t>项目</w:t>
            </w:r>
            <w:r>
              <w:rPr>
                <w:rFonts w:hint="eastAsia"/>
                <w:sz w:val="24"/>
                <w:szCs w:val="24"/>
              </w:rPr>
              <w:t>原料</w:t>
            </w:r>
            <w:r>
              <w:rPr>
                <w:sz w:val="24"/>
                <w:szCs w:val="24"/>
              </w:rPr>
              <w:t>仓</w:t>
            </w:r>
            <w:r>
              <w:rPr>
                <w:rFonts w:hint="eastAsia"/>
                <w:sz w:val="24"/>
                <w:szCs w:val="24"/>
              </w:rPr>
              <w:t>的物料经气体</w:t>
            </w:r>
            <w:r>
              <w:rPr>
                <w:sz w:val="24"/>
                <w:szCs w:val="24"/>
              </w:rPr>
              <w:t>输送管道</w:t>
            </w:r>
            <w:r>
              <w:rPr>
                <w:rFonts w:hint="eastAsia"/>
                <w:sz w:val="24"/>
                <w:szCs w:val="24"/>
              </w:rPr>
              <w:t>进入</w:t>
            </w:r>
            <w:r>
              <w:rPr>
                <w:sz w:val="24"/>
                <w:szCs w:val="24"/>
              </w:rPr>
              <w:t>提升机，分选</w:t>
            </w:r>
            <w:r>
              <w:rPr>
                <w:rFonts w:hint="eastAsia"/>
                <w:sz w:val="24"/>
                <w:szCs w:val="24"/>
              </w:rPr>
              <w:t>后的成品物料</w:t>
            </w:r>
            <w:r>
              <w:rPr>
                <w:sz w:val="24"/>
                <w:szCs w:val="24"/>
              </w:rPr>
              <w:t>通过提升机</w:t>
            </w:r>
            <w:r>
              <w:rPr>
                <w:rFonts w:hint="eastAsia"/>
                <w:sz w:val="24"/>
                <w:szCs w:val="24"/>
              </w:rPr>
              <w:t>落料</w:t>
            </w:r>
            <w:r>
              <w:rPr>
                <w:sz w:val="24"/>
                <w:szCs w:val="24"/>
              </w:rPr>
              <w:t>至产品仓内，运行时</w:t>
            </w:r>
            <w:r>
              <w:rPr>
                <w:rFonts w:hint="eastAsia"/>
                <w:sz w:val="24"/>
                <w:szCs w:val="24"/>
              </w:rPr>
              <w:t>，气体输送</w:t>
            </w:r>
            <w:r>
              <w:rPr>
                <w:sz w:val="24"/>
                <w:szCs w:val="24"/>
              </w:rPr>
              <w:t>管道至提升机</w:t>
            </w:r>
            <w:r>
              <w:rPr>
                <w:rFonts w:hint="eastAsia"/>
                <w:sz w:val="24"/>
                <w:szCs w:val="24"/>
              </w:rPr>
              <w:t>落料口、提升机至</w:t>
            </w:r>
            <w:r>
              <w:rPr>
                <w:sz w:val="24"/>
                <w:szCs w:val="24"/>
              </w:rPr>
              <w:t>分选机</w:t>
            </w:r>
            <w:r>
              <w:rPr>
                <w:rFonts w:hint="eastAsia"/>
                <w:sz w:val="24"/>
                <w:szCs w:val="24"/>
              </w:rPr>
              <w:t>落料口以及分选后</w:t>
            </w:r>
            <w:r>
              <w:rPr>
                <w:sz w:val="24"/>
                <w:szCs w:val="24"/>
              </w:rPr>
              <w:t>提升机</w:t>
            </w:r>
            <w:r>
              <w:rPr>
                <w:rFonts w:hint="eastAsia"/>
                <w:sz w:val="24"/>
                <w:szCs w:val="24"/>
              </w:rPr>
              <w:t>进料</w:t>
            </w:r>
            <w:r>
              <w:rPr>
                <w:sz w:val="24"/>
                <w:szCs w:val="24"/>
              </w:rPr>
              <w:t>、落料</w:t>
            </w:r>
            <w:r>
              <w:rPr>
                <w:rFonts w:hint="eastAsia"/>
                <w:sz w:val="24"/>
                <w:szCs w:val="24"/>
              </w:rPr>
              <w:t>处将散逸部分颗粒物。</w:t>
            </w:r>
          </w:p>
          <w:p>
            <w:pPr>
              <w:pStyle w:val="10"/>
              <w:spacing w:before="0" w:after="0" w:line="500" w:lineRule="exact"/>
              <w:ind w:firstLine="482"/>
              <w:rPr>
                <w:rFonts w:cs="宋体"/>
                <w:b/>
                <w:sz w:val="24"/>
                <w:szCs w:val="24"/>
                <w:u w:val="single"/>
              </w:rPr>
            </w:pPr>
            <w:r>
              <w:rPr>
                <w:rFonts w:hint="eastAsia"/>
                <w:b/>
                <w:sz w:val="24"/>
                <w:szCs w:val="24"/>
                <w:u w:val="single"/>
              </w:rPr>
              <w:t>物料从原料仓至</w:t>
            </w:r>
            <w:r>
              <w:rPr>
                <w:b/>
                <w:sz w:val="24"/>
                <w:szCs w:val="24"/>
                <w:u w:val="single"/>
              </w:rPr>
              <w:t>提升机采用</w:t>
            </w:r>
            <w:r>
              <w:rPr>
                <w:rFonts w:hint="eastAsia"/>
                <w:b/>
                <w:sz w:val="24"/>
                <w:szCs w:val="24"/>
                <w:u w:val="single"/>
              </w:rPr>
              <w:t>气体输送斜槽输送，</w:t>
            </w:r>
            <w:r>
              <w:rPr>
                <w:b/>
                <w:sz w:val="24"/>
                <w:szCs w:val="24"/>
                <w:u w:val="single"/>
              </w:rPr>
              <w:t>输送</w:t>
            </w:r>
            <w:r>
              <w:rPr>
                <w:rFonts w:hint="eastAsia"/>
                <w:b/>
                <w:sz w:val="24"/>
                <w:szCs w:val="24"/>
                <w:u w:val="single"/>
              </w:rPr>
              <w:t>气量</w:t>
            </w:r>
            <w:r>
              <w:rPr>
                <w:rFonts w:cs="宋体"/>
                <w:b/>
                <w:sz w:val="24"/>
                <w:szCs w:val="24"/>
                <w:u w:val="single"/>
              </w:rPr>
              <w:t>为</w:t>
            </w:r>
            <w:r>
              <w:rPr>
                <w:rFonts w:hint="eastAsia" w:cs="宋体"/>
                <w:b/>
                <w:sz w:val="24"/>
                <w:szCs w:val="24"/>
                <w:u w:val="single"/>
              </w:rPr>
              <w:t>3600</w:t>
            </w:r>
            <w:r>
              <w:rPr>
                <w:rFonts w:cs="宋体"/>
                <w:b/>
                <w:sz w:val="24"/>
                <w:szCs w:val="24"/>
                <w:u w:val="single"/>
              </w:rPr>
              <w:t>m</w:t>
            </w:r>
            <w:r>
              <w:rPr>
                <w:rFonts w:cs="宋体"/>
                <w:b/>
                <w:sz w:val="24"/>
                <w:szCs w:val="24"/>
                <w:u w:val="single"/>
                <w:vertAlign w:val="superscript"/>
              </w:rPr>
              <w:t>3</w:t>
            </w:r>
            <w:r>
              <w:rPr>
                <w:rFonts w:cs="宋体"/>
                <w:b/>
                <w:sz w:val="24"/>
                <w:szCs w:val="24"/>
                <w:u w:val="single"/>
              </w:rPr>
              <w:t>/h，</w:t>
            </w:r>
            <w:r>
              <w:rPr>
                <w:rFonts w:hint="eastAsia" w:cs="宋体"/>
                <w:b/>
                <w:sz w:val="24"/>
                <w:szCs w:val="24"/>
                <w:u w:val="single"/>
              </w:rPr>
              <w:t>其中约60</w:t>
            </w:r>
            <w:r>
              <w:rPr>
                <w:rFonts w:cs="宋体"/>
                <w:b/>
                <w:sz w:val="24"/>
                <w:szCs w:val="24"/>
                <w:u w:val="single"/>
              </w:rPr>
              <w:t>%气量和物料混合，其余</w:t>
            </w:r>
            <w:r>
              <w:rPr>
                <w:rFonts w:hint="eastAsia" w:cs="宋体"/>
                <w:b/>
                <w:sz w:val="24"/>
                <w:szCs w:val="24"/>
                <w:u w:val="single"/>
              </w:rPr>
              <w:t>40</w:t>
            </w:r>
            <w:r>
              <w:rPr>
                <w:rFonts w:cs="宋体"/>
                <w:b/>
                <w:sz w:val="24"/>
                <w:szCs w:val="24"/>
                <w:u w:val="single"/>
              </w:rPr>
              <w:t>%</w:t>
            </w:r>
            <w:r>
              <w:rPr>
                <w:rFonts w:hint="eastAsia" w:cs="宋体"/>
                <w:b/>
                <w:sz w:val="24"/>
                <w:szCs w:val="24"/>
                <w:u w:val="single"/>
              </w:rPr>
              <w:t>的气量约1440</w:t>
            </w:r>
            <w:r>
              <w:rPr>
                <w:rFonts w:cs="宋体"/>
                <w:b/>
                <w:sz w:val="24"/>
                <w:szCs w:val="24"/>
                <w:u w:val="single"/>
              </w:rPr>
              <w:t xml:space="preserve"> m</w:t>
            </w:r>
            <w:r>
              <w:rPr>
                <w:rFonts w:cs="宋体"/>
                <w:b/>
                <w:sz w:val="24"/>
                <w:szCs w:val="24"/>
                <w:u w:val="single"/>
                <w:vertAlign w:val="superscript"/>
              </w:rPr>
              <w:t>3</w:t>
            </w:r>
            <w:r>
              <w:rPr>
                <w:rFonts w:cs="宋体"/>
                <w:b/>
                <w:sz w:val="24"/>
                <w:szCs w:val="24"/>
                <w:u w:val="single"/>
              </w:rPr>
              <w:t>/h</w:t>
            </w:r>
            <w:r>
              <w:rPr>
                <w:rFonts w:hint="eastAsia" w:cs="宋体"/>
                <w:b/>
                <w:sz w:val="24"/>
                <w:szCs w:val="24"/>
                <w:u w:val="single"/>
              </w:rPr>
              <w:t>通过收尘</w:t>
            </w:r>
            <w:r>
              <w:rPr>
                <w:rFonts w:cs="宋体"/>
                <w:b/>
                <w:sz w:val="24"/>
                <w:szCs w:val="24"/>
                <w:u w:val="single"/>
              </w:rPr>
              <w:t>管</w:t>
            </w:r>
            <w:r>
              <w:rPr>
                <w:rFonts w:hint="eastAsia" w:cs="宋体"/>
                <w:b/>
                <w:sz w:val="24"/>
                <w:szCs w:val="24"/>
                <w:u w:val="single"/>
              </w:rPr>
              <w:t>引入</w:t>
            </w:r>
            <w:r>
              <w:rPr>
                <w:rFonts w:cs="宋体"/>
                <w:b/>
                <w:sz w:val="24"/>
                <w:szCs w:val="24"/>
                <w:u w:val="single"/>
              </w:rPr>
              <w:t>袋式除尘器。</w:t>
            </w:r>
          </w:p>
          <w:p>
            <w:pPr>
              <w:pStyle w:val="10"/>
              <w:spacing w:before="0" w:after="0" w:line="500" w:lineRule="exact"/>
              <w:ind w:firstLine="482"/>
              <w:rPr>
                <w:b/>
                <w:sz w:val="24"/>
                <w:szCs w:val="24"/>
                <w:u w:val="single"/>
              </w:rPr>
            </w:pPr>
            <w:r>
              <w:rPr>
                <w:rFonts w:hint="eastAsia"/>
                <w:b/>
                <w:sz w:val="24"/>
                <w:szCs w:val="24"/>
                <w:u w:val="single"/>
              </w:rPr>
              <w:t>两座提升机共4个集气点，考虑管道阻力损失0</w:t>
            </w:r>
            <w:r>
              <w:rPr>
                <w:b/>
                <w:sz w:val="24"/>
                <w:szCs w:val="24"/>
                <w:u w:val="single"/>
              </w:rPr>
              <w:t>.3</w:t>
            </w:r>
            <w:r>
              <w:rPr>
                <w:rFonts w:hint="eastAsia"/>
                <w:b/>
                <w:sz w:val="24"/>
                <w:szCs w:val="24"/>
                <w:u w:val="single"/>
              </w:rPr>
              <w:t>左右</w:t>
            </w:r>
            <w:r>
              <w:rPr>
                <w:b/>
                <w:sz w:val="24"/>
                <w:szCs w:val="24"/>
                <w:u w:val="single"/>
              </w:rPr>
              <w:t>的漏风</w:t>
            </w:r>
            <w:r>
              <w:rPr>
                <w:rFonts w:hint="eastAsia"/>
                <w:b/>
                <w:sz w:val="24"/>
                <w:szCs w:val="24"/>
                <w:u w:val="single"/>
              </w:rPr>
              <w:t>系数</w:t>
            </w:r>
            <w:r>
              <w:rPr>
                <w:b/>
                <w:sz w:val="24"/>
                <w:szCs w:val="24"/>
                <w:u w:val="single"/>
              </w:rPr>
              <w:t>，</w:t>
            </w:r>
            <w:r>
              <w:rPr>
                <w:rFonts w:hint="eastAsia"/>
                <w:b/>
                <w:sz w:val="24"/>
                <w:szCs w:val="24"/>
                <w:u w:val="single"/>
              </w:rPr>
              <w:t>设计配置一台</w:t>
            </w:r>
            <w:r>
              <w:rPr>
                <w:b/>
                <w:sz w:val="24"/>
                <w:szCs w:val="24"/>
                <w:u w:val="single"/>
              </w:rPr>
              <w:t>3500m</w:t>
            </w:r>
            <w:r>
              <w:rPr>
                <w:b/>
                <w:sz w:val="24"/>
                <w:szCs w:val="24"/>
                <w:u w:val="single"/>
                <w:vertAlign w:val="superscript"/>
              </w:rPr>
              <w:t>3</w:t>
            </w:r>
            <w:r>
              <w:rPr>
                <w:b/>
                <w:sz w:val="24"/>
                <w:szCs w:val="24"/>
                <w:u w:val="single"/>
              </w:rPr>
              <w:t>/h</w:t>
            </w:r>
            <w:r>
              <w:rPr>
                <w:rFonts w:hint="eastAsia"/>
                <w:b/>
                <w:sz w:val="24"/>
                <w:szCs w:val="24"/>
                <w:u w:val="single"/>
              </w:rPr>
              <w:t>的风机。</w:t>
            </w:r>
          </w:p>
          <w:p>
            <w:pPr>
              <w:pStyle w:val="10"/>
              <w:spacing w:before="0" w:after="0" w:line="500" w:lineRule="exact"/>
              <w:ind w:firstLine="482"/>
              <w:rPr>
                <w:sz w:val="24"/>
                <w:szCs w:val="24"/>
              </w:rPr>
            </w:pPr>
            <w:r>
              <w:rPr>
                <w:sz w:val="24"/>
              </w:rPr>
              <w:fldChar w:fldCharType="begin"/>
            </w:r>
            <w:r>
              <w:rPr>
                <w:sz w:val="24"/>
              </w:rPr>
              <w:instrText xml:space="preserve"> </w:instrText>
            </w:r>
            <w:r>
              <w:rPr>
                <w:rFonts w:hint="eastAsia"/>
                <w:sz w:val="24"/>
              </w:rPr>
              <w:instrText xml:space="preserve">= 2 \* GB3</w:instrText>
            </w:r>
            <w:r>
              <w:rPr>
                <w:sz w:val="24"/>
              </w:rPr>
              <w:instrText xml:space="preserve"> </w:instrText>
            </w:r>
            <w:r>
              <w:rPr>
                <w:sz w:val="24"/>
              </w:rPr>
              <w:fldChar w:fldCharType="separate"/>
            </w:r>
            <w:r>
              <w:rPr>
                <w:rFonts w:hint="eastAsia"/>
                <w:sz w:val="24"/>
              </w:rPr>
              <w:t>②</w:t>
            </w:r>
            <w:r>
              <w:rPr>
                <w:sz w:val="24"/>
              </w:rPr>
              <w:fldChar w:fldCharType="end"/>
            </w:r>
            <w:r>
              <w:rPr>
                <w:rFonts w:hint="eastAsia"/>
                <w:sz w:val="24"/>
              </w:rPr>
              <w:t>污染物</w:t>
            </w:r>
            <w:r>
              <w:rPr>
                <w:sz w:val="24"/>
              </w:rPr>
              <w:t>产排</w:t>
            </w:r>
            <w:r>
              <w:rPr>
                <w:rFonts w:hint="eastAsia"/>
                <w:sz w:val="24"/>
              </w:rPr>
              <w:t>情况</w:t>
            </w:r>
          </w:p>
          <w:p>
            <w:pPr>
              <w:pStyle w:val="10"/>
              <w:tabs>
                <w:tab w:val="left" w:pos="1476"/>
              </w:tabs>
              <w:spacing w:before="0" w:after="0" w:line="500" w:lineRule="exact"/>
              <w:ind w:firstLine="482"/>
              <w:rPr>
                <w:b/>
                <w:bCs/>
                <w:sz w:val="24"/>
                <w:szCs w:val="24"/>
                <w:u w:val="single"/>
              </w:rPr>
            </w:pPr>
            <w:r>
              <w:rPr>
                <w:rFonts w:hint="eastAsia"/>
                <w:sz w:val="24"/>
                <w:szCs w:val="24"/>
              </w:rPr>
              <w:t>经</w:t>
            </w:r>
            <w:r>
              <w:rPr>
                <w:bCs/>
                <w:sz w:val="24"/>
                <w:szCs w:val="24"/>
              </w:rPr>
              <w:t>参考《逸散性工业粉尘控制技术》表21-1</w:t>
            </w:r>
            <w:r>
              <w:rPr>
                <w:rFonts w:hint="eastAsia"/>
                <w:bCs/>
                <w:sz w:val="24"/>
                <w:szCs w:val="24"/>
              </w:rPr>
              <w:t>粒料提升机</w:t>
            </w:r>
            <w:r>
              <w:rPr>
                <w:bCs/>
                <w:sz w:val="24"/>
                <w:szCs w:val="24"/>
              </w:rPr>
              <w:t>逸散尘排放因子为0.25kg/t，</w:t>
            </w:r>
            <w:r>
              <w:rPr>
                <w:rFonts w:hint="eastAsia"/>
                <w:bCs/>
                <w:sz w:val="24"/>
                <w:szCs w:val="24"/>
              </w:rPr>
              <w:t>本项目两座提升机提升粉料量为</w:t>
            </w:r>
            <w:r>
              <w:rPr>
                <w:bCs/>
                <w:sz w:val="24"/>
                <w:szCs w:val="24"/>
              </w:rPr>
              <w:t>6</w:t>
            </w:r>
            <w:r>
              <w:rPr>
                <w:rFonts w:hint="eastAsia"/>
                <w:bCs/>
                <w:sz w:val="24"/>
                <w:szCs w:val="24"/>
              </w:rPr>
              <w:t>万</w:t>
            </w:r>
            <w:r>
              <w:rPr>
                <w:bCs/>
                <w:sz w:val="24"/>
                <w:szCs w:val="24"/>
              </w:rPr>
              <w:t>t/a</w:t>
            </w:r>
            <w:r>
              <w:rPr>
                <w:rFonts w:hint="eastAsia"/>
                <w:bCs/>
                <w:sz w:val="24"/>
                <w:szCs w:val="24"/>
              </w:rPr>
              <w:t>，散逸颗粒物</w:t>
            </w:r>
            <w:r>
              <w:rPr>
                <w:bCs/>
                <w:sz w:val="24"/>
                <w:szCs w:val="24"/>
              </w:rPr>
              <w:t>量为7.5kg/h</w:t>
            </w:r>
            <w:r>
              <w:rPr>
                <w:rFonts w:hint="eastAsia"/>
                <w:bCs/>
                <w:sz w:val="24"/>
                <w:szCs w:val="24"/>
              </w:rPr>
              <w:t>（合计</w:t>
            </w:r>
            <w:r>
              <w:rPr>
                <w:bCs/>
                <w:sz w:val="24"/>
                <w:szCs w:val="24"/>
              </w:rPr>
              <w:t>15t/a</w:t>
            </w:r>
            <w:r>
              <w:rPr>
                <w:rFonts w:hint="eastAsia"/>
                <w:bCs/>
                <w:sz w:val="24"/>
                <w:szCs w:val="24"/>
              </w:rPr>
              <w:t>）</w:t>
            </w:r>
            <w:r>
              <w:rPr>
                <w:bCs/>
                <w:sz w:val="24"/>
                <w:szCs w:val="24"/>
              </w:rPr>
              <w:t>，</w:t>
            </w:r>
            <w:r>
              <w:rPr>
                <w:rFonts w:hint="eastAsia"/>
                <w:b/>
                <w:sz w:val="24"/>
                <w:szCs w:val="24"/>
                <w:u w:val="single"/>
              </w:rPr>
              <w:t>设计</w:t>
            </w:r>
            <w:r>
              <w:rPr>
                <w:b/>
                <w:sz w:val="24"/>
                <w:szCs w:val="24"/>
                <w:u w:val="single"/>
              </w:rPr>
              <w:t>将2</w:t>
            </w:r>
            <w:r>
              <w:rPr>
                <w:rFonts w:hint="eastAsia"/>
                <w:b/>
                <w:sz w:val="24"/>
                <w:szCs w:val="24"/>
                <w:u w:val="single"/>
              </w:rPr>
              <w:t>座提升</w:t>
            </w:r>
            <w:r>
              <w:rPr>
                <w:b/>
                <w:sz w:val="24"/>
                <w:szCs w:val="24"/>
                <w:u w:val="single"/>
              </w:rPr>
              <w:t>机</w:t>
            </w:r>
            <w:r>
              <w:rPr>
                <w:rFonts w:hint="eastAsia"/>
                <w:b/>
                <w:sz w:val="24"/>
                <w:szCs w:val="24"/>
                <w:u w:val="single"/>
              </w:rPr>
              <w:t>上</w:t>
            </w:r>
            <w:r>
              <w:rPr>
                <w:b/>
                <w:sz w:val="24"/>
                <w:szCs w:val="24"/>
                <w:u w:val="single"/>
              </w:rPr>
              <w:t>料口、落料</w:t>
            </w:r>
            <w:r>
              <w:rPr>
                <w:rFonts w:hint="eastAsia"/>
                <w:b/>
                <w:sz w:val="24"/>
                <w:szCs w:val="24"/>
                <w:u w:val="single"/>
              </w:rPr>
              <w:t>口共4个</w:t>
            </w:r>
            <w:r>
              <w:rPr>
                <w:b/>
                <w:sz w:val="24"/>
                <w:szCs w:val="24"/>
                <w:u w:val="single"/>
              </w:rPr>
              <w:t>产尘点</w:t>
            </w:r>
            <w:r>
              <w:rPr>
                <w:rFonts w:hint="eastAsia"/>
                <w:b/>
                <w:sz w:val="24"/>
                <w:szCs w:val="24"/>
                <w:u w:val="single"/>
              </w:rPr>
              <w:t>设置密闭集气罩，集气</w:t>
            </w:r>
            <w:r>
              <w:rPr>
                <w:b/>
                <w:sz w:val="24"/>
                <w:szCs w:val="24"/>
                <w:u w:val="single"/>
              </w:rPr>
              <w:t>效率按</w:t>
            </w:r>
            <w:r>
              <w:rPr>
                <w:rFonts w:hint="eastAsia"/>
                <w:b/>
                <w:sz w:val="24"/>
                <w:szCs w:val="24"/>
                <w:u w:val="single"/>
              </w:rPr>
              <w:t>9</w:t>
            </w:r>
            <w:r>
              <w:rPr>
                <w:b/>
                <w:sz w:val="24"/>
                <w:szCs w:val="24"/>
                <w:u w:val="single"/>
              </w:rPr>
              <w:t>9%，</w:t>
            </w:r>
            <w:r>
              <w:rPr>
                <w:rFonts w:hint="eastAsia"/>
                <w:b/>
                <w:sz w:val="24"/>
                <w:szCs w:val="24"/>
                <w:u w:val="single"/>
              </w:rPr>
              <w:t>无</w:t>
            </w:r>
            <w:r>
              <w:rPr>
                <w:b/>
                <w:sz w:val="24"/>
                <w:szCs w:val="24"/>
                <w:u w:val="single"/>
              </w:rPr>
              <w:t>组织散逸粉尘按1%计</w:t>
            </w:r>
            <w:r>
              <w:rPr>
                <w:rFonts w:hint="eastAsia"/>
                <w:b/>
                <w:sz w:val="24"/>
                <w:szCs w:val="24"/>
                <w:u w:val="single"/>
              </w:rPr>
              <w:t>，</w:t>
            </w:r>
            <w:r>
              <w:rPr>
                <w:b/>
                <w:sz w:val="24"/>
                <w:szCs w:val="24"/>
                <w:u w:val="single"/>
              </w:rPr>
              <w:t>则提升机废气</w:t>
            </w:r>
            <w:r>
              <w:rPr>
                <w:rFonts w:hint="eastAsia"/>
                <w:b/>
                <w:sz w:val="24"/>
                <w:szCs w:val="24"/>
                <w:u w:val="single"/>
              </w:rPr>
              <w:t>颗粒物</w:t>
            </w:r>
            <w:r>
              <w:rPr>
                <w:b/>
                <w:sz w:val="24"/>
                <w:szCs w:val="24"/>
                <w:u w:val="single"/>
              </w:rPr>
              <w:t>产生量为</w:t>
            </w:r>
            <w:r>
              <w:rPr>
                <w:b/>
                <w:bCs/>
                <w:sz w:val="24"/>
                <w:szCs w:val="24"/>
                <w:u w:val="single"/>
              </w:rPr>
              <w:t>7.43kg/h</w:t>
            </w:r>
            <w:r>
              <w:rPr>
                <w:rFonts w:hint="eastAsia"/>
                <w:b/>
                <w:bCs/>
                <w:sz w:val="24"/>
                <w:szCs w:val="24"/>
                <w:u w:val="single"/>
              </w:rPr>
              <w:t>（合计</w:t>
            </w:r>
            <w:r>
              <w:rPr>
                <w:b/>
                <w:bCs/>
                <w:sz w:val="24"/>
                <w:szCs w:val="24"/>
                <w:u w:val="single"/>
              </w:rPr>
              <w:t>14.85t/a</w:t>
            </w:r>
            <w:r>
              <w:rPr>
                <w:rFonts w:hint="eastAsia"/>
                <w:b/>
                <w:bCs/>
                <w:sz w:val="24"/>
                <w:szCs w:val="24"/>
                <w:u w:val="single"/>
              </w:rPr>
              <w:t>），</w:t>
            </w:r>
            <w:r>
              <w:rPr>
                <w:b/>
                <w:bCs/>
                <w:sz w:val="24"/>
                <w:szCs w:val="24"/>
                <w:u w:val="single"/>
              </w:rPr>
              <w:t>无组织散逸量为0.07kg/h</w:t>
            </w:r>
            <w:r>
              <w:rPr>
                <w:rFonts w:hint="eastAsia"/>
                <w:b/>
                <w:bCs/>
                <w:sz w:val="24"/>
                <w:szCs w:val="24"/>
                <w:u w:val="single"/>
              </w:rPr>
              <w:t>（合计</w:t>
            </w:r>
            <w:r>
              <w:rPr>
                <w:b/>
                <w:bCs/>
                <w:sz w:val="24"/>
                <w:szCs w:val="24"/>
                <w:u w:val="single"/>
              </w:rPr>
              <w:t>0.15t/a</w:t>
            </w:r>
            <w:r>
              <w:rPr>
                <w:rFonts w:hint="eastAsia"/>
                <w:b/>
                <w:bCs/>
                <w:sz w:val="24"/>
                <w:szCs w:val="24"/>
                <w:u w:val="single"/>
              </w:rPr>
              <w:t>）。工程设计</w:t>
            </w:r>
            <w:r>
              <w:rPr>
                <w:b/>
                <w:bCs/>
                <w:sz w:val="24"/>
                <w:szCs w:val="24"/>
                <w:u w:val="single"/>
              </w:rPr>
              <w:t>在</w:t>
            </w:r>
            <w:r>
              <w:rPr>
                <w:rFonts w:hint="eastAsia"/>
                <w:b/>
                <w:bCs/>
                <w:sz w:val="24"/>
                <w:szCs w:val="24"/>
                <w:u w:val="single"/>
              </w:rPr>
              <w:t>4个产尘</w:t>
            </w:r>
            <w:r>
              <w:rPr>
                <w:b/>
                <w:bCs/>
                <w:sz w:val="24"/>
                <w:szCs w:val="24"/>
                <w:u w:val="single"/>
              </w:rPr>
              <w:t>点</w:t>
            </w:r>
            <w:r>
              <w:rPr>
                <w:rFonts w:hint="eastAsia"/>
                <w:b/>
                <w:bCs/>
                <w:sz w:val="24"/>
                <w:szCs w:val="24"/>
                <w:u w:val="single"/>
              </w:rPr>
              <w:t>各</w:t>
            </w:r>
            <w:r>
              <w:rPr>
                <w:b/>
                <w:bCs/>
                <w:sz w:val="24"/>
                <w:szCs w:val="24"/>
                <w:u w:val="single"/>
              </w:rPr>
              <w:t>采用</w:t>
            </w:r>
            <w:r>
              <w:rPr>
                <w:rFonts w:hint="eastAsia"/>
                <w:b/>
                <w:bCs/>
                <w:sz w:val="24"/>
                <w:szCs w:val="24"/>
                <w:u w:val="single"/>
              </w:rPr>
              <w:t>收尘</w:t>
            </w:r>
            <w:r>
              <w:rPr>
                <w:b/>
                <w:bCs/>
                <w:sz w:val="24"/>
                <w:szCs w:val="24"/>
                <w:u w:val="single"/>
              </w:rPr>
              <w:t>管</w:t>
            </w:r>
            <w:r>
              <w:rPr>
                <w:rFonts w:hint="eastAsia"/>
                <w:b/>
                <w:bCs/>
                <w:sz w:val="24"/>
                <w:szCs w:val="24"/>
                <w:u w:val="single"/>
              </w:rPr>
              <w:t>引入</w:t>
            </w:r>
            <w:r>
              <w:rPr>
                <w:b/>
                <w:bCs/>
                <w:sz w:val="24"/>
                <w:szCs w:val="24"/>
                <w:u w:val="single"/>
              </w:rPr>
              <w:t>一套脉冲袋式除尘器处理</w:t>
            </w:r>
            <w:r>
              <w:rPr>
                <w:rFonts w:hint="eastAsia"/>
                <w:b/>
                <w:bCs/>
                <w:sz w:val="24"/>
                <w:szCs w:val="24"/>
                <w:u w:val="single"/>
              </w:rPr>
              <w:t>后</w:t>
            </w:r>
            <w:r>
              <w:rPr>
                <w:b/>
                <w:bCs/>
                <w:sz w:val="24"/>
                <w:szCs w:val="24"/>
                <w:u w:val="single"/>
              </w:rPr>
              <w:t>由一根</w:t>
            </w:r>
            <w:r>
              <w:rPr>
                <w:rFonts w:hint="eastAsia"/>
                <w:b/>
                <w:bCs/>
                <w:sz w:val="24"/>
                <w:szCs w:val="24"/>
                <w:u w:val="single"/>
              </w:rPr>
              <w:t>15</w:t>
            </w:r>
            <w:r>
              <w:rPr>
                <w:b/>
                <w:bCs/>
                <w:sz w:val="24"/>
                <w:szCs w:val="24"/>
                <w:u w:val="single"/>
              </w:rPr>
              <w:t>m高排气筒排放。</w:t>
            </w:r>
          </w:p>
          <w:p>
            <w:pPr>
              <w:pStyle w:val="10"/>
              <w:spacing w:before="0" w:after="0" w:line="500" w:lineRule="exact"/>
              <w:ind w:firstLine="482"/>
              <w:rPr>
                <w:sz w:val="24"/>
                <w:szCs w:val="24"/>
              </w:rPr>
            </w:pPr>
            <w:r>
              <w:rPr>
                <w:rFonts w:hint="eastAsia"/>
                <w:sz w:val="24"/>
                <w:szCs w:val="24"/>
              </w:rPr>
              <w:t>据此</w:t>
            </w:r>
            <w:r>
              <w:rPr>
                <w:sz w:val="24"/>
                <w:szCs w:val="24"/>
              </w:rPr>
              <w:t>计算颗粒物产生浓度为2123mg/m</w:t>
            </w:r>
            <w:r>
              <w:rPr>
                <w:sz w:val="24"/>
                <w:szCs w:val="24"/>
                <w:vertAlign w:val="superscript"/>
              </w:rPr>
              <w:t>3</w:t>
            </w:r>
            <w:r>
              <w:rPr>
                <w:rFonts w:hint="eastAsia"/>
                <w:sz w:val="24"/>
                <w:szCs w:val="24"/>
              </w:rPr>
              <w:t>，</w:t>
            </w:r>
            <w:r>
              <w:rPr>
                <w:rFonts w:cs="宋体"/>
                <w:sz w:val="24"/>
                <w:szCs w:val="24"/>
              </w:rPr>
              <w:t>袋式除尘器去除效率按99.7%考虑，</w:t>
            </w:r>
            <w:r>
              <w:rPr>
                <w:rFonts w:hint="eastAsia" w:cs="宋体"/>
                <w:sz w:val="24"/>
                <w:szCs w:val="24"/>
              </w:rPr>
              <w:t>则提升机废气颗粒物</w:t>
            </w:r>
            <w:r>
              <w:rPr>
                <w:rFonts w:cs="宋体"/>
                <w:sz w:val="24"/>
                <w:szCs w:val="24"/>
              </w:rPr>
              <w:t>排放量为0.022kg/h</w:t>
            </w:r>
            <w:r>
              <w:rPr>
                <w:rFonts w:hint="eastAsia" w:cs="宋体"/>
                <w:sz w:val="24"/>
                <w:szCs w:val="24"/>
              </w:rPr>
              <w:t>（合计</w:t>
            </w:r>
            <w:r>
              <w:rPr>
                <w:rFonts w:cs="宋体"/>
                <w:sz w:val="24"/>
                <w:szCs w:val="24"/>
              </w:rPr>
              <w:t>0.045t/a</w:t>
            </w:r>
            <w:r>
              <w:rPr>
                <w:rFonts w:hint="eastAsia" w:cs="宋体"/>
                <w:sz w:val="24"/>
                <w:szCs w:val="24"/>
              </w:rPr>
              <w:t>）</w:t>
            </w:r>
            <w:r>
              <w:rPr>
                <w:rFonts w:cs="宋体"/>
                <w:sz w:val="24"/>
                <w:szCs w:val="24"/>
              </w:rPr>
              <w:t>，排放</w:t>
            </w:r>
            <w:r>
              <w:rPr>
                <w:sz w:val="24"/>
                <w:szCs w:val="24"/>
              </w:rPr>
              <w:t>浓度为6.37mg/m</w:t>
            </w:r>
            <w:r>
              <w:rPr>
                <w:sz w:val="24"/>
                <w:szCs w:val="24"/>
                <w:vertAlign w:val="superscript"/>
              </w:rPr>
              <w:t>3</w:t>
            </w:r>
            <w:r>
              <w:rPr>
                <w:rFonts w:hint="eastAsia"/>
                <w:sz w:val="24"/>
                <w:szCs w:val="24"/>
              </w:rPr>
              <w:t>，</w:t>
            </w:r>
            <w:r>
              <w:rPr>
                <w:spacing w:val="-6"/>
                <w:sz w:val="24"/>
                <w:szCs w:val="24"/>
              </w:rPr>
              <w:t>能够满足</w:t>
            </w:r>
            <w:r>
              <w:rPr>
                <w:sz w:val="24"/>
                <w:szCs w:val="24"/>
              </w:rPr>
              <w:t>《大气污染物综合排放标准》（GB16297-1996）表2二级（颗粒物排放浓度120 mg/m</w:t>
            </w:r>
            <w:r>
              <w:rPr>
                <w:sz w:val="24"/>
                <w:szCs w:val="24"/>
                <w:vertAlign w:val="superscript"/>
              </w:rPr>
              <w:t>3</w:t>
            </w:r>
            <w:r>
              <w:rPr>
                <w:sz w:val="24"/>
                <w:szCs w:val="24"/>
              </w:rPr>
              <w:t>，15m高排气筒排放速率3.5kg/h）</w:t>
            </w:r>
            <w:r>
              <w:rPr>
                <w:rFonts w:hint="eastAsia"/>
                <w:sz w:val="24"/>
                <w:szCs w:val="24"/>
              </w:rPr>
              <w:t>以及《河南省重</w:t>
            </w:r>
            <w:r>
              <w:rPr>
                <w:sz w:val="24"/>
                <w:szCs w:val="24"/>
              </w:rPr>
              <w:t>污染天气通用行业应急减排措施制定技术指南</w:t>
            </w:r>
            <w:r>
              <w:rPr>
                <w:rFonts w:hint="eastAsia"/>
                <w:sz w:val="24"/>
                <w:szCs w:val="24"/>
              </w:rPr>
              <w:t>（2021年修订稿）》附录2其他</w:t>
            </w:r>
            <w:r>
              <w:rPr>
                <w:sz w:val="24"/>
                <w:szCs w:val="24"/>
              </w:rPr>
              <w:t>工序PM排放</w:t>
            </w:r>
            <w:r>
              <w:rPr>
                <w:rFonts w:hint="eastAsia"/>
                <w:sz w:val="24"/>
                <w:szCs w:val="24"/>
              </w:rPr>
              <w:t>浓度</w:t>
            </w:r>
            <w:r>
              <w:rPr>
                <w:sz w:val="24"/>
                <w:szCs w:val="24"/>
              </w:rPr>
              <w:t>不高于</w:t>
            </w:r>
            <w:r>
              <w:rPr>
                <w:rFonts w:hint="eastAsia"/>
                <w:sz w:val="24"/>
                <w:szCs w:val="24"/>
              </w:rPr>
              <w:t>10</w:t>
            </w:r>
            <w:r>
              <w:rPr>
                <w:sz w:val="24"/>
                <w:szCs w:val="24"/>
              </w:rPr>
              <w:t>mg/m</w:t>
            </w:r>
            <w:r>
              <w:rPr>
                <w:rFonts w:cs="宋体"/>
                <w:bCs/>
                <w:sz w:val="24"/>
                <w:szCs w:val="24"/>
                <w:vertAlign w:val="superscript"/>
              </w:rPr>
              <w:t>3</w:t>
            </w:r>
            <w:r>
              <w:rPr>
                <w:rFonts w:cs="宋体"/>
                <w:bCs/>
                <w:sz w:val="24"/>
                <w:szCs w:val="24"/>
              </w:rPr>
              <w:t>要求</w:t>
            </w:r>
            <w:r>
              <w:rPr>
                <w:sz w:val="24"/>
                <w:szCs w:val="24"/>
              </w:rPr>
              <w:t>。</w:t>
            </w:r>
          </w:p>
          <w:p>
            <w:pPr>
              <w:pStyle w:val="10"/>
              <w:numPr>
                <w:ilvl w:val="0"/>
                <w:numId w:val="2"/>
              </w:numPr>
              <w:spacing w:before="0" w:after="0" w:line="500" w:lineRule="exact"/>
              <w:ind w:firstLine="360"/>
              <w:rPr>
                <w:sz w:val="24"/>
                <w:szCs w:val="24"/>
              </w:rPr>
            </w:pPr>
            <w:r>
              <w:rPr>
                <w:rFonts w:hint="eastAsia"/>
                <w:sz w:val="24"/>
                <w:szCs w:val="24"/>
              </w:rPr>
              <w:t>成品</w:t>
            </w:r>
            <w:r>
              <w:rPr>
                <w:sz w:val="24"/>
                <w:szCs w:val="24"/>
              </w:rPr>
              <w:t>仓</w:t>
            </w:r>
            <w:r>
              <w:rPr>
                <w:rFonts w:hint="eastAsia"/>
                <w:sz w:val="24"/>
                <w:szCs w:val="24"/>
              </w:rPr>
              <w:t>废气</w:t>
            </w:r>
          </w:p>
          <w:p>
            <w:pPr>
              <w:pStyle w:val="10"/>
              <w:spacing w:before="0" w:after="0" w:line="500" w:lineRule="exact"/>
              <w:ind w:firstLine="482"/>
              <w:rPr>
                <w:sz w:val="24"/>
                <w:szCs w:val="24"/>
              </w:rPr>
            </w:pPr>
            <w:r>
              <w:rPr>
                <w:sz w:val="24"/>
                <w:szCs w:val="24"/>
              </w:rPr>
              <w:t>本项目配置成品仓罐1个，</w:t>
            </w:r>
            <w:r>
              <w:rPr>
                <w:rFonts w:hint="eastAsia"/>
                <w:sz w:val="24"/>
                <w:szCs w:val="24"/>
              </w:rPr>
              <w:t>容积5</w:t>
            </w:r>
            <w:r>
              <w:rPr>
                <w:sz w:val="24"/>
                <w:szCs w:val="24"/>
              </w:rPr>
              <w:t>00m</w:t>
            </w:r>
            <w:r>
              <w:rPr>
                <w:sz w:val="24"/>
                <w:szCs w:val="24"/>
                <w:vertAlign w:val="superscript"/>
              </w:rPr>
              <w:t>3</w:t>
            </w:r>
            <w:r>
              <w:rPr>
                <w:rFonts w:hint="eastAsia"/>
                <w:sz w:val="24"/>
                <w:szCs w:val="24"/>
              </w:rPr>
              <w:t>，</w:t>
            </w:r>
            <w:r>
              <w:rPr>
                <w:sz w:val="24"/>
                <w:szCs w:val="24"/>
              </w:rPr>
              <w:t>最大储存能力为400t，</w:t>
            </w:r>
            <w:r>
              <w:rPr>
                <w:rFonts w:hint="eastAsia"/>
                <w:sz w:val="24"/>
                <w:szCs w:val="24"/>
              </w:rPr>
              <w:t>分选的成品</w:t>
            </w:r>
            <w:r>
              <w:rPr>
                <w:sz w:val="24"/>
                <w:szCs w:val="24"/>
              </w:rPr>
              <w:t>灰料</w:t>
            </w:r>
            <w:r>
              <w:rPr>
                <w:rFonts w:hint="eastAsia"/>
                <w:sz w:val="24"/>
                <w:szCs w:val="24"/>
              </w:rPr>
              <w:t>由提升机提至成品筒仓内，因而进出料过程造成仓内上部空间气</w:t>
            </w:r>
            <w:r>
              <w:rPr>
                <w:sz w:val="24"/>
                <w:szCs w:val="24"/>
              </w:rPr>
              <w:t>流扰动，仓顶产生平衡扩散风（呼吸风），排出的废气中含有少量颗粒物，参考《逸散性工业粉尘控制技术》表22-1中“卸粉料至高架贮仓”排污系数为0.12kg/t粉料，本项目产品量为30000t/a，计算可知颗粒物产生量为3.6t/a，产生速率为1.8kg/h，为了控制成品仓颗粒物逸散，仓顶安装一台脉冲袋式除尘器，</w:t>
            </w:r>
            <w:r>
              <w:rPr>
                <w:rFonts w:hint="eastAsia"/>
                <w:sz w:val="24"/>
                <w:szCs w:val="24"/>
              </w:rPr>
              <w:t>在综合</w:t>
            </w:r>
            <w:r>
              <w:rPr>
                <w:sz w:val="24"/>
                <w:szCs w:val="24"/>
              </w:rPr>
              <w:t>考虑</w:t>
            </w:r>
            <w:r>
              <w:rPr>
                <w:rFonts w:hint="eastAsia"/>
                <w:sz w:val="24"/>
                <w:szCs w:val="24"/>
              </w:rPr>
              <w:t>物料携带气体</w:t>
            </w:r>
            <w:r>
              <w:rPr>
                <w:sz w:val="24"/>
                <w:szCs w:val="24"/>
              </w:rPr>
              <w:t>、</w:t>
            </w:r>
            <w:r>
              <w:rPr>
                <w:rFonts w:hint="eastAsia"/>
                <w:sz w:val="24"/>
                <w:szCs w:val="24"/>
              </w:rPr>
              <w:t>成品仓</w:t>
            </w:r>
            <w:r>
              <w:rPr>
                <w:sz w:val="24"/>
                <w:szCs w:val="24"/>
              </w:rPr>
              <w:t>落料呼吸废气</w:t>
            </w:r>
            <w:r>
              <w:rPr>
                <w:rFonts w:hint="eastAsia"/>
                <w:sz w:val="24"/>
                <w:szCs w:val="24"/>
              </w:rPr>
              <w:t>等</w:t>
            </w:r>
            <w:r>
              <w:rPr>
                <w:sz w:val="24"/>
                <w:szCs w:val="24"/>
              </w:rPr>
              <w:t>因素下，设计风机风量为1200m</w:t>
            </w:r>
            <w:r>
              <w:rPr>
                <w:sz w:val="24"/>
                <w:szCs w:val="24"/>
                <w:vertAlign w:val="superscript"/>
              </w:rPr>
              <w:t>3</w:t>
            </w:r>
            <w:r>
              <w:rPr>
                <w:sz w:val="24"/>
                <w:szCs w:val="24"/>
              </w:rPr>
              <w:t>/h，</w:t>
            </w:r>
            <w:r>
              <w:rPr>
                <w:rFonts w:hint="eastAsia"/>
                <w:sz w:val="24"/>
                <w:szCs w:val="24"/>
              </w:rPr>
              <w:t>则颗粒物</w:t>
            </w:r>
            <w:r>
              <w:rPr>
                <w:sz w:val="24"/>
                <w:szCs w:val="24"/>
              </w:rPr>
              <w:t>产生浓度为1500mg/m</w:t>
            </w:r>
            <w:r>
              <w:rPr>
                <w:sz w:val="24"/>
                <w:szCs w:val="24"/>
                <w:vertAlign w:val="superscript"/>
              </w:rPr>
              <w:t>3</w:t>
            </w:r>
            <w:r>
              <w:rPr>
                <w:rFonts w:eastAsiaTheme="minorEastAsia"/>
                <w:sz w:val="24"/>
                <w:szCs w:val="24"/>
              </w:rPr>
              <w:t>，袋式除尘器</w:t>
            </w:r>
            <w:r>
              <w:rPr>
                <w:sz w:val="24"/>
                <w:szCs w:val="24"/>
              </w:rPr>
              <w:t>处理效率按99.7%计，则成品仓颗粒物排放速率为0.0054kg/h，排放量0.011t/a，排放浓度为4.5mg/m</w:t>
            </w:r>
            <w:r>
              <w:rPr>
                <w:sz w:val="24"/>
                <w:szCs w:val="24"/>
                <w:vertAlign w:val="superscript"/>
              </w:rPr>
              <w:t>3</w:t>
            </w:r>
            <w:r>
              <w:rPr>
                <w:rFonts w:eastAsiaTheme="minorEastAsia"/>
                <w:sz w:val="24"/>
                <w:szCs w:val="24"/>
              </w:rPr>
              <w:t>，</w:t>
            </w:r>
            <w:r>
              <w:rPr>
                <w:sz w:val="24"/>
                <w:szCs w:val="24"/>
              </w:rPr>
              <w:t>废气通过</w:t>
            </w:r>
            <w:r>
              <w:rPr>
                <w:rFonts w:hint="eastAsia"/>
                <w:sz w:val="24"/>
                <w:szCs w:val="24"/>
              </w:rPr>
              <w:t>仓顶</w:t>
            </w:r>
            <w:r>
              <w:rPr>
                <w:sz w:val="24"/>
                <w:szCs w:val="24"/>
              </w:rPr>
              <w:t>排气筒排放</w:t>
            </w:r>
            <w:r>
              <w:rPr>
                <w:rFonts w:hint="eastAsia"/>
                <w:sz w:val="24"/>
                <w:szCs w:val="24"/>
              </w:rPr>
              <w:t>，排气口高</w:t>
            </w:r>
            <w:r>
              <w:rPr>
                <w:sz w:val="24"/>
                <w:szCs w:val="24"/>
              </w:rPr>
              <w:t>21m。</w:t>
            </w:r>
            <w:r>
              <w:rPr>
                <w:spacing w:val="-6"/>
                <w:sz w:val="24"/>
                <w:szCs w:val="24"/>
              </w:rPr>
              <w:t>能够满足</w:t>
            </w:r>
            <w:r>
              <w:rPr>
                <w:sz w:val="24"/>
                <w:szCs w:val="24"/>
              </w:rPr>
              <w:t>《大气污染物综合排放标准》（GB16297-1996）表2二级（颗粒物排放浓度120 mg/m</w:t>
            </w:r>
            <w:r>
              <w:rPr>
                <w:sz w:val="24"/>
                <w:szCs w:val="24"/>
                <w:vertAlign w:val="superscript"/>
              </w:rPr>
              <w:t>3</w:t>
            </w:r>
            <w:r>
              <w:rPr>
                <w:sz w:val="24"/>
                <w:szCs w:val="24"/>
              </w:rPr>
              <w:t>，</w:t>
            </w:r>
            <w:r>
              <w:rPr>
                <w:rFonts w:hint="eastAsia"/>
                <w:sz w:val="24"/>
                <w:szCs w:val="24"/>
              </w:rPr>
              <w:t>内插法</w:t>
            </w:r>
            <w:r>
              <w:rPr>
                <w:sz w:val="24"/>
                <w:szCs w:val="24"/>
              </w:rPr>
              <w:t>计算得出21m高排气筒排放速率7.61kg/h）</w:t>
            </w:r>
            <w:r>
              <w:rPr>
                <w:rFonts w:hint="eastAsia"/>
                <w:sz w:val="24"/>
                <w:szCs w:val="24"/>
              </w:rPr>
              <w:t>以及《河南省重</w:t>
            </w:r>
            <w:r>
              <w:rPr>
                <w:sz w:val="24"/>
                <w:szCs w:val="24"/>
              </w:rPr>
              <w:t>污染天气通用行业应急减排措施制定技术指南</w:t>
            </w:r>
            <w:r>
              <w:rPr>
                <w:rFonts w:hint="eastAsia"/>
                <w:sz w:val="24"/>
                <w:szCs w:val="24"/>
              </w:rPr>
              <w:t>（2021年修订稿）》附录2其他</w:t>
            </w:r>
            <w:r>
              <w:rPr>
                <w:sz w:val="24"/>
                <w:szCs w:val="24"/>
              </w:rPr>
              <w:t>工序PM排放</w:t>
            </w:r>
            <w:r>
              <w:rPr>
                <w:rFonts w:hint="eastAsia"/>
                <w:sz w:val="24"/>
                <w:szCs w:val="24"/>
              </w:rPr>
              <w:t>浓度</w:t>
            </w:r>
            <w:r>
              <w:rPr>
                <w:sz w:val="24"/>
                <w:szCs w:val="24"/>
              </w:rPr>
              <w:t>不高于</w:t>
            </w:r>
            <w:r>
              <w:rPr>
                <w:rFonts w:hint="eastAsia"/>
                <w:sz w:val="24"/>
                <w:szCs w:val="24"/>
              </w:rPr>
              <w:t>10</w:t>
            </w:r>
            <w:r>
              <w:rPr>
                <w:sz w:val="24"/>
                <w:szCs w:val="24"/>
              </w:rPr>
              <w:t>mg/m</w:t>
            </w:r>
            <w:r>
              <w:rPr>
                <w:rFonts w:cs="宋体"/>
                <w:bCs/>
                <w:sz w:val="24"/>
                <w:szCs w:val="24"/>
                <w:vertAlign w:val="superscript"/>
              </w:rPr>
              <w:t>3</w:t>
            </w:r>
            <w:r>
              <w:rPr>
                <w:rFonts w:cs="宋体"/>
                <w:bCs/>
                <w:sz w:val="24"/>
                <w:szCs w:val="24"/>
              </w:rPr>
              <w:t>要求</w:t>
            </w:r>
            <w:r>
              <w:rPr>
                <w:sz w:val="24"/>
                <w:szCs w:val="24"/>
              </w:rPr>
              <w:t>。</w:t>
            </w:r>
          </w:p>
          <w:p>
            <w:pPr>
              <w:pStyle w:val="10"/>
              <w:spacing w:before="0" w:after="0" w:line="500" w:lineRule="exact"/>
              <w:rPr>
                <w:sz w:val="24"/>
                <w:szCs w:val="24"/>
              </w:rPr>
            </w:pPr>
            <w:r>
              <w:rPr>
                <w:rFonts w:hint="eastAsia"/>
                <w:sz w:val="24"/>
                <w:szCs w:val="24"/>
              </w:rPr>
              <w:t xml:space="preserve">   （5）散装机废气</w:t>
            </w:r>
          </w:p>
          <w:p>
            <w:pPr>
              <w:pStyle w:val="10"/>
              <w:spacing w:before="0" w:after="0" w:line="500" w:lineRule="exact"/>
              <w:ind w:firstLine="482"/>
              <w:rPr>
                <w:sz w:val="24"/>
                <w:szCs w:val="24"/>
              </w:rPr>
            </w:pPr>
            <w:r>
              <w:rPr>
                <w:rFonts w:hint="eastAsia"/>
                <w:sz w:val="24"/>
                <w:szCs w:val="24"/>
              </w:rPr>
              <w:t>项目</w:t>
            </w:r>
            <w:r>
              <w:rPr>
                <w:sz w:val="24"/>
                <w:szCs w:val="24"/>
              </w:rPr>
              <w:t>产品仓</w:t>
            </w:r>
            <w:r>
              <w:rPr>
                <w:rFonts w:hint="eastAsia"/>
                <w:sz w:val="24"/>
                <w:szCs w:val="24"/>
              </w:rPr>
              <w:t>下方设置1台散装机，料仓放空口处安装自动衔接输料口，同时产品运输车辆出料口也相应配套自动衔接口，待每次放料结束后先关闭料仓放料口阀门，然后出料车辆才能行驶。在散装</w:t>
            </w:r>
            <w:r>
              <w:rPr>
                <w:sz w:val="24"/>
                <w:szCs w:val="24"/>
              </w:rPr>
              <w:t>下料</w:t>
            </w:r>
            <w:r>
              <w:rPr>
                <w:rFonts w:hint="eastAsia"/>
                <w:sz w:val="24"/>
                <w:szCs w:val="24"/>
              </w:rPr>
              <w:t>过程中将产生一定的散装颗粒物，散装机</w:t>
            </w:r>
            <w:r>
              <w:rPr>
                <w:sz w:val="24"/>
                <w:szCs w:val="24"/>
              </w:rPr>
              <w:t>设计</w:t>
            </w:r>
            <w:r>
              <w:rPr>
                <w:rFonts w:hint="eastAsia"/>
                <w:sz w:val="24"/>
                <w:szCs w:val="24"/>
              </w:rPr>
              <w:t>生产</w:t>
            </w:r>
            <w:r>
              <w:rPr>
                <w:sz w:val="24"/>
                <w:szCs w:val="24"/>
              </w:rPr>
              <w:t>能力为</w:t>
            </w:r>
            <w:r>
              <w:rPr>
                <w:rFonts w:hint="eastAsia"/>
                <w:sz w:val="24"/>
                <w:szCs w:val="24"/>
              </w:rPr>
              <w:t>100</w:t>
            </w:r>
            <w:r>
              <w:rPr>
                <w:sz w:val="24"/>
                <w:szCs w:val="24"/>
              </w:rPr>
              <w:t>t/h</w:t>
            </w:r>
            <w:r>
              <w:rPr>
                <w:rFonts w:hint="eastAsia"/>
                <w:sz w:val="24"/>
                <w:szCs w:val="24"/>
              </w:rPr>
              <w:t>，运行</w:t>
            </w:r>
            <w:r>
              <w:rPr>
                <w:sz w:val="24"/>
                <w:szCs w:val="24"/>
              </w:rPr>
              <w:t>时间约合</w:t>
            </w:r>
            <w:r>
              <w:rPr>
                <w:rFonts w:hint="eastAsia"/>
                <w:sz w:val="24"/>
                <w:szCs w:val="24"/>
              </w:rPr>
              <w:t>300</w:t>
            </w:r>
            <w:r>
              <w:rPr>
                <w:sz w:val="24"/>
                <w:szCs w:val="24"/>
              </w:rPr>
              <w:t>h/a</w:t>
            </w:r>
            <w:r>
              <w:rPr>
                <w:rFonts w:hint="eastAsia"/>
                <w:sz w:val="24"/>
                <w:szCs w:val="24"/>
              </w:rPr>
              <w:t>。经参</w:t>
            </w:r>
            <w:r>
              <w:rPr>
                <w:rFonts w:hint="eastAsia" w:hAnsi="宋体"/>
                <w:sz w:val="24"/>
                <w:szCs w:val="24"/>
              </w:rPr>
              <w:t>考《逸散性工业粉尘控制技术》一书，散装装料产污系数按</w:t>
            </w:r>
            <w:r>
              <w:rPr>
                <w:bCs/>
                <w:iCs/>
                <w:sz w:val="24"/>
                <w:szCs w:val="24"/>
              </w:rPr>
              <w:t>0.02kg/t</w:t>
            </w:r>
            <w:r>
              <w:rPr>
                <w:rFonts w:hint="eastAsia" w:hAnsi="宋体"/>
                <w:sz w:val="24"/>
                <w:szCs w:val="24"/>
              </w:rPr>
              <w:t>物料，</w:t>
            </w:r>
            <w:r>
              <w:rPr>
                <w:sz w:val="24"/>
                <w:szCs w:val="24"/>
              </w:rPr>
              <w:t>本项目产品量为30000t/a，计算可知颗粒物产生量为0.6t/a，散装机为封闭设置，</w:t>
            </w:r>
            <w:r>
              <w:rPr>
                <w:rFonts w:hint="eastAsia"/>
                <w:sz w:val="24"/>
                <w:szCs w:val="24"/>
              </w:rPr>
              <w:t>下料口</w:t>
            </w:r>
            <w:r>
              <w:rPr>
                <w:sz w:val="24"/>
                <w:szCs w:val="24"/>
              </w:rPr>
              <w:t>设置集气罩</w:t>
            </w:r>
            <w:r>
              <w:rPr>
                <w:rFonts w:hint="eastAsia"/>
                <w:sz w:val="24"/>
                <w:szCs w:val="24"/>
              </w:rPr>
              <w:t>并</w:t>
            </w:r>
            <w:r>
              <w:rPr>
                <w:sz w:val="24"/>
                <w:szCs w:val="24"/>
              </w:rPr>
              <w:t>配套安装一台脉冲袋式除尘器，</w:t>
            </w:r>
            <w:r>
              <w:rPr>
                <w:rFonts w:hint="eastAsia"/>
                <w:sz w:val="24"/>
                <w:szCs w:val="24"/>
              </w:rPr>
              <w:t>散装机下料</w:t>
            </w:r>
            <w:r>
              <w:rPr>
                <w:sz w:val="24"/>
                <w:szCs w:val="24"/>
              </w:rPr>
              <w:t>口</w:t>
            </w:r>
            <w:r>
              <w:rPr>
                <w:rFonts w:hint="eastAsia"/>
                <w:sz w:val="24"/>
                <w:szCs w:val="24"/>
              </w:rPr>
              <w:t>集气</w:t>
            </w:r>
            <w:r>
              <w:rPr>
                <w:sz w:val="24"/>
                <w:szCs w:val="24"/>
              </w:rPr>
              <w:t>效率按</w:t>
            </w:r>
            <w:r>
              <w:rPr>
                <w:rFonts w:hint="eastAsia"/>
                <w:sz w:val="24"/>
                <w:szCs w:val="24"/>
              </w:rPr>
              <w:t>9</w:t>
            </w:r>
            <w:r>
              <w:rPr>
                <w:sz w:val="24"/>
                <w:szCs w:val="24"/>
              </w:rPr>
              <w:t>5%，无组</w:t>
            </w:r>
            <w:r>
              <w:rPr>
                <w:rFonts w:hint="eastAsia"/>
                <w:sz w:val="24"/>
                <w:szCs w:val="24"/>
              </w:rPr>
              <w:t>织散逸</w:t>
            </w:r>
            <w:r>
              <w:rPr>
                <w:sz w:val="24"/>
                <w:szCs w:val="24"/>
              </w:rPr>
              <w:t>按5%</w:t>
            </w:r>
            <w:r>
              <w:rPr>
                <w:rFonts w:hint="eastAsia"/>
                <w:sz w:val="24"/>
                <w:szCs w:val="24"/>
              </w:rPr>
              <w:t>计</w:t>
            </w:r>
            <w:r>
              <w:rPr>
                <w:sz w:val="24"/>
                <w:szCs w:val="24"/>
              </w:rPr>
              <w:t>，</w:t>
            </w:r>
            <w:r>
              <w:rPr>
                <w:rFonts w:hint="eastAsia"/>
                <w:sz w:val="24"/>
                <w:szCs w:val="24"/>
              </w:rPr>
              <w:t>则</w:t>
            </w:r>
            <w:r>
              <w:rPr>
                <w:sz w:val="24"/>
                <w:szCs w:val="24"/>
              </w:rPr>
              <w:t>进入袋式除尘器产尘</w:t>
            </w:r>
            <w:r>
              <w:rPr>
                <w:rFonts w:hint="eastAsia"/>
                <w:sz w:val="24"/>
                <w:szCs w:val="24"/>
              </w:rPr>
              <w:t>量</w:t>
            </w:r>
            <w:r>
              <w:rPr>
                <w:sz w:val="24"/>
                <w:szCs w:val="24"/>
              </w:rPr>
              <w:t>为</w:t>
            </w:r>
            <w:r>
              <w:rPr>
                <w:rFonts w:hint="eastAsia"/>
                <w:sz w:val="24"/>
                <w:szCs w:val="24"/>
              </w:rPr>
              <w:t>0.</w:t>
            </w:r>
            <w:r>
              <w:rPr>
                <w:sz w:val="24"/>
                <w:szCs w:val="24"/>
              </w:rPr>
              <w:t>57t/a，产生速率为1.9kg/h</w:t>
            </w:r>
            <w:r>
              <w:rPr>
                <w:rFonts w:hint="eastAsia"/>
                <w:sz w:val="24"/>
                <w:szCs w:val="24"/>
              </w:rPr>
              <w:t>；</w:t>
            </w:r>
            <w:r>
              <w:rPr>
                <w:sz w:val="24"/>
                <w:szCs w:val="24"/>
              </w:rPr>
              <w:t>无组织散逸量为</w:t>
            </w:r>
            <w:r>
              <w:rPr>
                <w:rFonts w:hint="eastAsia"/>
                <w:sz w:val="24"/>
                <w:szCs w:val="24"/>
              </w:rPr>
              <w:t>0.0</w:t>
            </w:r>
            <w:r>
              <w:rPr>
                <w:sz w:val="24"/>
                <w:szCs w:val="24"/>
              </w:rPr>
              <w:t>3t/</w:t>
            </w:r>
            <w:r>
              <w:rPr>
                <w:rFonts w:hint="eastAsia"/>
                <w:sz w:val="24"/>
                <w:szCs w:val="24"/>
              </w:rPr>
              <w:t>a。</w:t>
            </w:r>
          </w:p>
          <w:p>
            <w:pPr>
              <w:pStyle w:val="10"/>
              <w:spacing w:before="0" w:after="0" w:line="500" w:lineRule="exact"/>
              <w:ind w:firstLine="482"/>
              <w:rPr>
                <w:sz w:val="24"/>
                <w:szCs w:val="24"/>
              </w:rPr>
            </w:pPr>
            <w:r>
              <w:rPr>
                <w:bCs/>
                <w:sz w:val="24"/>
                <w:szCs w:val="24"/>
              </w:rPr>
              <w:t>设计</w:t>
            </w:r>
            <w:r>
              <w:rPr>
                <w:rFonts w:hint="eastAsia"/>
                <w:bCs/>
                <w:sz w:val="24"/>
                <w:szCs w:val="24"/>
              </w:rPr>
              <w:t>引</w:t>
            </w:r>
            <w:r>
              <w:rPr>
                <w:bCs/>
                <w:sz w:val="24"/>
                <w:szCs w:val="24"/>
              </w:rPr>
              <w:t>风机风量为1200m</w:t>
            </w:r>
            <w:r>
              <w:rPr>
                <w:bCs/>
                <w:sz w:val="24"/>
                <w:szCs w:val="24"/>
                <w:vertAlign w:val="superscript"/>
              </w:rPr>
              <w:t>3</w:t>
            </w:r>
            <w:r>
              <w:rPr>
                <w:bCs/>
                <w:sz w:val="24"/>
                <w:szCs w:val="24"/>
              </w:rPr>
              <w:t>/h</w:t>
            </w:r>
            <w:r>
              <w:rPr>
                <w:sz w:val="24"/>
                <w:szCs w:val="24"/>
              </w:rPr>
              <w:t>，</w:t>
            </w:r>
            <w:r>
              <w:rPr>
                <w:rFonts w:hint="eastAsia"/>
                <w:sz w:val="24"/>
                <w:szCs w:val="24"/>
              </w:rPr>
              <w:t>则颗粒物</w:t>
            </w:r>
            <w:r>
              <w:rPr>
                <w:sz w:val="24"/>
                <w:szCs w:val="24"/>
              </w:rPr>
              <w:t>产生浓度为1583mg/m</w:t>
            </w:r>
            <w:r>
              <w:rPr>
                <w:sz w:val="24"/>
                <w:szCs w:val="24"/>
                <w:vertAlign w:val="superscript"/>
              </w:rPr>
              <w:t>3</w:t>
            </w:r>
            <w:r>
              <w:rPr>
                <w:rFonts w:eastAsiaTheme="minorEastAsia"/>
                <w:sz w:val="24"/>
                <w:szCs w:val="24"/>
              </w:rPr>
              <w:t>，袋式除尘器</w:t>
            </w:r>
            <w:r>
              <w:rPr>
                <w:sz w:val="24"/>
                <w:szCs w:val="24"/>
              </w:rPr>
              <w:t>处理效率按99.7%计，则</w:t>
            </w:r>
            <w:r>
              <w:rPr>
                <w:rFonts w:hint="eastAsia"/>
                <w:sz w:val="24"/>
                <w:szCs w:val="24"/>
              </w:rPr>
              <w:t>散装机除尘器</w:t>
            </w:r>
            <w:r>
              <w:rPr>
                <w:sz w:val="24"/>
                <w:szCs w:val="24"/>
              </w:rPr>
              <w:t>颗粒物排放速率为0.0057kg/h，排放量0.0017t/a，排放浓度为4.7mg/m</w:t>
            </w:r>
            <w:r>
              <w:rPr>
                <w:sz w:val="24"/>
                <w:szCs w:val="24"/>
                <w:vertAlign w:val="superscript"/>
              </w:rPr>
              <w:t>3</w:t>
            </w:r>
            <w:r>
              <w:rPr>
                <w:rFonts w:eastAsiaTheme="minorEastAsia"/>
                <w:sz w:val="24"/>
                <w:szCs w:val="24"/>
              </w:rPr>
              <w:t>，</w:t>
            </w:r>
            <w:r>
              <w:rPr>
                <w:sz w:val="24"/>
                <w:szCs w:val="24"/>
              </w:rPr>
              <w:t>废气通过1根15m排气筒排放</w:t>
            </w:r>
            <w:r>
              <w:rPr>
                <w:rFonts w:hint="eastAsia"/>
                <w:sz w:val="24"/>
                <w:szCs w:val="24"/>
              </w:rPr>
              <w:t>，</w:t>
            </w:r>
            <w:r>
              <w:rPr>
                <w:spacing w:val="-6"/>
                <w:sz w:val="24"/>
                <w:szCs w:val="24"/>
              </w:rPr>
              <w:t>能够满足</w:t>
            </w:r>
            <w:r>
              <w:rPr>
                <w:sz w:val="24"/>
                <w:szCs w:val="24"/>
              </w:rPr>
              <w:t>《大气污染物综合排放标准》（GB16297-1996）表2二级（颗粒物排放浓度120 mg/m</w:t>
            </w:r>
            <w:r>
              <w:rPr>
                <w:sz w:val="24"/>
                <w:szCs w:val="24"/>
                <w:vertAlign w:val="superscript"/>
              </w:rPr>
              <w:t>3</w:t>
            </w:r>
            <w:r>
              <w:rPr>
                <w:sz w:val="24"/>
                <w:szCs w:val="24"/>
              </w:rPr>
              <w:t>，15m高排气筒排放速率3.5kg/h）</w:t>
            </w:r>
            <w:r>
              <w:rPr>
                <w:rFonts w:hint="eastAsia"/>
                <w:sz w:val="24"/>
                <w:szCs w:val="24"/>
              </w:rPr>
              <w:t>以及《河南省重</w:t>
            </w:r>
            <w:r>
              <w:rPr>
                <w:sz w:val="24"/>
                <w:szCs w:val="24"/>
              </w:rPr>
              <w:t>污染天气通用行业应急减排措施制定技术指南</w:t>
            </w:r>
            <w:r>
              <w:rPr>
                <w:rFonts w:hint="eastAsia"/>
                <w:sz w:val="24"/>
                <w:szCs w:val="24"/>
              </w:rPr>
              <w:t>（2021年修订稿）》附录2其他</w:t>
            </w:r>
            <w:r>
              <w:rPr>
                <w:sz w:val="24"/>
                <w:szCs w:val="24"/>
              </w:rPr>
              <w:t>工序PM排放</w:t>
            </w:r>
            <w:r>
              <w:rPr>
                <w:rFonts w:hint="eastAsia"/>
                <w:sz w:val="24"/>
                <w:szCs w:val="24"/>
              </w:rPr>
              <w:t>浓度</w:t>
            </w:r>
            <w:r>
              <w:rPr>
                <w:sz w:val="24"/>
                <w:szCs w:val="24"/>
              </w:rPr>
              <w:t>不高于</w:t>
            </w:r>
            <w:r>
              <w:rPr>
                <w:rFonts w:hint="eastAsia"/>
                <w:sz w:val="24"/>
                <w:szCs w:val="24"/>
              </w:rPr>
              <w:t>10</w:t>
            </w:r>
            <w:r>
              <w:rPr>
                <w:sz w:val="24"/>
                <w:szCs w:val="24"/>
              </w:rPr>
              <w:t>mg/m</w:t>
            </w:r>
            <w:r>
              <w:rPr>
                <w:rFonts w:cs="宋体"/>
                <w:bCs/>
                <w:sz w:val="24"/>
                <w:szCs w:val="24"/>
                <w:vertAlign w:val="superscript"/>
              </w:rPr>
              <w:t>3</w:t>
            </w:r>
            <w:r>
              <w:rPr>
                <w:rFonts w:cs="宋体"/>
                <w:bCs/>
                <w:sz w:val="24"/>
                <w:szCs w:val="24"/>
              </w:rPr>
              <w:t>要求</w:t>
            </w:r>
            <w:r>
              <w:rPr>
                <w:sz w:val="24"/>
                <w:szCs w:val="24"/>
              </w:rPr>
              <w:t>。</w:t>
            </w:r>
          </w:p>
          <w:p>
            <w:r>
              <w:object>
                <v:shape id="_x0000_i1028" o:spt="75" type="#_x0000_t75" style="height:594pt;width:396pt;" o:ole="t" filled="f" o:preferrelative="t" stroked="f" coordsize="21600,21600">
                  <v:path/>
                  <v:fill on="f" focussize="0,0"/>
                  <v:stroke on="f" joinstyle="miter"/>
                  <v:imagedata r:id="rId15" o:title=""/>
                  <o:lock v:ext="edit" aspectratio="t"/>
                  <w10:wrap type="none"/>
                  <w10:anchorlock/>
                </v:shape>
                <o:OLEObject Type="Embed" ProgID="Visio.Drawing.11" ShapeID="_x0000_i1028" DrawAspect="Content" ObjectID="_1468075728" r:id="rId14">
                  <o:LockedField>false</o:LockedField>
                </o:OLEObject>
              </w:object>
            </w:r>
          </w:p>
          <w:p>
            <w:pPr>
              <w:pStyle w:val="10"/>
              <w:spacing w:before="0" w:after="0" w:line="240" w:lineRule="auto"/>
              <w:ind w:left="3120" w:hanging="3120" w:hangingChars="1300"/>
              <w:jc w:val="center"/>
              <w:rPr>
                <w:rFonts w:ascii="黑体" w:hAnsi="黑体" w:eastAsia="黑体"/>
                <w:snapToGrid w:val="0"/>
                <w:sz w:val="24"/>
                <w:u w:val="single"/>
              </w:rPr>
            </w:pPr>
            <w:r>
              <w:rPr>
                <w:rFonts w:eastAsia="黑体"/>
                <w:snapToGrid w:val="0"/>
                <w:sz w:val="24"/>
                <w:u w:val="single"/>
              </w:rPr>
              <w:t xml:space="preserve">图4    </w:t>
            </w:r>
            <w:r>
              <w:rPr>
                <w:rFonts w:hint="eastAsia" w:eastAsia="黑体"/>
                <w:snapToGrid w:val="0"/>
                <w:sz w:val="24"/>
                <w:u w:val="single"/>
              </w:rPr>
              <w:t>项目物料</w:t>
            </w:r>
            <w:r>
              <w:rPr>
                <w:rFonts w:eastAsia="黑体"/>
                <w:snapToGrid w:val="0"/>
                <w:sz w:val="24"/>
                <w:u w:val="single"/>
              </w:rPr>
              <w:t>平衡示意图</w:t>
            </w:r>
          </w:p>
          <w:p>
            <w:pPr>
              <w:spacing w:line="480" w:lineRule="exact"/>
              <w:ind w:firstLine="482" w:firstLineChars="200"/>
              <w:rPr>
                <w:b/>
                <w:bCs/>
                <w:snapToGrid w:val="0"/>
                <w:kern w:val="0"/>
                <w:sz w:val="24"/>
              </w:rPr>
            </w:pPr>
          </w:p>
          <w:p>
            <w:pPr>
              <w:spacing w:line="480" w:lineRule="exact"/>
              <w:ind w:firstLine="482" w:firstLineChars="200"/>
              <w:rPr>
                <w:b/>
                <w:bCs/>
                <w:snapToGrid w:val="0"/>
                <w:kern w:val="0"/>
                <w:sz w:val="24"/>
              </w:rPr>
            </w:pPr>
            <w:r>
              <w:rPr>
                <w:rFonts w:hint="eastAsia"/>
                <w:b/>
                <w:bCs/>
                <w:snapToGrid w:val="0"/>
                <w:kern w:val="0"/>
                <w:sz w:val="24"/>
              </w:rPr>
              <w:t>1.1.2无组织废气</w:t>
            </w:r>
          </w:p>
          <w:p>
            <w:pPr>
              <w:spacing w:line="480" w:lineRule="exact"/>
              <w:ind w:firstLine="480" w:firstLineChars="200"/>
              <w:rPr>
                <w:snapToGrid w:val="0"/>
                <w:kern w:val="0"/>
                <w:sz w:val="24"/>
              </w:rPr>
            </w:pPr>
            <w:r>
              <w:rPr>
                <w:rFonts w:hint="eastAsia"/>
                <w:snapToGrid w:val="0"/>
                <w:kern w:val="0"/>
                <w:sz w:val="24"/>
              </w:rPr>
              <w:t>（1）工艺</w:t>
            </w:r>
            <w:r>
              <w:rPr>
                <w:snapToGrid w:val="0"/>
                <w:kern w:val="0"/>
                <w:sz w:val="24"/>
              </w:rPr>
              <w:t>无</w:t>
            </w:r>
            <w:r>
              <w:rPr>
                <w:rFonts w:hint="eastAsia"/>
                <w:snapToGrid w:val="0"/>
                <w:kern w:val="0"/>
                <w:sz w:val="24"/>
              </w:rPr>
              <w:t>组织</w:t>
            </w:r>
            <w:r>
              <w:rPr>
                <w:snapToGrid w:val="0"/>
                <w:kern w:val="0"/>
                <w:sz w:val="24"/>
              </w:rPr>
              <w:t>废气</w:t>
            </w:r>
          </w:p>
          <w:p>
            <w:pPr>
              <w:spacing w:line="540" w:lineRule="exact"/>
              <w:ind w:firstLine="480" w:firstLineChars="200"/>
              <w:rPr>
                <w:bCs/>
                <w:sz w:val="24"/>
              </w:rPr>
            </w:pPr>
            <w:r>
              <w:rPr>
                <w:rFonts w:hint="eastAsia"/>
                <w:snapToGrid w:val="0"/>
                <w:kern w:val="0"/>
                <w:sz w:val="24"/>
              </w:rPr>
              <w:t>项目工艺</w:t>
            </w:r>
            <w:r>
              <w:rPr>
                <w:snapToGrid w:val="0"/>
                <w:kern w:val="0"/>
                <w:sz w:val="24"/>
              </w:rPr>
              <w:t>过程</w:t>
            </w:r>
            <w:r>
              <w:rPr>
                <w:rFonts w:hint="eastAsia"/>
                <w:snapToGrid w:val="0"/>
                <w:kern w:val="0"/>
                <w:sz w:val="24"/>
              </w:rPr>
              <w:t>产生</w:t>
            </w:r>
            <w:r>
              <w:rPr>
                <w:snapToGrid w:val="0"/>
                <w:kern w:val="0"/>
                <w:sz w:val="24"/>
              </w:rPr>
              <w:t>的无组织废气主要为</w:t>
            </w:r>
            <w:r>
              <w:rPr>
                <w:rFonts w:hint="eastAsia"/>
                <w:snapToGrid w:val="0"/>
                <w:kern w:val="0"/>
                <w:sz w:val="24"/>
              </w:rPr>
              <w:t>提升机</w:t>
            </w:r>
            <w:r>
              <w:rPr>
                <w:snapToGrid w:val="0"/>
                <w:kern w:val="0"/>
                <w:sz w:val="24"/>
              </w:rPr>
              <w:t>、</w:t>
            </w:r>
            <w:r>
              <w:rPr>
                <w:rFonts w:hint="eastAsia"/>
                <w:snapToGrid w:val="0"/>
                <w:kern w:val="0"/>
                <w:sz w:val="24"/>
              </w:rPr>
              <w:t>粉磨机</w:t>
            </w:r>
            <w:r>
              <w:rPr>
                <w:snapToGrid w:val="0"/>
                <w:kern w:val="0"/>
                <w:sz w:val="24"/>
              </w:rPr>
              <w:t>、散装机各产尘点</w:t>
            </w:r>
            <w:r>
              <w:rPr>
                <w:rFonts w:hint="eastAsia"/>
                <w:snapToGrid w:val="0"/>
                <w:kern w:val="0"/>
                <w:sz w:val="24"/>
              </w:rPr>
              <w:t>集气罩未</w:t>
            </w:r>
            <w:r>
              <w:rPr>
                <w:snapToGrid w:val="0"/>
                <w:kern w:val="0"/>
                <w:sz w:val="24"/>
              </w:rPr>
              <w:t>收集的颗粒物，</w:t>
            </w:r>
            <w:r>
              <w:rPr>
                <w:rFonts w:hint="eastAsia"/>
                <w:snapToGrid w:val="0"/>
                <w:kern w:val="0"/>
                <w:sz w:val="24"/>
              </w:rPr>
              <w:t>无</w:t>
            </w:r>
            <w:r>
              <w:rPr>
                <w:snapToGrid w:val="0"/>
                <w:kern w:val="0"/>
                <w:sz w:val="24"/>
              </w:rPr>
              <w:t>组织</w:t>
            </w:r>
            <w:r>
              <w:rPr>
                <w:rFonts w:hint="eastAsia"/>
                <w:snapToGrid w:val="0"/>
                <w:kern w:val="0"/>
                <w:sz w:val="24"/>
              </w:rPr>
              <w:t>散逸量分别</w:t>
            </w:r>
            <w:r>
              <w:rPr>
                <w:snapToGrid w:val="0"/>
                <w:kern w:val="0"/>
                <w:sz w:val="24"/>
              </w:rPr>
              <w:t>为0.3t/a、</w:t>
            </w:r>
            <w:r>
              <w:rPr>
                <w:rFonts w:hint="eastAsia"/>
                <w:snapToGrid w:val="0"/>
                <w:kern w:val="0"/>
                <w:sz w:val="24"/>
              </w:rPr>
              <w:t>0</w:t>
            </w:r>
            <w:r>
              <w:rPr>
                <w:snapToGrid w:val="0"/>
                <w:kern w:val="0"/>
                <w:sz w:val="24"/>
              </w:rPr>
              <w:t>.07t/a、0.03t/a</w:t>
            </w:r>
            <w:r>
              <w:rPr>
                <w:rFonts w:hint="eastAsia"/>
                <w:snapToGrid w:val="0"/>
                <w:kern w:val="0"/>
                <w:sz w:val="24"/>
              </w:rPr>
              <w:t>。其</w:t>
            </w:r>
            <w:r>
              <w:rPr>
                <w:snapToGrid w:val="0"/>
                <w:kern w:val="0"/>
                <w:sz w:val="24"/>
              </w:rPr>
              <w:t>粉磨机</w:t>
            </w:r>
            <w:r>
              <w:rPr>
                <w:rFonts w:hint="eastAsia"/>
                <w:snapToGrid w:val="0"/>
                <w:kern w:val="0"/>
                <w:sz w:val="24"/>
              </w:rPr>
              <w:t>无</w:t>
            </w:r>
            <w:r>
              <w:rPr>
                <w:snapToGrid w:val="0"/>
                <w:kern w:val="0"/>
                <w:sz w:val="24"/>
              </w:rPr>
              <w:t>组织</w:t>
            </w:r>
            <w:r>
              <w:rPr>
                <w:rFonts w:hint="eastAsia"/>
                <w:snapToGrid w:val="0"/>
                <w:kern w:val="0"/>
                <w:sz w:val="24"/>
              </w:rPr>
              <w:t>散逸量</w:t>
            </w:r>
            <w:r>
              <w:rPr>
                <w:snapToGrid w:val="0"/>
                <w:kern w:val="0"/>
                <w:sz w:val="24"/>
              </w:rPr>
              <w:t>为0.3t/a</w:t>
            </w:r>
            <w:r>
              <w:rPr>
                <w:rFonts w:hint="eastAsia"/>
                <w:snapToGrid w:val="0"/>
                <w:kern w:val="0"/>
                <w:sz w:val="24"/>
              </w:rPr>
              <w:t>（折合0.</w:t>
            </w:r>
            <w:r>
              <w:rPr>
                <w:snapToGrid w:val="0"/>
                <w:kern w:val="0"/>
                <w:sz w:val="24"/>
              </w:rPr>
              <w:t>15kg/h</w:t>
            </w:r>
            <w:r>
              <w:rPr>
                <w:rFonts w:hint="eastAsia"/>
                <w:snapToGrid w:val="0"/>
                <w:kern w:val="0"/>
                <w:sz w:val="24"/>
              </w:rPr>
              <w:t>），该粉磨机</w:t>
            </w:r>
            <w:r>
              <w:rPr>
                <w:snapToGrid w:val="0"/>
                <w:kern w:val="0"/>
                <w:sz w:val="24"/>
              </w:rPr>
              <w:t>置于</w:t>
            </w:r>
            <w:r>
              <w:rPr>
                <w:sz w:val="24"/>
                <w:lang w:val="zh-CN"/>
              </w:rPr>
              <w:t>密闭厂房内，</w:t>
            </w:r>
            <w:r>
              <w:rPr>
                <w:rFonts w:hint="eastAsia"/>
                <w:sz w:val="24"/>
                <w:lang w:val="zh-CN"/>
              </w:rPr>
              <w:t>颗粒物</w:t>
            </w:r>
            <w:r>
              <w:rPr>
                <w:sz w:val="24"/>
                <w:lang w:val="zh-CN"/>
              </w:rPr>
              <w:t>经密闭</w:t>
            </w:r>
            <w:r>
              <w:rPr>
                <w:rFonts w:hint="eastAsia"/>
                <w:sz w:val="24"/>
                <w:lang w:val="zh-CN"/>
              </w:rPr>
              <w:t>后</w:t>
            </w:r>
            <w:r>
              <w:rPr>
                <w:sz w:val="24"/>
                <w:lang w:val="zh-CN"/>
              </w:rPr>
              <w:t>，</w:t>
            </w:r>
            <w:r>
              <w:rPr>
                <w:rFonts w:hint="eastAsia"/>
                <w:sz w:val="24"/>
                <w:lang w:val="zh-CN"/>
              </w:rPr>
              <w:t>可</w:t>
            </w:r>
            <w:r>
              <w:rPr>
                <w:sz w:val="24"/>
                <w:lang w:val="zh-CN"/>
              </w:rPr>
              <w:t>消减约</w:t>
            </w:r>
            <w:r>
              <w:rPr>
                <w:rFonts w:hint="eastAsia"/>
                <w:sz w:val="24"/>
                <w:lang w:val="zh-CN"/>
              </w:rPr>
              <w:t>80</w:t>
            </w:r>
            <w:r>
              <w:rPr>
                <w:sz w:val="24"/>
                <w:lang w:val="zh-CN"/>
              </w:rPr>
              <w:t>%</w:t>
            </w:r>
            <w:r>
              <w:rPr>
                <w:rFonts w:hint="eastAsia"/>
                <w:sz w:val="24"/>
                <w:lang w:val="zh-CN"/>
              </w:rPr>
              <w:t>无组织排放</w:t>
            </w:r>
            <w:r>
              <w:rPr>
                <w:sz w:val="24"/>
                <w:lang w:val="zh-CN"/>
              </w:rPr>
              <w:t>的颗粒物，则</w:t>
            </w:r>
            <w:r>
              <w:rPr>
                <w:rFonts w:hint="eastAsia"/>
                <w:sz w:val="24"/>
                <w:lang w:val="zh-CN"/>
              </w:rPr>
              <w:t>粉磨工段</w:t>
            </w:r>
            <w:r>
              <w:rPr>
                <w:sz w:val="24"/>
                <w:lang w:val="zh-CN"/>
              </w:rPr>
              <w:t>无组织排放的颗粒物</w:t>
            </w:r>
            <w:r>
              <w:rPr>
                <w:rFonts w:hint="eastAsia"/>
                <w:sz w:val="24"/>
                <w:lang w:val="zh-CN"/>
              </w:rPr>
              <w:t>为</w:t>
            </w:r>
            <w:r>
              <w:rPr>
                <w:sz w:val="24"/>
                <w:lang w:val="zh-CN"/>
              </w:rPr>
              <w:t>0.06t/a，折合</w:t>
            </w:r>
            <w:r>
              <w:rPr>
                <w:rFonts w:hint="eastAsia"/>
                <w:sz w:val="24"/>
                <w:lang w:val="zh-CN"/>
              </w:rPr>
              <w:t>0.</w:t>
            </w:r>
            <w:r>
              <w:rPr>
                <w:sz w:val="24"/>
                <w:lang w:val="zh-CN"/>
              </w:rPr>
              <w:t>03kg/h。</w:t>
            </w:r>
          </w:p>
          <w:p>
            <w:pPr>
              <w:spacing w:line="480" w:lineRule="exact"/>
              <w:ind w:firstLine="480" w:firstLineChars="200"/>
              <w:rPr>
                <w:snapToGrid w:val="0"/>
                <w:kern w:val="0"/>
                <w:sz w:val="24"/>
              </w:rPr>
            </w:pPr>
            <w:r>
              <w:rPr>
                <w:rFonts w:hint="eastAsia"/>
                <w:snapToGrid w:val="0"/>
                <w:kern w:val="0"/>
                <w:sz w:val="24"/>
              </w:rPr>
              <w:t>（2）运输</w:t>
            </w:r>
            <w:r>
              <w:rPr>
                <w:snapToGrid w:val="0"/>
                <w:kern w:val="0"/>
                <w:sz w:val="24"/>
              </w:rPr>
              <w:t>废气</w:t>
            </w:r>
          </w:p>
          <w:p>
            <w:pPr>
              <w:spacing w:line="480" w:lineRule="exact"/>
              <w:ind w:firstLine="480" w:firstLineChars="200"/>
              <w:rPr>
                <w:snapToGrid w:val="0"/>
                <w:kern w:val="0"/>
                <w:sz w:val="24"/>
              </w:rPr>
            </w:pPr>
            <w:r>
              <w:rPr>
                <w:rFonts w:hint="eastAsia"/>
                <w:snapToGrid w:val="0"/>
                <w:kern w:val="0"/>
                <w:sz w:val="24"/>
              </w:rPr>
              <w:t>本项目原料及产品均采用罐装运输，汽车运输时由于碾压卷带产生的扬尘对道路两侧一定范围内会造成污染。扬尘量的大小与车流量、道路状况、气候条件、汽车行驶速度等均有关系。根据汽车道路扬尘扩散规律，在大气干燥和地面风速低于4m/s条件下，汽车行驶时引起的路面扬尘量与汽车速度成正比，与汽车质量成正比，与道路表面扬尘量成正比，其汽车扬尘量预测经验公式为：</w:t>
            </w:r>
          </w:p>
          <w:p>
            <w:pPr>
              <w:spacing w:line="360" w:lineRule="auto"/>
              <w:ind w:firstLine="480" w:firstLineChars="200"/>
              <w:jc w:val="center"/>
              <w:rPr>
                <w:snapToGrid w:val="0"/>
                <w:kern w:val="0"/>
                <w:sz w:val="24"/>
              </w:rPr>
            </w:pPr>
            <w:r>
              <w:rPr>
                <w:rFonts w:hint="eastAsia"/>
                <w:snapToGrid w:val="0"/>
                <w:kern w:val="0"/>
                <w:position w:val="-24"/>
                <w:sz w:val="24"/>
              </w:rPr>
              <w:object>
                <v:shape id="_x0000_i1029" o:spt="75" type="#_x0000_t75" style="height:31.8pt;width:139.8pt;" o:ole="t" filled="f" o:preferrelative="t" stroked="f" coordsize="21600,21600">
                  <v:path/>
                  <v:fill on="f" focussize="0,0"/>
                  <v:stroke on="f" joinstyle="miter"/>
                  <v:imagedata r:id="rId17" o:title=""/>
                  <o:lock v:ext="edit" aspectratio="t"/>
                  <w10:wrap type="none"/>
                  <w10:anchorlock/>
                </v:shape>
                <o:OLEObject Type="Embed" ProgID="Equation.3" ShapeID="_x0000_i1029" DrawAspect="Content" ObjectID="_1468075729" r:id="rId16">
                  <o:LockedField>false</o:LockedField>
                </o:OLEObject>
              </w:object>
            </w:r>
          </w:p>
          <w:p>
            <w:pPr>
              <w:spacing w:line="360" w:lineRule="auto"/>
              <w:ind w:firstLine="480" w:firstLineChars="200"/>
              <w:rPr>
                <w:snapToGrid w:val="0"/>
                <w:kern w:val="0"/>
                <w:sz w:val="24"/>
              </w:rPr>
            </w:pPr>
            <w:r>
              <w:rPr>
                <w:rFonts w:hint="eastAsia"/>
                <w:snapToGrid w:val="0"/>
                <w:kern w:val="0"/>
                <w:sz w:val="24"/>
              </w:rPr>
              <w:t>式中：Q：汽车行驶时的扬尘，kg/km·辆；</w:t>
            </w:r>
          </w:p>
          <w:p>
            <w:pPr>
              <w:spacing w:line="360" w:lineRule="auto"/>
              <w:ind w:firstLine="1200" w:firstLineChars="500"/>
              <w:rPr>
                <w:snapToGrid w:val="0"/>
                <w:kern w:val="0"/>
                <w:sz w:val="24"/>
              </w:rPr>
            </w:pPr>
            <w:r>
              <w:rPr>
                <w:rFonts w:hint="eastAsia"/>
                <w:snapToGrid w:val="0"/>
                <w:kern w:val="0"/>
                <w:sz w:val="24"/>
              </w:rPr>
              <w:t>V：汽车速度，km/h，本次计算取10；</w:t>
            </w:r>
          </w:p>
          <w:p>
            <w:pPr>
              <w:spacing w:line="360" w:lineRule="auto"/>
              <w:ind w:firstLine="1200" w:firstLineChars="500"/>
              <w:rPr>
                <w:snapToGrid w:val="0"/>
                <w:kern w:val="0"/>
                <w:sz w:val="24"/>
              </w:rPr>
            </w:pPr>
            <w:r>
              <w:rPr>
                <w:rFonts w:hint="eastAsia"/>
                <w:snapToGrid w:val="0"/>
                <w:kern w:val="0"/>
                <w:sz w:val="24"/>
              </w:rPr>
              <w:t>W：汽车载重量，吨；</w:t>
            </w:r>
          </w:p>
          <w:p>
            <w:pPr>
              <w:spacing w:line="360" w:lineRule="auto"/>
              <w:ind w:firstLine="1200" w:firstLineChars="500"/>
              <w:rPr>
                <w:snapToGrid w:val="0"/>
                <w:kern w:val="0"/>
                <w:sz w:val="24"/>
              </w:rPr>
            </w:pPr>
            <w:r>
              <w:rPr>
                <w:rFonts w:hint="eastAsia"/>
                <w:snapToGrid w:val="0"/>
                <w:kern w:val="0"/>
                <w:sz w:val="24"/>
              </w:rPr>
              <w:t>P：道路表面粉尘量，kg/m</w:t>
            </w:r>
            <w:r>
              <w:rPr>
                <w:rFonts w:hint="eastAsia"/>
                <w:snapToGrid w:val="0"/>
                <w:kern w:val="0"/>
                <w:sz w:val="24"/>
                <w:vertAlign w:val="superscript"/>
              </w:rPr>
              <w:t>2</w:t>
            </w:r>
            <w:r>
              <w:rPr>
                <w:rFonts w:hint="eastAsia"/>
                <w:snapToGrid w:val="0"/>
                <w:kern w:val="0"/>
                <w:sz w:val="24"/>
              </w:rPr>
              <w:t>，本次计算取0.1。</w:t>
            </w:r>
          </w:p>
          <w:p>
            <w:pPr>
              <w:spacing w:line="360" w:lineRule="auto"/>
              <w:ind w:firstLine="480" w:firstLineChars="200"/>
              <w:rPr>
                <w:snapToGrid w:val="0"/>
                <w:kern w:val="0"/>
                <w:sz w:val="24"/>
              </w:rPr>
            </w:pPr>
            <w:r>
              <w:rPr>
                <w:rFonts w:hint="eastAsia"/>
                <w:snapToGrid w:val="0"/>
                <w:kern w:val="0"/>
                <w:sz w:val="24"/>
              </w:rPr>
              <w:t>经计算，项目运输</w:t>
            </w:r>
            <w:r>
              <w:rPr>
                <w:snapToGrid w:val="0"/>
                <w:kern w:val="0"/>
                <w:sz w:val="24"/>
              </w:rPr>
              <w:t>车辆标载</w:t>
            </w:r>
            <w:r>
              <w:rPr>
                <w:rFonts w:hint="eastAsia"/>
                <w:snapToGrid w:val="0"/>
                <w:kern w:val="0"/>
                <w:sz w:val="24"/>
              </w:rPr>
              <w:t>52</w:t>
            </w:r>
            <w:r>
              <w:rPr>
                <w:snapToGrid w:val="0"/>
                <w:kern w:val="0"/>
                <w:sz w:val="24"/>
              </w:rPr>
              <w:t>t，原料</w:t>
            </w:r>
            <w:r>
              <w:rPr>
                <w:rFonts w:hint="eastAsia"/>
                <w:snapToGrid w:val="0"/>
                <w:kern w:val="0"/>
                <w:sz w:val="24"/>
              </w:rPr>
              <w:t>载重30</w:t>
            </w:r>
            <w:r>
              <w:rPr>
                <w:snapToGrid w:val="0"/>
                <w:kern w:val="0"/>
                <w:sz w:val="24"/>
              </w:rPr>
              <w:t>t</w:t>
            </w:r>
            <w:r>
              <w:rPr>
                <w:rFonts w:hint="eastAsia"/>
                <w:snapToGrid w:val="0"/>
                <w:kern w:val="0"/>
                <w:sz w:val="24"/>
              </w:rPr>
              <w:t>，</w:t>
            </w:r>
            <w:r>
              <w:rPr>
                <w:snapToGrid w:val="0"/>
                <w:kern w:val="0"/>
                <w:sz w:val="24"/>
              </w:rPr>
              <w:t>经计算，</w:t>
            </w:r>
            <w:r>
              <w:rPr>
                <w:rFonts w:hint="eastAsia"/>
                <w:snapToGrid w:val="0"/>
                <w:kern w:val="0"/>
                <w:sz w:val="24"/>
              </w:rPr>
              <w:t>标载52</w:t>
            </w:r>
            <w:r>
              <w:rPr>
                <w:snapToGrid w:val="0"/>
                <w:kern w:val="0"/>
                <w:sz w:val="24"/>
              </w:rPr>
              <w:t>t的</w:t>
            </w:r>
            <w:r>
              <w:rPr>
                <w:rFonts w:hint="eastAsia"/>
                <w:snapToGrid w:val="0"/>
                <w:kern w:val="0"/>
                <w:sz w:val="24"/>
              </w:rPr>
              <w:t>汽车行驶时扬尘为</w:t>
            </w:r>
            <w:r>
              <w:rPr>
                <w:snapToGrid w:val="0"/>
                <w:kern w:val="0"/>
                <w:sz w:val="24"/>
              </w:rPr>
              <w:t>0.437</w:t>
            </w:r>
            <w:r>
              <w:rPr>
                <w:rFonts w:hint="eastAsia"/>
                <w:snapToGrid w:val="0"/>
                <w:kern w:val="0"/>
                <w:sz w:val="24"/>
              </w:rPr>
              <w:t>kg/km·辆。</w:t>
            </w:r>
          </w:p>
          <w:p>
            <w:pPr>
              <w:spacing w:line="360" w:lineRule="auto"/>
              <w:ind w:firstLine="480" w:firstLineChars="200"/>
              <w:rPr>
                <w:snapToGrid w:val="0"/>
                <w:kern w:val="0"/>
                <w:sz w:val="24"/>
              </w:rPr>
            </w:pPr>
            <w:r>
              <w:rPr>
                <w:rFonts w:hint="eastAsia"/>
                <w:snapToGrid w:val="0"/>
                <w:kern w:val="0"/>
                <w:sz w:val="24"/>
              </w:rPr>
              <w:t>车流量核算：本项目原料转运量为</w:t>
            </w:r>
            <w:r>
              <w:rPr>
                <w:snapToGrid w:val="0"/>
                <w:kern w:val="0"/>
                <w:sz w:val="24"/>
              </w:rPr>
              <w:t>30000</w:t>
            </w:r>
            <w:r>
              <w:rPr>
                <w:rFonts w:hint="eastAsia"/>
                <w:snapToGrid w:val="0"/>
                <w:kern w:val="0"/>
                <w:sz w:val="24"/>
              </w:rPr>
              <w:t>t/a，单车每次运输量按3</w:t>
            </w:r>
            <w:r>
              <w:rPr>
                <w:snapToGrid w:val="0"/>
                <w:kern w:val="0"/>
                <w:sz w:val="24"/>
              </w:rPr>
              <w:t>0</w:t>
            </w:r>
            <w:r>
              <w:rPr>
                <w:rFonts w:hint="eastAsia"/>
                <w:snapToGrid w:val="0"/>
                <w:kern w:val="0"/>
                <w:sz w:val="24"/>
              </w:rPr>
              <w:t>t计算，转运车辆为</w:t>
            </w:r>
            <w:r>
              <w:rPr>
                <w:snapToGrid w:val="0"/>
                <w:kern w:val="0"/>
                <w:sz w:val="24"/>
              </w:rPr>
              <w:t>1000</w:t>
            </w:r>
            <w:r>
              <w:rPr>
                <w:rFonts w:hint="eastAsia"/>
                <w:snapToGrid w:val="0"/>
                <w:kern w:val="0"/>
                <w:sz w:val="24"/>
              </w:rPr>
              <w:t>次/a；成品转运量为</w:t>
            </w:r>
            <w:r>
              <w:rPr>
                <w:snapToGrid w:val="0"/>
                <w:kern w:val="0"/>
                <w:sz w:val="24"/>
              </w:rPr>
              <w:t>3</w:t>
            </w:r>
            <w:r>
              <w:rPr>
                <w:rFonts w:hint="eastAsia"/>
                <w:snapToGrid w:val="0"/>
                <w:kern w:val="0"/>
                <w:sz w:val="24"/>
              </w:rPr>
              <w:t>0000t/a，单车每次运输量按3</w:t>
            </w:r>
            <w:r>
              <w:rPr>
                <w:snapToGrid w:val="0"/>
                <w:kern w:val="0"/>
                <w:sz w:val="24"/>
              </w:rPr>
              <w:t>0</w:t>
            </w:r>
            <w:r>
              <w:rPr>
                <w:rFonts w:hint="eastAsia"/>
                <w:snapToGrid w:val="0"/>
                <w:kern w:val="0"/>
                <w:sz w:val="24"/>
              </w:rPr>
              <w:t>t计算，转运车辆为</w:t>
            </w:r>
            <w:r>
              <w:rPr>
                <w:snapToGrid w:val="0"/>
                <w:kern w:val="0"/>
                <w:sz w:val="24"/>
              </w:rPr>
              <w:t>1000</w:t>
            </w:r>
            <w:r>
              <w:rPr>
                <w:rFonts w:hint="eastAsia"/>
                <w:snapToGrid w:val="0"/>
                <w:kern w:val="0"/>
                <w:sz w:val="24"/>
              </w:rPr>
              <w:t>次/a。</w:t>
            </w:r>
          </w:p>
          <w:p>
            <w:pPr>
              <w:spacing w:line="360" w:lineRule="auto"/>
              <w:ind w:firstLine="480" w:firstLineChars="200"/>
              <w:rPr>
                <w:snapToGrid w:val="0"/>
                <w:kern w:val="0"/>
                <w:sz w:val="24"/>
              </w:rPr>
            </w:pPr>
            <w:r>
              <w:rPr>
                <w:rFonts w:hint="eastAsia"/>
                <w:snapToGrid w:val="0"/>
                <w:kern w:val="0"/>
                <w:sz w:val="24"/>
              </w:rPr>
              <w:t>项目车辆在厂区（包括远宏</w:t>
            </w:r>
            <w:r>
              <w:rPr>
                <w:rFonts w:hint="eastAsia"/>
                <w:szCs w:val="21"/>
              </w:rPr>
              <w:t>炭素</w:t>
            </w:r>
            <w:r>
              <w:rPr>
                <w:snapToGrid w:val="0"/>
                <w:kern w:val="0"/>
                <w:sz w:val="24"/>
              </w:rPr>
              <w:t>厂区</w:t>
            </w:r>
            <w:r>
              <w:rPr>
                <w:rFonts w:hint="eastAsia"/>
                <w:snapToGrid w:val="0"/>
                <w:kern w:val="0"/>
                <w:sz w:val="24"/>
              </w:rPr>
              <w:t>）行驶距离约</w:t>
            </w:r>
            <w:r>
              <w:rPr>
                <w:snapToGrid w:val="0"/>
                <w:kern w:val="0"/>
                <w:sz w:val="24"/>
              </w:rPr>
              <w:t>200</w:t>
            </w:r>
            <w:r>
              <w:rPr>
                <w:rFonts w:hint="eastAsia"/>
                <w:snapToGrid w:val="0"/>
                <w:kern w:val="0"/>
                <w:sz w:val="24"/>
              </w:rPr>
              <w:t>m，经计算，本项目各种车辆在厂区内行驶产生的扬尘情况见表</w:t>
            </w:r>
            <w:r>
              <w:rPr>
                <w:snapToGrid w:val="0"/>
                <w:kern w:val="0"/>
                <w:sz w:val="24"/>
              </w:rPr>
              <w:t>19</w:t>
            </w:r>
            <w:r>
              <w:rPr>
                <w:rFonts w:hint="eastAsia"/>
                <w:snapToGrid w:val="0"/>
                <w:kern w:val="0"/>
                <w:sz w:val="24"/>
              </w:rPr>
              <w:t>。</w:t>
            </w:r>
          </w:p>
          <w:p>
            <w:pPr>
              <w:autoSpaceDE w:val="0"/>
              <w:autoSpaceDN w:val="0"/>
              <w:adjustRightInd w:val="0"/>
              <w:snapToGrid w:val="0"/>
              <w:spacing w:line="480" w:lineRule="exact"/>
              <w:ind w:firstLine="720" w:firstLineChars="300"/>
              <w:rPr>
                <w:rFonts w:eastAsia="黑体"/>
                <w:sz w:val="24"/>
                <w:szCs w:val="22"/>
              </w:rPr>
            </w:pPr>
            <w:r>
              <w:rPr>
                <w:rFonts w:hint="eastAsia" w:eastAsia="黑体"/>
                <w:sz w:val="24"/>
                <w:szCs w:val="22"/>
              </w:rPr>
              <w:t>表1</w:t>
            </w:r>
            <w:r>
              <w:rPr>
                <w:rFonts w:eastAsia="黑体"/>
                <w:sz w:val="24"/>
                <w:szCs w:val="22"/>
              </w:rPr>
              <w:t>9</w:t>
            </w:r>
            <w:r>
              <w:rPr>
                <w:rFonts w:hint="eastAsia" w:eastAsia="黑体"/>
                <w:sz w:val="24"/>
                <w:szCs w:val="22"/>
              </w:rPr>
              <w:t xml:space="preserve">  </w:t>
            </w:r>
            <w:r>
              <w:rPr>
                <w:rFonts w:eastAsia="黑体"/>
                <w:sz w:val="24"/>
                <w:szCs w:val="22"/>
              </w:rPr>
              <w:t xml:space="preserve"> </w:t>
            </w:r>
            <w:r>
              <w:rPr>
                <w:rFonts w:hint="eastAsia" w:eastAsia="黑体"/>
                <w:sz w:val="24"/>
                <w:szCs w:val="22"/>
              </w:rPr>
              <w:t xml:space="preserve"> 项目车辆在厂区内行驶扬尘产排情况一览表</w:t>
            </w:r>
          </w:p>
          <w:tbl>
            <w:tblPr>
              <w:tblStyle w:val="23"/>
              <w:tblW w:w="7936" w:type="dxa"/>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57" w:type="dxa"/>
                <w:left w:w="108" w:type="dxa"/>
                <w:bottom w:w="57" w:type="dxa"/>
                <w:right w:w="108" w:type="dxa"/>
              </w:tblCellMar>
            </w:tblPr>
            <w:tblGrid>
              <w:gridCol w:w="1279"/>
              <w:gridCol w:w="998"/>
              <w:gridCol w:w="1123"/>
              <w:gridCol w:w="1443"/>
              <w:gridCol w:w="1959"/>
              <w:gridCol w:w="1134"/>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c>
                <w:tcPr>
                  <w:tcW w:w="1279" w:type="dxa"/>
                  <w:vAlign w:val="center"/>
                </w:tcPr>
                <w:p>
                  <w:pPr>
                    <w:jc w:val="center"/>
                    <w:rPr>
                      <w:bCs/>
                      <w:snapToGrid w:val="0"/>
                      <w:kern w:val="0"/>
                    </w:rPr>
                  </w:pPr>
                  <w:r>
                    <w:rPr>
                      <w:rFonts w:hint="eastAsia"/>
                      <w:bCs/>
                      <w:snapToGrid w:val="0"/>
                      <w:kern w:val="0"/>
                    </w:rPr>
                    <w:t>车辆类型</w:t>
                  </w:r>
                </w:p>
              </w:tc>
              <w:tc>
                <w:tcPr>
                  <w:tcW w:w="998" w:type="dxa"/>
                  <w:vAlign w:val="center"/>
                </w:tcPr>
                <w:p>
                  <w:pPr>
                    <w:jc w:val="center"/>
                    <w:rPr>
                      <w:bCs/>
                      <w:snapToGrid w:val="0"/>
                      <w:kern w:val="0"/>
                    </w:rPr>
                  </w:pPr>
                  <w:r>
                    <w:rPr>
                      <w:rFonts w:hint="eastAsia"/>
                      <w:bCs/>
                      <w:snapToGrid w:val="0"/>
                      <w:kern w:val="0"/>
                    </w:rPr>
                    <w:t>物料重（t）</w:t>
                  </w:r>
                </w:p>
              </w:tc>
              <w:tc>
                <w:tcPr>
                  <w:tcW w:w="1123" w:type="dxa"/>
                  <w:vAlign w:val="center"/>
                </w:tcPr>
                <w:p>
                  <w:pPr>
                    <w:jc w:val="center"/>
                    <w:rPr>
                      <w:bCs/>
                      <w:snapToGrid w:val="0"/>
                      <w:kern w:val="0"/>
                    </w:rPr>
                  </w:pPr>
                  <w:r>
                    <w:rPr>
                      <w:rFonts w:hint="eastAsia"/>
                      <w:bCs/>
                      <w:snapToGrid w:val="0"/>
                      <w:kern w:val="0"/>
                    </w:rPr>
                    <w:t>重载车重（t）</w:t>
                  </w:r>
                </w:p>
              </w:tc>
              <w:tc>
                <w:tcPr>
                  <w:tcW w:w="1443" w:type="dxa"/>
                  <w:vAlign w:val="center"/>
                </w:tcPr>
                <w:p>
                  <w:pPr>
                    <w:jc w:val="center"/>
                    <w:rPr>
                      <w:bCs/>
                      <w:snapToGrid w:val="0"/>
                      <w:kern w:val="0"/>
                    </w:rPr>
                  </w:pPr>
                  <w:r>
                    <w:rPr>
                      <w:rFonts w:hint="eastAsia"/>
                      <w:bCs/>
                      <w:snapToGrid w:val="0"/>
                      <w:kern w:val="0"/>
                    </w:rPr>
                    <w:t>运输次数（次/a）</w:t>
                  </w:r>
                </w:p>
              </w:tc>
              <w:tc>
                <w:tcPr>
                  <w:tcW w:w="1959" w:type="dxa"/>
                  <w:vAlign w:val="center"/>
                </w:tcPr>
                <w:p>
                  <w:pPr>
                    <w:jc w:val="center"/>
                    <w:rPr>
                      <w:bCs/>
                      <w:snapToGrid w:val="0"/>
                      <w:kern w:val="0"/>
                    </w:rPr>
                  </w:pPr>
                  <w:r>
                    <w:rPr>
                      <w:rFonts w:hint="eastAsia"/>
                      <w:bCs/>
                      <w:snapToGrid w:val="0"/>
                      <w:kern w:val="0"/>
                    </w:rPr>
                    <w:t>重载车起尘量（t/a）</w:t>
                  </w:r>
                </w:p>
              </w:tc>
              <w:tc>
                <w:tcPr>
                  <w:tcW w:w="1134" w:type="dxa"/>
                  <w:vAlign w:val="center"/>
                </w:tcPr>
                <w:p>
                  <w:pPr>
                    <w:jc w:val="center"/>
                    <w:rPr>
                      <w:bCs/>
                      <w:snapToGrid w:val="0"/>
                      <w:kern w:val="0"/>
                    </w:rPr>
                  </w:pPr>
                  <w:r>
                    <w:rPr>
                      <w:rFonts w:hint="eastAsia"/>
                      <w:bCs/>
                      <w:snapToGrid w:val="0"/>
                      <w:kern w:val="0"/>
                    </w:rPr>
                    <w:t>起尘量合计（t/a）</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57" w:type="dxa"/>
                  <w:left w:w="108" w:type="dxa"/>
                  <w:bottom w:w="57" w:type="dxa"/>
                  <w:right w:w="108" w:type="dxa"/>
                </w:tblCellMar>
              </w:tblPrEx>
              <w:trPr>
                <w:trHeight w:val="366" w:hRule="atLeast"/>
              </w:trPr>
              <w:tc>
                <w:tcPr>
                  <w:tcW w:w="1279" w:type="dxa"/>
                  <w:vAlign w:val="center"/>
                </w:tcPr>
                <w:p>
                  <w:pPr>
                    <w:jc w:val="center"/>
                    <w:rPr>
                      <w:snapToGrid w:val="0"/>
                      <w:kern w:val="0"/>
                    </w:rPr>
                  </w:pPr>
                  <w:r>
                    <w:rPr>
                      <w:rFonts w:hint="eastAsia"/>
                      <w:snapToGrid w:val="0"/>
                      <w:kern w:val="0"/>
                    </w:rPr>
                    <w:t>原料运输车</w:t>
                  </w:r>
                </w:p>
              </w:tc>
              <w:tc>
                <w:tcPr>
                  <w:tcW w:w="998" w:type="dxa"/>
                  <w:vAlign w:val="center"/>
                </w:tcPr>
                <w:p>
                  <w:pPr>
                    <w:jc w:val="center"/>
                    <w:rPr>
                      <w:snapToGrid w:val="0"/>
                      <w:kern w:val="0"/>
                    </w:rPr>
                  </w:pPr>
                  <w:r>
                    <w:rPr>
                      <w:snapToGrid w:val="0"/>
                      <w:kern w:val="0"/>
                    </w:rPr>
                    <w:t>30</w:t>
                  </w:r>
                </w:p>
              </w:tc>
              <w:tc>
                <w:tcPr>
                  <w:tcW w:w="1123" w:type="dxa"/>
                  <w:vAlign w:val="center"/>
                </w:tcPr>
                <w:p>
                  <w:pPr>
                    <w:jc w:val="center"/>
                    <w:rPr>
                      <w:snapToGrid w:val="0"/>
                      <w:kern w:val="0"/>
                    </w:rPr>
                  </w:pPr>
                  <w:r>
                    <w:rPr>
                      <w:snapToGrid w:val="0"/>
                      <w:kern w:val="0"/>
                    </w:rPr>
                    <w:t>52</w:t>
                  </w:r>
                </w:p>
              </w:tc>
              <w:tc>
                <w:tcPr>
                  <w:tcW w:w="1443" w:type="dxa"/>
                  <w:vAlign w:val="center"/>
                </w:tcPr>
                <w:p>
                  <w:pPr>
                    <w:jc w:val="center"/>
                    <w:rPr>
                      <w:snapToGrid w:val="0"/>
                      <w:kern w:val="0"/>
                    </w:rPr>
                  </w:pPr>
                  <w:r>
                    <w:rPr>
                      <w:snapToGrid w:val="0"/>
                      <w:kern w:val="0"/>
                    </w:rPr>
                    <w:t>1000</w:t>
                  </w:r>
                </w:p>
              </w:tc>
              <w:tc>
                <w:tcPr>
                  <w:tcW w:w="1959" w:type="dxa"/>
                  <w:vAlign w:val="center"/>
                </w:tcPr>
                <w:p>
                  <w:pPr>
                    <w:jc w:val="center"/>
                    <w:rPr>
                      <w:snapToGrid w:val="0"/>
                      <w:kern w:val="0"/>
                    </w:rPr>
                  </w:pPr>
                  <w:r>
                    <w:rPr>
                      <w:rFonts w:hint="eastAsia"/>
                      <w:snapToGrid w:val="0"/>
                      <w:kern w:val="0"/>
                    </w:rPr>
                    <w:t>0.</w:t>
                  </w:r>
                  <w:r>
                    <w:rPr>
                      <w:snapToGrid w:val="0"/>
                      <w:kern w:val="0"/>
                    </w:rPr>
                    <w:t>087</w:t>
                  </w:r>
                </w:p>
              </w:tc>
              <w:tc>
                <w:tcPr>
                  <w:tcW w:w="1134" w:type="dxa"/>
                  <w:vMerge w:val="restart"/>
                  <w:vAlign w:val="center"/>
                </w:tcPr>
                <w:p>
                  <w:pPr>
                    <w:jc w:val="center"/>
                    <w:rPr>
                      <w:snapToGrid w:val="0"/>
                      <w:kern w:val="0"/>
                    </w:rPr>
                  </w:pPr>
                  <w:r>
                    <w:rPr>
                      <w:rFonts w:hint="eastAsia"/>
                      <w:snapToGrid w:val="0"/>
                      <w:kern w:val="0"/>
                    </w:rPr>
                    <w:t>0</w:t>
                  </w:r>
                  <w:r>
                    <w:rPr>
                      <w:snapToGrid w:val="0"/>
                      <w:kern w:val="0"/>
                    </w:rPr>
                    <w:t>.174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57" w:type="dxa"/>
                  <w:left w:w="108" w:type="dxa"/>
                  <w:bottom w:w="57" w:type="dxa"/>
                  <w:right w:w="108" w:type="dxa"/>
                </w:tblCellMar>
              </w:tblPrEx>
              <w:trPr>
                <w:trHeight w:val="376" w:hRule="atLeast"/>
              </w:trPr>
              <w:tc>
                <w:tcPr>
                  <w:tcW w:w="1279" w:type="dxa"/>
                  <w:vAlign w:val="center"/>
                </w:tcPr>
                <w:p>
                  <w:pPr>
                    <w:jc w:val="center"/>
                    <w:rPr>
                      <w:snapToGrid w:val="0"/>
                      <w:kern w:val="0"/>
                    </w:rPr>
                  </w:pPr>
                  <w:r>
                    <w:rPr>
                      <w:rFonts w:hint="eastAsia"/>
                      <w:snapToGrid w:val="0"/>
                      <w:kern w:val="0"/>
                    </w:rPr>
                    <w:t>产品运输车</w:t>
                  </w:r>
                </w:p>
              </w:tc>
              <w:tc>
                <w:tcPr>
                  <w:tcW w:w="998" w:type="dxa"/>
                  <w:vAlign w:val="center"/>
                </w:tcPr>
                <w:p>
                  <w:pPr>
                    <w:jc w:val="center"/>
                    <w:rPr>
                      <w:snapToGrid w:val="0"/>
                      <w:kern w:val="0"/>
                    </w:rPr>
                  </w:pPr>
                  <w:r>
                    <w:rPr>
                      <w:snapToGrid w:val="0"/>
                      <w:kern w:val="0"/>
                    </w:rPr>
                    <w:t>30</w:t>
                  </w:r>
                </w:p>
              </w:tc>
              <w:tc>
                <w:tcPr>
                  <w:tcW w:w="1123" w:type="dxa"/>
                  <w:vAlign w:val="center"/>
                </w:tcPr>
                <w:p>
                  <w:pPr>
                    <w:jc w:val="center"/>
                    <w:rPr>
                      <w:snapToGrid w:val="0"/>
                      <w:kern w:val="0"/>
                    </w:rPr>
                  </w:pPr>
                  <w:r>
                    <w:rPr>
                      <w:snapToGrid w:val="0"/>
                      <w:kern w:val="0"/>
                    </w:rPr>
                    <w:t>52</w:t>
                  </w:r>
                </w:p>
              </w:tc>
              <w:tc>
                <w:tcPr>
                  <w:tcW w:w="1443" w:type="dxa"/>
                  <w:vAlign w:val="center"/>
                </w:tcPr>
                <w:p>
                  <w:pPr>
                    <w:jc w:val="center"/>
                    <w:rPr>
                      <w:snapToGrid w:val="0"/>
                      <w:kern w:val="0"/>
                    </w:rPr>
                  </w:pPr>
                  <w:r>
                    <w:rPr>
                      <w:snapToGrid w:val="0"/>
                      <w:kern w:val="0"/>
                    </w:rPr>
                    <w:t>1000</w:t>
                  </w:r>
                </w:p>
              </w:tc>
              <w:tc>
                <w:tcPr>
                  <w:tcW w:w="1959" w:type="dxa"/>
                  <w:vAlign w:val="center"/>
                </w:tcPr>
                <w:p>
                  <w:pPr>
                    <w:jc w:val="center"/>
                    <w:rPr>
                      <w:snapToGrid w:val="0"/>
                      <w:kern w:val="0"/>
                    </w:rPr>
                  </w:pPr>
                  <w:r>
                    <w:rPr>
                      <w:snapToGrid w:val="0"/>
                      <w:kern w:val="0"/>
                    </w:rPr>
                    <w:t>0.087</w:t>
                  </w:r>
                </w:p>
              </w:tc>
              <w:tc>
                <w:tcPr>
                  <w:tcW w:w="1134" w:type="dxa"/>
                  <w:vMerge w:val="continue"/>
                  <w:vAlign w:val="center"/>
                </w:tcPr>
                <w:p>
                  <w:pPr>
                    <w:jc w:val="center"/>
                    <w:rPr>
                      <w:snapToGrid w:val="0"/>
                      <w:kern w:val="0"/>
                    </w:rPr>
                  </w:pPr>
                </w:p>
              </w:tc>
            </w:tr>
          </w:tbl>
          <w:p>
            <w:pPr>
              <w:spacing w:line="120" w:lineRule="exact"/>
              <w:ind w:firstLine="480" w:firstLineChars="200"/>
              <w:rPr>
                <w:rFonts w:hAnsi="宋体"/>
                <w:snapToGrid w:val="0"/>
                <w:kern w:val="0"/>
                <w:sz w:val="24"/>
              </w:rPr>
            </w:pPr>
          </w:p>
          <w:p>
            <w:pPr>
              <w:spacing w:line="460" w:lineRule="exact"/>
              <w:ind w:firstLine="480" w:firstLineChars="200"/>
              <w:rPr>
                <w:bCs/>
                <w:snapToGrid w:val="0"/>
                <w:kern w:val="0"/>
                <w:sz w:val="24"/>
              </w:rPr>
            </w:pPr>
            <w:r>
              <w:rPr>
                <w:rFonts w:hint="eastAsia" w:hAnsi="宋体"/>
                <w:snapToGrid w:val="0"/>
                <w:kern w:val="0"/>
                <w:sz w:val="24"/>
              </w:rPr>
              <w:t>一般情况下，道路在自然风作用下产生的扬尘所影响的范围在</w:t>
            </w:r>
            <w:r>
              <w:rPr>
                <w:rFonts w:hAnsi="宋体"/>
                <w:snapToGrid w:val="0"/>
                <w:kern w:val="0"/>
                <w:sz w:val="24"/>
              </w:rPr>
              <w:t>100m</w:t>
            </w:r>
            <w:r>
              <w:rPr>
                <w:rFonts w:hint="eastAsia" w:hAnsi="宋体"/>
                <w:snapToGrid w:val="0"/>
                <w:kern w:val="0"/>
                <w:sz w:val="24"/>
              </w:rPr>
              <w:t>以内。</w:t>
            </w:r>
            <w:r>
              <w:rPr>
                <w:rFonts w:hint="eastAsia"/>
                <w:bCs/>
                <w:snapToGrid w:val="0"/>
                <w:kern w:val="0"/>
                <w:sz w:val="24"/>
              </w:rPr>
              <w:t>为减少厂区道路扬尘对周围环境的影响，评价建议建设单位按照《河南省生态环境厅关于印发河南省工业大气污染防治6个专项方案的通知》（[2019]84号）中“河南省</w:t>
            </w:r>
            <w:r>
              <w:rPr>
                <w:bCs/>
                <w:snapToGrid w:val="0"/>
                <w:kern w:val="0"/>
                <w:sz w:val="24"/>
              </w:rPr>
              <w:t>2019</w:t>
            </w:r>
            <w:r>
              <w:rPr>
                <w:rFonts w:hint="eastAsia"/>
                <w:bCs/>
                <w:snapToGrid w:val="0"/>
                <w:kern w:val="0"/>
                <w:sz w:val="24"/>
              </w:rPr>
              <w:t>年工业企业无组织排放治理方案”中要求做到：</w:t>
            </w:r>
          </w:p>
          <w:p>
            <w:pPr>
              <w:spacing w:line="460" w:lineRule="exact"/>
              <w:ind w:firstLine="480" w:firstLineChars="200"/>
              <w:rPr>
                <w:bCs/>
                <w:snapToGrid w:val="0"/>
                <w:kern w:val="0"/>
                <w:sz w:val="24"/>
              </w:rPr>
            </w:pPr>
            <w:r>
              <w:rPr>
                <w:rFonts w:hint="eastAsia"/>
                <w:bCs/>
                <w:snapToGrid w:val="0"/>
                <w:kern w:val="0"/>
                <w:sz w:val="24"/>
              </w:rPr>
              <w:t>①厂区道路硬化，并配备专人对厂区及入厂道路定期清扫，防止积尘，加强场地洒水抑尘，以降低扬尘污染；</w:t>
            </w:r>
          </w:p>
          <w:p>
            <w:pPr>
              <w:spacing w:line="460" w:lineRule="exact"/>
              <w:ind w:firstLine="480" w:firstLineChars="200"/>
              <w:rPr>
                <w:bCs/>
                <w:snapToGrid w:val="0"/>
                <w:kern w:val="0"/>
                <w:sz w:val="24"/>
              </w:rPr>
            </w:pPr>
            <w:r>
              <w:rPr>
                <w:rFonts w:hint="eastAsia"/>
                <w:bCs/>
                <w:snapToGrid w:val="0"/>
                <w:kern w:val="0"/>
                <w:sz w:val="24"/>
              </w:rPr>
              <w:t>②厂区闲置裸露空地绿化，厂区内无裸露空地；</w:t>
            </w:r>
          </w:p>
          <w:p>
            <w:pPr>
              <w:spacing w:line="460" w:lineRule="exact"/>
              <w:ind w:firstLine="480" w:firstLineChars="200"/>
              <w:rPr>
                <w:bCs/>
                <w:snapToGrid w:val="0"/>
                <w:kern w:val="0"/>
                <w:sz w:val="24"/>
              </w:rPr>
            </w:pPr>
            <w:r>
              <w:rPr>
                <w:rFonts w:hint="eastAsia"/>
                <w:bCs/>
                <w:snapToGrid w:val="0"/>
                <w:kern w:val="0"/>
                <w:sz w:val="24"/>
              </w:rPr>
              <w:t>③厂区出厂门口配备高压清洗装置对所有车辆车轮、底盘进行冲洗，严禁带泥上路，洗车平台四周应设置洗车废水收集防治设施。</w:t>
            </w:r>
          </w:p>
          <w:p>
            <w:pPr>
              <w:spacing w:line="460" w:lineRule="exact"/>
              <w:ind w:firstLine="480" w:firstLineChars="200"/>
              <w:rPr>
                <w:snapToGrid w:val="0"/>
                <w:kern w:val="0"/>
                <w:sz w:val="24"/>
              </w:rPr>
            </w:pPr>
            <w:r>
              <w:rPr>
                <w:rFonts w:hint="eastAsia"/>
                <w:snapToGrid w:val="0"/>
                <w:kern w:val="0"/>
                <w:sz w:val="24"/>
              </w:rPr>
              <w:t>采取以上措施后，可使颗粒物量降低</w:t>
            </w:r>
            <w:r>
              <w:rPr>
                <w:snapToGrid w:val="0"/>
                <w:kern w:val="0"/>
                <w:sz w:val="24"/>
              </w:rPr>
              <w:t>8</w:t>
            </w:r>
            <w:r>
              <w:rPr>
                <w:rFonts w:hint="eastAsia"/>
                <w:snapToGrid w:val="0"/>
                <w:kern w:val="0"/>
                <w:sz w:val="24"/>
              </w:rPr>
              <w:t>0%以上，即车辆运输扬尘量约为0.0</w:t>
            </w:r>
            <w:r>
              <w:rPr>
                <w:snapToGrid w:val="0"/>
                <w:kern w:val="0"/>
                <w:sz w:val="24"/>
              </w:rPr>
              <w:t>35</w:t>
            </w:r>
            <w:r>
              <w:rPr>
                <w:rFonts w:hint="eastAsia"/>
                <w:snapToGrid w:val="0"/>
                <w:kern w:val="0"/>
                <w:sz w:val="24"/>
              </w:rPr>
              <w:t>t/a。</w:t>
            </w:r>
          </w:p>
          <w:p>
            <w:pPr>
              <w:adjustRightInd w:val="0"/>
              <w:snapToGrid w:val="0"/>
              <w:spacing w:line="460" w:lineRule="exact"/>
              <w:ind w:firstLine="480" w:firstLineChars="200"/>
              <w:rPr>
                <w:bCs/>
                <w:sz w:val="24"/>
              </w:rPr>
            </w:pPr>
            <w:r>
              <w:rPr>
                <w:rFonts w:hint="eastAsia"/>
                <w:bCs/>
                <w:sz w:val="24"/>
              </w:rPr>
              <w:t>为进一步减少工程无组织废气的影响，结合《河南省生态环境厅关于印发河南省工业大气污染防治6个专项方案的通知[2019]84号》等文件相关要求，评价要求采取以下措施：</w:t>
            </w:r>
          </w:p>
          <w:p>
            <w:pPr>
              <w:adjustRightInd w:val="0"/>
              <w:snapToGrid w:val="0"/>
              <w:spacing w:line="460" w:lineRule="exact"/>
              <w:ind w:firstLine="480" w:firstLineChars="200"/>
              <w:rPr>
                <w:bCs/>
                <w:sz w:val="24"/>
              </w:rPr>
            </w:pPr>
            <w:r>
              <w:rPr>
                <w:bCs/>
                <w:sz w:val="24"/>
              </w:rPr>
              <w:fldChar w:fldCharType="begin"/>
            </w:r>
            <w:r>
              <w:rPr>
                <w:bCs/>
                <w:sz w:val="24"/>
              </w:rPr>
              <w:instrText xml:space="preserve"> </w:instrText>
            </w:r>
            <w:r>
              <w:rPr>
                <w:rFonts w:hint="eastAsia"/>
                <w:bCs/>
                <w:sz w:val="24"/>
              </w:rPr>
              <w:instrText xml:space="preserve">= 1 \* GB3</w:instrText>
            </w:r>
            <w:r>
              <w:rPr>
                <w:bCs/>
                <w:sz w:val="24"/>
              </w:rPr>
              <w:instrText xml:space="preserve"> </w:instrText>
            </w:r>
            <w:r>
              <w:rPr>
                <w:bCs/>
                <w:sz w:val="24"/>
              </w:rPr>
              <w:fldChar w:fldCharType="separate"/>
            </w:r>
            <w:r>
              <w:rPr>
                <w:rFonts w:hint="eastAsia"/>
                <w:bCs/>
                <w:sz w:val="24"/>
              </w:rPr>
              <w:t>①</w:t>
            </w:r>
            <w:r>
              <w:rPr>
                <w:bCs/>
                <w:sz w:val="24"/>
              </w:rPr>
              <w:fldChar w:fldCharType="end"/>
            </w:r>
            <w:r>
              <w:rPr>
                <w:rFonts w:hint="eastAsia"/>
                <w:bCs/>
                <w:sz w:val="24"/>
              </w:rPr>
              <w:t>建设全封闭生产车间，</w:t>
            </w:r>
            <w:r>
              <w:rPr>
                <w:rFonts w:hint="eastAsia" w:cs="宋体"/>
                <w:kern w:val="0"/>
                <w:sz w:val="24"/>
              </w:rPr>
              <w:t>安装卷帘门、推拉门等封闭性良好且便于开关的硬质门，设备生产时将门关闭</w:t>
            </w:r>
            <w:r>
              <w:rPr>
                <w:rFonts w:hint="eastAsia"/>
                <w:bCs/>
                <w:sz w:val="24"/>
              </w:rPr>
              <w:t>；</w:t>
            </w:r>
          </w:p>
          <w:p>
            <w:pPr>
              <w:adjustRightInd w:val="0"/>
              <w:snapToGrid w:val="0"/>
              <w:spacing w:line="460" w:lineRule="exact"/>
              <w:ind w:firstLine="480" w:firstLineChars="200"/>
              <w:rPr>
                <w:bCs/>
                <w:sz w:val="24"/>
              </w:rPr>
            </w:pPr>
            <w:r>
              <w:rPr>
                <w:rFonts w:hint="eastAsia"/>
                <w:bCs/>
                <w:sz w:val="24"/>
              </w:rPr>
              <w:t>②袋式除尘器</w:t>
            </w:r>
            <w:r>
              <w:rPr>
                <w:rFonts w:hint="eastAsia" w:cs="宋体"/>
                <w:kern w:val="0"/>
                <w:sz w:val="24"/>
              </w:rPr>
              <w:t>卸灰区封闭，除尘灰采用气力输送方式输送</w:t>
            </w:r>
            <w:r>
              <w:rPr>
                <w:rFonts w:hint="eastAsia"/>
                <w:bCs/>
                <w:sz w:val="24"/>
              </w:rPr>
              <w:t>；</w:t>
            </w:r>
          </w:p>
          <w:p>
            <w:pPr>
              <w:adjustRightInd w:val="0"/>
              <w:snapToGrid w:val="0"/>
              <w:spacing w:line="460" w:lineRule="exact"/>
              <w:ind w:firstLine="480" w:firstLineChars="200"/>
              <w:rPr>
                <w:bCs/>
                <w:sz w:val="24"/>
              </w:rPr>
            </w:pPr>
            <w:r>
              <w:rPr>
                <w:rFonts w:hint="eastAsia"/>
                <w:bCs/>
                <w:sz w:val="24"/>
              </w:rPr>
              <w:t>③粉磨</w:t>
            </w:r>
            <w:r>
              <w:rPr>
                <w:bCs/>
                <w:sz w:val="24"/>
              </w:rPr>
              <w:t>机</w:t>
            </w:r>
            <w:r>
              <w:rPr>
                <w:rFonts w:hint="eastAsia"/>
                <w:bCs/>
                <w:sz w:val="24"/>
              </w:rPr>
              <w:t>及</w:t>
            </w:r>
            <w:r>
              <w:rPr>
                <w:bCs/>
                <w:sz w:val="24"/>
              </w:rPr>
              <w:t>分选机采用</w:t>
            </w:r>
            <w:r>
              <w:rPr>
                <w:rFonts w:hint="eastAsia"/>
                <w:bCs/>
                <w:sz w:val="24"/>
              </w:rPr>
              <w:t>密闭</w:t>
            </w:r>
            <w:r>
              <w:rPr>
                <w:bCs/>
                <w:sz w:val="24"/>
              </w:rPr>
              <w:t>设备，并置于封闭车间内</w:t>
            </w:r>
            <w:r>
              <w:rPr>
                <w:rFonts w:hint="eastAsia"/>
                <w:bCs/>
                <w:sz w:val="24"/>
              </w:rPr>
              <w:t>；</w:t>
            </w:r>
          </w:p>
          <w:p>
            <w:pPr>
              <w:adjustRightInd w:val="0"/>
              <w:snapToGrid w:val="0"/>
              <w:spacing w:line="460" w:lineRule="exact"/>
              <w:ind w:firstLine="480" w:firstLineChars="200"/>
              <w:rPr>
                <w:bCs/>
                <w:sz w:val="24"/>
              </w:rPr>
            </w:pPr>
            <w:r>
              <w:rPr>
                <w:rFonts w:hint="eastAsia"/>
                <w:bCs/>
                <w:sz w:val="24"/>
              </w:rPr>
              <w:t>④厂区内设置洒水装置，定期对生产及厂区地面进行洒水降尘。企业出厂口配备高压清洗装置对所有车辆车轮、底盘进行冲洗，严禁带泥上路。洗车平台四周设置洗车废水收集沉淀池；</w:t>
            </w:r>
          </w:p>
          <w:p>
            <w:pPr>
              <w:adjustRightInd w:val="0"/>
              <w:snapToGrid w:val="0"/>
              <w:spacing w:line="460" w:lineRule="exact"/>
              <w:ind w:firstLine="480" w:firstLineChars="200"/>
              <w:rPr>
                <w:bCs/>
                <w:sz w:val="24"/>
              </w:rPr>
            </w:pPr>
            <w:r>
              <w:rPr>
                <w:bCs/>
                <w:sz w:val="24"/>
              </w:rPr>
              <w:fldChar w:fldCharType="begin"/>
            </w:r>
            <w:r>
              <w:rPr>
                <w:bCs/>
                <w:sz w:val="24"/>
              </w:rPr>
              <w:instrText xml:space="preserve"> </w:instrText>
            </w:r>
            <w:r>
              <w:rPr>
                <w:rFonts w:hint="eastAsia"/>
                <w:bCs/>
                <w:sz w:val="24"/>
              </w:rPr>
              <w:instrText xml:space="preserve">= 5 \* GB3</w:instrText>
            </w:r>
            <w:r>
              <w:rPr>
                <w:bCs/>
                <w:sz w:val="24"/>
              </w:rPr>
              <w:instrText xml:space="preserve"> </w:instrText>
            </w:r>
            <w:r>
              <w:rPr>
                <w:bCs/>
                <w:sz w:val="24"/>
              </w:rPr>
              <w:fldChar w:fldCharType="separate"/>
            </w:r>
            <w:r>
              <w:rPr>
                <w:rFonts w:hint="eastAsia"/>
                <w:bCs/>
                <w:sz w:val="24"/>
              </w:rPr>
              <w:t>⑤</w:t>
            </w:r>
            <w:r>
              <w:rPr>
                <w:bCs/>
                <w:sz w:val="24"/>
              </w:rPr>
              <w:fldChar w:fldCharType="end"/>
            </w:r>
            <w:r>
              <w:rPr>
                <w:rFonts w:hint="eastAsia"/>
                <w:bCs/>
                <w:sz w:val="24"/>
              </w:rPr>
              <w:t>厂内运输车辆达到国五及以上排放标准（重型燃气车辆达到国六排放标准）。</w:t>
            </w:r>
          </w:p>
          <w:p>
            <w:pPr>
              <w:adjustRightInd w:val="0"/>
              <w:snapToGrid w:val="0"/>
              <w:spacing w:line="460" w:lineRule="exact"/>
              <w:ind w:firstLine="480" w:firstLineChars="200"/>
              <w:rPr>
                <w:bCs/>
                <w:sz w:val="24"/>
              </w:rPr>
            </w:pPr>
            <w:r>
              <w:rPr>
                <w:rFonts w:hint="eastAsia"/>
                <w:bCs/>
                <w:sz w:val="24"/>
              </w:rPr>
              <w:t>项目原料及</w:t>
            </w:r>
            <w:r>
              <w:rPr>
                <w:bCs/>
                <w:sz w:val="24"/>
              </w:rPr>
              <w:t>产品</w:t>
            </w:r>
            <w:r>
              <w:rPr>
                <w:rFonts w:hint="eastAsia"/>
                <w:bCs/>
                <w:sz w:val="24"/>
              </w:rPr>
              <w:t>运输沿线的环境敏感点为曲店村，采用全封闭罐车</w:t>
            </w:r>
            <w:r>
              <w:rPr>
                <w:bCs/>
                <w:sz w:val="24"/>
              </w:rPr>
              <w:t>运输</w:t>
            </w:r>
            <w:r>
              <w:rPr>
                <w:rFonts w:hint="eastAsia"/>
                <w:bCs/>
                <w:sz w:val="24"/>
              </w:rPr>
              <w:t>，运输车辆出厂前必须进行车辆清洗，保持车身和轮胎清洁；通过村庄时需减速慢行，减少运输扬尘，最大限度的减轻对运输车辆道路沿线居民的影响。</w:t>
            </w:r>
          </w:p>
          <w:p>
            <w:pPr>
              <w:spacing w:line="460" w:lineRule="exact"/>
              <w:ind w:firstLine="482" w:firstLineChars="200"/>
              <w:rPr>
                <w:b/>
                <w:bCs/>
                <w:snapToGrid w:val="0"/>
                <w:kern w:val="0"/>
                <w:sz w:val="24"/>
              </w:rPr>
            </w:pPr>
            <w:r>
              <w:rPr>
                <w:rFonts w:hint="eastAsia"/>
                <w:b/>
                <w:bCs/>
                <w:snapToGrid w:val="0"/>
                <w:kern w:val="0"/>
                <w:sz w:val="24"/>
              </w:rPr>
              <w:t>1.1.5本项目废气产排情况汇总</w:t>
            </w:r>
          </w:p>
          <w:p>
            <w:pPr>
              <w:widowControl/>
              <w:spacing w:line="460" w:lineRule="exact"/>
              <w:ind w:firstLine="360" w:firstLineChars="150"/>
              <w:rPr>
                <w:sz w:val="24"/>
              </w:rPr>
            </w:pPr>
            <w:r>
              <w:rPr>
                <w:rFonts w:hint="eastAsia"/>
                <w:sz w:val="24"/>
              </w:rPr>
              <w:t>根据《排污单位编码规则》（</w:t>
            </w:r>
            <w:r>
              <w:rPr>
                <w:sz w:val="24"/>
              </w:rPr>
              <w:t>HJ608-2017</w:t>
            </w:r>
            <w:r>
              <w:rPr>
                <w:rFonts w:hint="eastAsia"/>
                <w:sz w:val="24"/>
              </w:rPr>
              <w:t>）对本项目废气处理措施排气筒进行编码，原料灰筒仓</w:t>
            </w:r>
            <w:r>
              <w:rPr>
                <w:sz w:val="24"/>
              </w:rPr>
              <w:t>1#</w:t>
            </w:r>
            <w:r>
              <w:rPr>
                <w:rFonts w:hint="eastAsia"/>
                <w:sz w:val="24"/>
              </w:rPr>
              <w:t>废气经脉冲袋式除尘器处理后排气筒编码为</w:t>
            </w:r>
            <w:r>
              <w:rPr>
                <w:sz w:val="24"/>
              </w:rPr>
              <w:t>DA001</w:t>
            </w:r>
            <w:r>
              <w:rPr>
                <w:rFonts w:hint="eastAsia"/>
                <w:sz w:val="24"/>
              </w:rPr>
              <w:t>，粉磨机经</w:t>
            </w:r>
            <w:r>
              <w:rPr>
                <w:sz w:val="24"/>
              </w:rPr>
              <w:t>2#</w:t>
            </w:r>
            <w:r>
              <w:rPr>
                <w:rFonts w:hint="eastAsia"/>
                <w:sz w:val="24"/>
              </w:rPr>
              <w:t>脉冲袋式除尘器处理后排气筒编码为</w:t>
            </w:r>
            <w:r>
              <w:rPr>
                <w:sz w:val="24"/>
              </w:rPr>
              <w:t>DA002</w:t>
            </w:r>
            <w:r>
              <w:rPr>
                <w:rFonts w:hint="eastAsia"/>
                <w:sz w:val="24"/>
              </w:rPr>
              <w:t>，提升机废气经3</w:t>
            </w:r>
            <w:r>
              <w:rPr>
                <w:sz w:val="24"/>
              </w:rPr>
              <w:t>#脉冲袋式除尘器</w:t>
            </w:r>
            <w:r>
              <w:rPr>
                <w:rFonts w:hint="eastAsia"/>
                <w:sz w:val="24"/>
              </w:rPr>
              <w:t>处理后排气筒为</w:t>
            </w:r>
            <w:r>
              <w:rPr>
                <w:sz w:val="24"/>
              </w:rPr>
              <w:t>DA003</w:t>
            </w:r>
            <w:r>
              <w:rPr>
                <w:rFonts w:hint="eastAsia"/>
                <w:sz w:val="24"/>
              </w:rPr>
              <w:t>，成品仓经4</w:t>
            </w:r>
            <w:r>
              <w:rPr>
                <w:sz w:val="24"/>
              </w:rPr>
              <w:t>#</w:t>
            </w:r>
            <w:r>
              <w:rPr>
                <w:rFonts w:hint="eastAsia"/>
                <w:sz w:val="24"/>
              </w:rPr>
              <w:t>脉冲袋式除尘器处理后排气筒编码为</w:t>
            </w:r>
            <w:r>
              <w:rPr>
                <w:sz w:val="24"/>
              </w:rPr>
              <w:t>DA004</w:t>
            </w:r>
            <w:r>
              <w:rPr>
                <w:rFonts w:hint="eastAsia"/>
                <w:sz w:val="24"/>
              </w:rPr>
              <w:t>，散装机经5</w:t>
            </w:r>
            <w:r>
              <w:rPr>
                <w:sz w:val="24"/>
              </w:rPr>
              <w:t>#脉冲袋式除尘器</w:t>
            </w:r>
            <w:r>
              <w:rPr>
                <w:rFonts w:hint="eastAsia"/>
                <w:sz w:val="24"/>
              </w:rPr>
              <w:t>处理后排气筒编码为</w:t>
            </w:r>
            <w:r>
              <w:rPr>
                <w:sz w:val="24"/>
              </w:rPr>
              <w:t>DA005</w:t>
            </w:r>
            <w:r>
              <w:rPr>
                <w:rFonts w:hint="eastAsia"/>
                <w:sz w:val="24"/>
              </w:rPr>
              <w:t>。</w:t>
            </w:r>
          </w:p>
          <w:p>
            <w:pPr>
              <w:spacing w:line="460" w:lineRule="exact"/>
              <w:ind w:firstLine="480" w:firstLineChars="200"/>
              <w:rPr>
                <w:snapToGrid w:val="0"/>
                <w:kern w:val="0"/>
                <w:sz w:val="24"/>
              </w:rPr>
            </w:pPr>
            <w:r>
              <w:rPr>
                <w:rFonts w:hint="eastAsia"/>
                <w:snapToGrid w:val="0"/>
                <w:kern w:val="0"/>
                <w:sz w:val="24"/>
              </w:rPr>
              <w:t>本项目废气产排情况汇总见下表：</w:t>
            </w:r>
          </w:p>
          <w:p>
            <w:pPr>
              <w:autoSpaceDE w:val="0"/>
              <w:autoSpaceDN w:val="0"/>
              <w:adjustRightInd w:val="0"/>
              <w:snapToGrid w:val="0"/>
              <w:spacing w:line="480" w:lineRule="exact"/>
              <w:ind w:firstLine="720" w:firstLineChars="300"/>
              <w:rPr>
                <w:rFonts w:eastAsia="黑体"/>
                <w:sz w:val="24"/>
                <w:szCs w:val="22"/>
              </w:rPr>
            </w:pPr>
            <w:r>
              <w:rPr>
                <w:rFonts w:hint="eastAsia" w:eastAsia="黑体"/>
                <w:sz w:val="24"/>
                <w:szCs w:val="22"/>
              </w:rPr>
              <w:t>表</w:t>
            </w:r>
            <w:r>
              <w:rPr>
                <w:rFonts w:eastAsia="黑体"/>
                <w:sz w:val="24"/>
                <w:szCs w:val="22"/>
              </w:rPr>
              <w:t xml:space="preserve">20        </w:t>
            </w:r>
            <w:r>
              <w:rPr>
                <w:rFonts w:hint="eastAsia" w:eastAsia="黑体"/>
                <w:sz w:val="24"/>
                <w:szCs w:val="22"/>
              </w:rPr>
              <w:t>本项目运营期废气产排情况一览表</w:t>
            </w:r>
          </w:p>
          <w:tbl>
            <w:tblPr>
              <w:tblStyle w:val="22"/>
              <w:tblW w:w="7936"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28" w:type="dxa"/>
                <w:bottom w:w="0" w:type="dxa"/>
                <w:right w:w="28" w:type="dxa"/>
              </w:tblCellMar>
            </w:tblPr>
            <w:tblGrid>
              <w:gridCol w:w="321"/>
              <w:gridCol w:w="606"/>
              <w:gridCol w:w="825"/>
              <w:gridCol w:w="645"/>
              <w:gridCol w:w="708"/>
              <w:gridCol w:w="709"/>
              <w:gridCol w:w="2126"/>
              <w:gridCol w:w="567"/>
              <w:gridCol w:w="714"/>
              <w:gridCol w:w="715"/>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927" w:type="dxa"/>
                  <w:gridSpan w:val="2"/>
                  <w:vMerge w:val="restart"/>
                  <w:tcMar>
                    <w:left w:w="11" w:type="dxa"/>
                    <w:right w:w="11" w:type="dxa"/>
                  </w:tcMar>
                  <w:vAlign w:val="center"/>
                </w:tcPr>
                <w:p>
                  <w:pPr>
                    <w:pStyle w:val="63"/>
                    <w:kinsoku w:val="0"/>
                    <w:overflowPunct w:val="0"/>
                    <w:snapToGrid w:val="0"/>
                    <w:jc w:val="center"/>
                    <w:rPr>
                      <w:bCs/>
                      <w:kern w:val="2"/>
                      <w:sz w:val="18"/>
                      <w:szCs w:val="18"/>
                    </w:rPr>
                  </w:pPr>
                  <w:r>
                    <w:rPr>
                      <w:rFonts w:hint="eastAsia"/>
                      <w:bCs/>
                      <w:kern w:val="2"/>
                      <w:sz w:val="18"/>
                      <w:szCs w:val="18"/>
                    </w:rPr>
                    <w:t>污染源</w:t>
                  </w:r>
                </w:p>
              </w:tc>
              <w:tc>
                <w:tcPr>
                  <w:tcW w:w="825" w:type="dxa"/>
                  <w:vMerge w:val="restart"/>
                  <w:tcMar>
                    <w:left w:w="11" w:type="dxa"/>
                    <w:right w:w="11" w:type="dxa"/>
                  </w:tcMar>
                  <w:vAlign w:val="center"/>
                </w:tcPr>
                <w:p>
                  <w:pPr>
                    <w:pStyle w:val="63"/>
                    <w:kinsoku w:val="0"/>
                    <w:overflowPunct w:val="0"/>
                    <w:snapToGrid w:val="0"/>
                    <w:jc w:val="center"/>
                    <w:rPr>
                      <w:bCs/>
                      <w:kern w:val="2"/>
                      <w:sz w:val="18"/>
                      <w:szCs w:val="18"/>
                    </w:rPr>
                  </w:pPr>
                  <w:r>
                    <w:rPr>
                      <w:rFonts w:hint="eastAsia"/>
                      <w:bCs/>
                      <w:kern w:val="2"/>
                      <w:sz w:val="18"/>
                      <w:szCs w:val="18"/>
                    </w:rPr>
                    <w:t>污染</w:t>
                  </w:r>
                </w:p>
                <w:p>
                  <w:pPr>
                    <w:pStyle w:val="63"/>
                    <w:kinsoku w:val="0"/>
                    <w:overflowPunct w:val="0"/>
                    <w:snapToGrid w:val="0"/>
                    <w:jc w:val="center"/>
                    <w:rPr>
                      <w:bCs/>
                      <w:kern w:val="2"/>
                      <w:sz w:val="18"/>
                      <w:szCs w:val="18"/>
                    </w:rPr>
                  </w:pPr>
                  <w:r>
                    <w:rPr>
                      <w:rFonts w:hint="eastAsia"/>
                      <w:bCs/>
                      <w:kern w:val="2"/>
                      <w:sz w:val="18"/>
                      <w:szCs w:val="18"/>
                    </w:rPr>
                    <w:t>因子</w:t>
                  </w:r>
                </w:p>
              </w:tc>
              <w:tc>
                <w:tcPr>
                  <w:tcW w:w="2062" w:type="dxa"/>
                  <w:gridSpan w:val="3"/>
                  <w:tcMar>
                    <w:left w:w="11" w:type="dxa"/>
                    <w:right w:w="11" w:type="dxa"/>
                  </w:tcMar>
                  <w:vAlign w:val="center"/>
                </w:tcPr>
                <w:p>
                  <w:pPr>
                    <w:pStyle w:val="63"/>
                    <w:kinsoku w:val="0"/>
                    <w:overflowPunct w:val="0"/>
                    <w:snapToGrid w:val="0"/>
                    <w:jc w:val="center"/>
                    <w:rPr>
                      <w:bCs/>
                      <w:kern w:val="2"/>
                      <w:sz w:val="18"/>
                      <w:szCs w:val="18"/>
                    </w:rPr>
                  </w:pPr>
                  <w:r>
                    <w:rPr>
                      <w:rFonts w:hint="eastAsia"/>
                      <w:bCs/>
                      <w:kern w:val="2"/>
                      <w:sz w:val="18"/>
                      <w:szCs w:val="18"/>
                    </w:rPr>
                    <w:t>污染物产生情况</w:t>
                  </w:r>
                </w:p>
              </w:tc>
              <w:tc>
                <w:tcPr>
                  <w:tcW w:w="2126" w:type="dxa"/>
                  <w:vMerge w:val="restart"/>
                  <w:tcMar>
                    <w:left w:w="11" w:type="dxa"/>
                    <w:right w:w="11" w:type="dxa"/>
                  </w:tcMar>
                  <w:vAlign w:val="center"/>
                </w:tcPr>
                <w:p>
                  <w:pPr>
                    <w:pStyle w:val="63"/>
                    <w:kinsoku w:val="0"/>
                    <w:overflowPunct w:val="0"/>
                    <w:snapToGrid w:val="0"/>
                    <w:jc w:val="center"/>
                    <w:rPr>
                      <w:bCs/>
                      <w:kern w:val="2"/>
                      <w:sz w:val="18"/>
                      <w:szCs w:val="18"/>
                    </w:rPr>
                  </w:pPr>
                  <w:r>
                    <w:rPr>
                      <w:rFonts w:hint="eastAsia"/>
                      <w:bCs/>
                      <w:kern w:val="2"/>
                      <w:sz w:val="18"/>
                      <w:szCs w:val="18"/>
                    </w:rPr>
                    <w:t>治理措施</w:t>
                  </w:r>
                </w:p>
              </w:tc>
              <w:tc>
                <w:tcPr>
                  <w:tcW w:w="1996" w:type="dxa"/>
                  <w:gridSpan w:val="3"/>
                  <w:tcMar>
                    <w:left w:w="11" w:type="dxa"/>
                    <w:right w:w="11" w:type="dxa"/>
                  </w:tcMar>
                  <w:vAlign w:val="center"/>
                </w:tcPr>
                <w:p>
                  <w:pPr>
                    <w:pStyle w:val="63"/>
                    <w:kinsoku w:val="0"/>
                    <w:overflowPunct w:val="0"/>
                    <w:snapToGrid w:val="0"/>
                    <w:jc w:val="center"/>
                    <w:rPr>
                      <w:bCs/>
                      <w:kern w:val="2"/>
                      <w:sz w:val="18"/>
                      <w:szCs w:val="18"/>
                    </w:rPr>
                  </w:pPr>
                  <w:r>
                    <w:rPr>
                      <w:rFonts w:hint="eastAsia"/>
                      <w:bCs/>
                      <w:kern w:val="2"/>
                      <w:sz w:val="18"/>
                      <w:szCs w:val="18"/>
                    </w:rPr>
                    <w:t>污染物排放情况</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927" w:type="dxa"/>
                  <w:gridSpan w:val="2"/>
                  <w:vMerge w:val="continue"/>
                  <w:tcMar>
                    <w:left w:w="11" w:type="dxa"/>
                    <w:right w:w="11" w:type="dxa"/>
                  </w:tcMar>
                  <w:vAlign w:val="center"/>
                </w:tcPr>
                <w:p>
                  <w:pPr>
                    <w:widowControl/>
                    <w:jc w:val="center"/>
                    <w:rPr>
                      <w:bCs/>
                      <w:sz w:val="18"/>
                      <w:szCs w:val="18"/>
                    </w:rPr>
                  </w:pPr>
                </w:p>
              </w:tc>
              <w:tc>
                <w:tcPr>
                  <w:tcW w:w="825" w:type="dxa"/>
                  <w:vMerge w:val="continue"/>
                  <w:tcMar>
                    <w:left w:w="11" w:type="dxa"/>
                    <w:right w:w="11" w:type="dxa"/>
                  </w:tcMar>
                  <w:vAlign w:val="center"/>
                </w:tcPr>
                <w:p>
                  <w:pPr>
                    <w:widowControl/>
                    <w:jc w:val="center"/>
                    <w:rPr>
                      <w:bCs/>
                      <w:sz w:val="18"/>
                      <w:szCs w:val="18"/>
                    </w:rPr>
                  </w:pPr>
                </w:p>
              </w:tc>
              <w:tc>
                <w:tcPr>
                  <w:tcW w:w="645" w:type="dxa"/>
                  <w:tcMar>
                    <w:left w:w="11" w:type="dxa"/>
                    <w:right w:w="11" w:type="dxa"/>
                  </w:tcMar>
                  <w:vAlign w:val="center"/>
                </w:tcPr>
                <w:p>
                  <w:pPr>
                    <w:pStyle w:val="63"/>
                    <w:kinsoku w:val="0"/>
                    <w:overflowPunct w:val="0"/>
                    <w:snapToGrid w:val="0"/>
                    <w:jc w:val="center"/>
                    <w:rPr>
                      <w:bCs/>
                      <w:kern w:val="2"/>
                      <w:sz w:val="18"/>
                      <w:szCs w:val="18"/>
                    </w:rPr>
                  </w:pPr>
                  <w:r>
                    <w:rPr>
                      <w:rFonts w:hint="eastAsia"/>
                      <w:bCs/>
                      <w:kern w:val="2"/>
                      <w:sz w:val="18"/>
                      <w:szCs w:val="18"/>
                    </w:rPr>
                    <w:t>产生量</w:t>
                  </w:r>
                  <w:r>
                    <w:rPr>
                      <w:bCs/>
                      <w:kern w:val="2"/>
                      <w:sz w:val="18"/>
                      <w:szCs w:val="18"/>
                    </w:rPr>
                    <w:t>t/a</w:t>
                  </w:r>
                </w:p>
              </w:tc>
              <w:tc>
                <w:tcPr>
                  <w:tcW w:w="708" w:type="dxa"/>
                  <w:tcMar>
                    <w:left w:w="11" w:type="dxa"/>
                    <w:right w:w="11" w:type="dxa"/>
                  </w:tcMar>
                  <w:vAlign w:val="center"/>
                </w:tcPr>
                <w:p>
                  <w:pPr>
                    <w:pStyle w:val="63"/>
                    <w:kinsoku w:val="0"/>
                    <w:overflowPunct w:val="0"/>
                    <w:snapToGrid w:val="0"/>
                    <w:jc w:val="center"/>
                    <w:rPr>
                      <w:bCs/>
                      <w:kern w:val="2"/>
                      <w:sz w:val="18"/>
                      <w:szCs w:val="18"/>
                    </w:rPr>
                  </w:pPr>
                  <w:r>
                    <w:rPr>
                      <w:rFonts w:hint="eastAsia"/>
                      <w:bCs/>
                      <w:kern w:val="2"/>
                      <w:sz w:val="18"/>
                      <w:szCs w:val="18"/>
                    </w:rPr>
                    <w:t>产生</w:t>
                  </w:r>
                </w:p>
                <w:p>
                  <w:pPr>
                    <w:pStyle w:val="63"/>
                    <w:kinsoku w:val="0"/>
                    <w:overflowPunct w:val="0"/>
                    <w:snapToGrid w:val="0"/>
                    <w:jc w:val="center"/>
                    <w:rPr>
                      <w:bCs/>
                      <w:kern w:val="2"/>
                      <w:sz w:val="18"/>
                      <w:szCs w:val="18"/>
                    </w:rPr>
                  </w:pPr>
                  <w:r>
                    <w:rPr>
                      <w:rFonts w:hint="eastAsia"/>
                      <w:bCs/>
                      <w:kern w:val="2"/>
                      <w:sz w:val="18"/>
                      <w:szCs w:val="18"/>
                    </w:rPr>
                    <w:t>速率</w:t>
                  </w:r>
                  <w:r>
                    <w:rPr>
                      <w:bCs/>
                      <w:kern w:val="2"/>
                      <w:sz w:val="18"/>
                      <w:szCs w:val="18"/>
                    </w:rPr>
                    <w:t>kg/h</w:t>
                  </w:r>
                </w:p>
              </w:tc>
              <w:tc>
                <w:tcPr>
                  <w:tcW w:w="709" w:type="dxa"/>
                  <w:tcMar>
                    <w:left w:w="11" w:type="dxa"/>
                    <w:right w:w="11" w:type="dxa"/>
                  </w:tcMar>
                  <w:vAlign w:val="center"/>
                </w:tcPr>
                <w:p>
                  <w:pPr>
                    <w:pStyle w:val="63"/>
                    <w:kinsoku w:val="0"/>
                    <w:overflowPunct w:val="0"/>
                    <w:snapToGrid w:val="0"/>
                    <w:jc w:val="center"/>
                    <w:rPr>
                      <w:bCs/>
                      <w:kern w:val="2"/>
                      <w:sz w:val="18"/>
                      <w:szCs w:val="18"/>
                    </w:rPr>
                  </w:pPr>
                  <w:r>
                    <w:rPr>
                      <w:rFonts w:hint="eastAsia"/>
                      <w:bCs/>
                      <w:kern w:val="2"/>
                      <w:sz w:val="18"/>
                      <w:szCs w:val="18"/>
                    </w:rPr>
                    <w:t>产生</w:t>
                  </w:r>
                </w:p>
                <w:p>
                  <w:pPr>
                    <w:pStyle w:val="63"/>
                    <w:kinsoku w:val="0"/>
                    <w:overflowPunct w:val="0"/>
                    <w:snapToGrid w:val="0"/>
                    <w:jc w:val="center"/>
                    <w:rPr>
                      <w:bCs/>
                      <w:kern w:val="2"/>
                      <w:sz w:val="18"/>
                      <w:szCs w:val="18"/>
                    </w:rPr>
                  </w:pPr>
                  <w:r>
                    <w:rPr>
                      <w:rFonts w:hint="eastAsia"/>
                      <w:bCs/>
                      <w:kern w:val="2"/>
                      <w:sz w:val="18"/>
                      <w:szCs w:val="18"/>
                    </w:rPr>
                    <w:t>浓度</w:t>
                  </w:r>
                  <w:r>
                    <w:rPr>
                      <w:bCs/>
                      <w:kern w:val="2"/>
                      <w:sz w:val="18"/>
                      <w:szCs w:val="18"/>
                    </w:rPr>
                    <w:t>mg/m</w:t>
                  </w:r>
                  <w:r>
                    <w:rPr>
                      <w:bCs/>
                      <w:kern w:val="2"/>
                      <w:sz w:val="18"/>
                      <w:szCs w:val="18"/>
                      <w:vertAlign w:val="superscript"/>
                    </w:rPr>
                    <w:t>3</w:t>
                  </w:r>
                </w:p>
              </w:tc>
              <w:tc>
                <w:tcPr>
                  <w:tcW w:w="2126" w:type="dxa"/>
                  <w:vMerge w:val="continue"/>
                  <w:tcMar>
                    <w:left w:w="11" w:type="dxa"/>
                    <w:right w:w="11" w:type="dxa"/>
                  </w:tcMar>
                  <w:vAlign w:val="center"/>
                </w:tcPr>
                <w:p>
                  <w:pPr>
                    <w:widowControl/>
                    <w:jc w:val="center"/>
                    <w:rPr>
                      <w:bCs/>
                      <w:sz w:val="18"/>
                      <w:szCs w:val="18"/>
                    </w:rPr>
                  </w:pPr>
                </w:p>
              </w:tc>
              <w:tc>
                <w:tcPr>
                  <w:tcW w:w="567" w:type="dxa"/>
                  <w:tcMar>
                    <w:left w:w="11" w:type="dxa"/>
                    <w:right w:w="11" w:type="dxa"/>
                  </w:tcMar>
                  <w:vAlign w:val="center"/>
                </w:tcPr>
                <w:p>
                  <w:pPr>
                    <w:pStyle w:val="63"/>
                    <w:kinsoku w:val="0"/>
                    <w:overflowPunct w:val="0"/>
                    <w:snapToGrid w:val="0"/>
                    <w:jc w:val="center"/>
                    <w:rPr>
                      <w:bCs/>
                      <w:kern w:val="2"/>
                      <w:sz w:val="18"/>
                      <w:szCs w:val="18"/>
                    </w:rPr>
                  </w:pPr>
                  <w:r>
                    <w:rPr>
                      <w:rFonts w:hint="eastAsia"/>
                      <w:bCs/>
                      <w:kern w:val="2"/>
                      <w:sz w:val="18"/>
                      <w:szCs w:val="18"/>
                    </w:rPr>
                    <w:t>排放量</w:t>
                  </w:r>
                  <w:r>
                    <w:rPr>
                      <w:bCs/>
                      <w:kern w:val="2"/>
                      <w:sz w:val="18"/>
                      <w:szCs w:val="18"/>
                    </w:rPr>
                    <w:t>t/a</w:t>
                  </w:r>
                </w:p>
              </w:tc>
              <w:tc>
                <w:tcPr>
                  <w:tcW w:w="714" w:type="dxa"/>
                  <w:tcMar>
                    <w:left w:w="11" w:type="dxa"/>
                    <w:right w:w="11" w:type="dxa"/>
                  </w:tcMar>
                  <w:vAlign w:val="center"/>
                </w:tcPr>
                <w:p>
                  <w:pPr>
                    <w:pStyle w:val="63"/>
                    <w:kinsoku w:val="0"/>
                    <w:overflowPunct w:val="0"/>
                    <w:snapToGrid w:val="0"/>
                    <w:jc w:val="center"/>
                    <w:rPr>
                      <w:bCs/>
                      <w:kern w:val="2"/>
                      <w:sz w:val="18"/>
                      <w:szCs w:val="18"/>
                    </w:rPr>
                  </w:pPr>
                  <w:r>
                    <w:rPr>
                      <w:rFonts w:hint="eastAsia"/>
                      <w:bCs/>
                      <w:kern w:val="2"/>
                      <w:sz w:val="18"/>
                      <w:szCs w:val="18"/>
                    </w:rPr>
                    <w:t>排放</w:t>
                  </w:r>
                </w:p>
                <w:p>
                  <w:pPr>
                    <w:pStyle w:val="63"/>
                    <w:kinsoku w:val="0"/>
                    <w:overflowPunct w:val="0"/>
                    <w:snapToGrid w:val="0"/>
                    <w:jc w:val="center"/>
                    <w:rPr>
                      <w:bCs/>
                      <w:kern w:val="2"/>
                      <w:sz w:val="18"/>
                      <w:szCs w:val="18"/>
                    </w:rPr>
                  </w:pPr>
                  <w:r>
                    <w:rPr>
                      <w:rFonts w:hint="eastAsia"/>
                      <w:bCs/>
                      <w:kern w:val="2"/>
                      <w:sz w:val="18"/>
                      <w:szCs w:val="18"/>
                    </w:rPr>
                    <w:t>速率</w:t>
                  </w:r>
                  <w:r>
                    <w:rPr>
                      <w:bCs/>
                      <w:kern w:val="2"/>
                      <w:sz w:val="18"/>
                      <w:szCs w:val="18"/>
                    </w:rPr>
                    <w:t>kg/h</w:t>
                  </w:r>
                </w:p>
              </w:tc>
              <w:tc>
                <w:tcPr>
                  <w:tcW w:w="715" w:type="dxa"/>
                  <w:tcMar>
                    <w:left w:w="11" w:type="dxa"/>
                    <w:right w:w="11" w:type="dxa"/>
                  </w:tcMar>
                  <w:vAlign w:val="center"/>
                </w:tcPr>
                <w:p>
                  <w:pPr>
                    <w:pStyle w:val="63"/>
                    <w:kinsoku w:val="0"/>
                    <w:overflowPunct w:val="0"/>
                    <w:snapToGrid w:val="0"/>
                    <w:jc w:val="center"/>
                    <w:rPr>
                      <w:bCs/>
                      <w:kern w:val="2"/>
                      <w:sz w:val="18"/>
                      <w:szCs w:val="18"/>
                    </w:rPr>
                  </w:pPr>
                  <w:r>
                    <w:rPr>
                      <w:rFonts w:hint="eastAsia"/>
                      <w:bCs/>
                      <w:kern w:val="2"/>
                      <w:sz w:val="18"/>
                      <w:szCs w:val="18"/>
                    </w:rPr>
                    <w:t>排放</w:t>
                  </w:r>
                </w:p>
                <w:p>
                  <w:pPr>
                    <w:pStyle w:val="63"/>
                    <w:kinsoku w:val="0"/>
                    <w:overflowPunct w:val="0"/>
                    <w:snapToGrid w:val="0"/>
                    <w:jc w:val="center"/>
                    <w:rPr>
                      <w:bCs/>
                      <w:kern w:val="2"/>
                      <w:sz w:val="18"/>
                      <w:szCs w:val="18"/>
                    </w:rPr>
                  </w:pPr>
                  <w:r>
                    <w:rPr>
                      <w:rFonts w:hint="eastAsia"/>
                      <w:bCs/>
                      <w:kern w:val="2"/>
                      <w:sz w:val="18"/>
                      <w:szCs w:val="18"/>
                    </w:rPr>
                    <w:t>浓度</w:t>
                  </w:r>
                  <w:r>
                    <w:rPr>
                      <w:bCs/>
                      <w:kern w:val="2"/>
                      <w:sz w:val="18"/>
                      <w:szCs w:val="18"/>
                    </w:rPr>
                    <w:t>mg/m</w:t>
                  </w:r>
                  <w:r>
                    <w:rPr>
                      <w:bCs/>
                      <w:kern w:val="2"/>
                      <w:sz w:val="18"/>
                      <w:szCs w:val="18"/>
                      <w:vertAlign w:val="superscript"/>
                    </w:rPr>
                    <w:t>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321" w:type="dxa"/>
                  <w:vMerge w:val="restart"/>
                  <w:tcMar>
                    <w:left w:w="11" w:type="dxa"/>
                    <w:right w:w="11" w:type="dxa"/>
                  </w:tcMar>
                  <w:vAlign w:val="center"/>
                </w:tcPr>
                <w:p>
                  <w:pPr>
                    <w:pStyle w:val="63"/>
                    <w:kinsoku w:val="0"/>
                    <w:overflowPunct w:val="0"/>
                    <w:snapToGrid w:val="0"/>
                    <w:jc w:val="center"/>
                    <w:rPr>
                      <w:kern w:val="2"/>
                      <w:sz w:val="18"/>
                      <w:szCs w:val="18"/>
                    </w:rPr>
                  </w:pPr>
                  <w:r>
                    <w:rPr>
                      <w:rFonts w:hint="eastAsia"/>
                      <w:kern w:val="2"/>
                      <w:sz w:val="18"/>
                      <w:szCs w:val="18"/>
                    </w:rPr>
                    <w:t>有组织废气</w:t>
                  </w:r>
                </w:p>
              </w:tc>
              <w:tc>
                <w:tcPr>
                  <w:tcW w:w="606" w:type="dxa"/>
                  <w:tcMar>
                    <w:left w:w="11" w:type="dxa"/>
                    <w:right w:w="11" w:type="dxa"/>
                  </w:tcMar>
                  <w:vAlign w:val="center"/>
                </w:tcPr>
                <w:p>
                  <w:pPr>
                    <w:snapToGrid w:val="0"/>
                    <w:jc w:val="center"/>
                    <w:rPr>
                      <w:snapToGrid w:val="0"/>
                      <w:kern w:val="0"/>
                      <w:sz w:val="18"/>
                      <w:szCs w:val="18"/>
                    </w:rPr>
                  </w:pPr>
                  <w:r>
                    <w:rPr>
                      <w:rFonts w:hint="eastAsia"/>
                      <w:snapToGrid w:val="0"/>
                      <w:kern w:val="0"/>
                      <w:sz w:val="18"/>
                      <w:szCs w:val="18"/>
                    </w:rPr>
                    <w:t>原料料仓废气</w:t>
                  </w:r>
                </w:p>
              </w:tc>
              <w:tc>
                <w:tcPr>
                  <w:tcW w:w="825" w:type="dxa"/>
                  <w:tcMar>
                    <w:left w:w="11" w:type="dxa"/>
                    <w:right w:w="11" w:type="dxa"/>
                  </w:tcMar>
                  <w:vAlign w:val="center"/>
                </w:tcPr>
                <w:p>
                  <w:pPr>
                    <w:snapToGrid w:val="0"/>
                    <w:jc w:val="center"/>
                    <w:rPr>
                      <w:snapToGrid w:val="0"/>
                      <w:kern w:val="0"/>
                      <w:sz w:val="18"/>
                      <w:szCs w:val="18"/>
                    </w:rPr>
                  </w:pPr>
                  <w:r>
                    <w:rPr>
                      <w:rFonts w:hint="eastAsia"/>
                      <w:snapToGrid w:val="0"/>
                      <w:kern w:val="0"/>
                      <w:sz w:val="18"/>
                      <w:szCs w:val="18"/>
                    </w:rPr>
                    <w:t>颗粒物</w:t>
                  </w:r>
                </w:p>
              </w:tc>
              <w:tc>
                <w:tcPr>
                  <w:tcW w:w="645" w:type="dxa"/>
                  <w:tcMar>
                    <w:left w:w="11" w:type="dxa"/>
                    <w:right w:w="11" w:type="dxa"/>
                  </w:tcMar>
                  <w:vAlign w:val="center"/>
                </w:tcPr>
                <w:p>
                  <w:pPr>
                    <w:snapToGrid w:val="0"/>
                    <w:jc w:val="center"/>
                    <w:rPr>
                      <w:snapToGrid w:val="0"/>
                      <w:kern w:val="0"/>
                      <w:sz w:val="18"/>
                      <w:szCs w:val="18"/>
                    </w:rPr>
                  </w:pPr>
                  <w:r>
                    <w:rPr>
                      <w:snapToGrid w:val="0"/>
                      <w:kern w:val="0"/>
                      <w:sz w:val="18"/>
                      <w:szCs w:val="18"/>
                    </w:rPr>
                    <w:t>3.6</w:t>
                  </w:r>
                </w:p>
              </w:tc>
              <w:tc>
                <w:tcPr>
                  <w:tcW w:w="708" w:type="dxa"/>
                  <w:tcMar>
                    <w:left w:w="11" w:type="dxa"/>
                    <w:right w:w="11" w:type="dxa"/>
                  </w:tcMar>
                  <w:vAlign w:val="center"/>
                </w:tcPr>
                <w:p>
                  <w:pPr>
                    <w:snapToGrid w:val="0"/>
                    <w:jc w:val="center"/>
                    <w:rPr>
                      <w:snapToGrid w:val="0"/>
                      <w:kern w:val="0"/>
                      <w:sz w:val="18"/>
                      <w:szCs w:val="18"/>
                    </w:rPr>
                  </w:pPr>
                  <w:r>
                    <w:rPr>
                      <w:snapToGrid w:val="0"/>
                      <w:kern w:val="0"/>
                      <w:sz w:val="18"/>
                      <w:szCs w:val="18"/>
                    </w:rPr>
                    <w:t>5.40</w:t>
                  </w:r>
                </w:p>
              </w:tc>
              <w:tc>
                <w:tcPr>
                  <w:tcW w:w="709" w:type="dxa"/>
                  <w:tcMar>
                    <w:left w:w="11" w:type="dxa"/>
                    <w:right w:w="11" w:type="dxa"/>
                  </w:tcMar>
                  <w:vAlign w:val="center"/>
                </w:tcPr>
                <w:p>
                  <w:pPr>
                    <w:snapToGrid w:val="0"/>
                    <w:jc w:val="center"/>
                    <w:rPr>
                      <w:snapToGrid w:val="0"/>
                      <w:kern w:val="0"/>
                      <w:sz w:val="18"/>
                      <w:szCs w:val="18"/>
                    </w:rPr>
                  </w:pPr>
                  <w:r>
                    <w:rPr>
                      <w:snapToGrid w:val="0"/>
                      <w:kern w:val="0"/>
                      <w:sz w:val="18"/>
                      <w:szCs w:val="18"/>
                    </w:rPr>
                    <w:t>2000</w:t>
                  </w:r>
                </w:p>
              </w:tc>
              <w:tc>
                <w:tcPr>
                  <w:tcW w:w="2126" w:type="dxa"/>
                  <w:tcMar>
                    <w:left w:w="11" w:type="dxa"/>
                    <w:right w:w="11" w:type="dxa"/>
                  </w:tcMar>
                  <w:vAlign w:val="center"/>
                </w:tcPr>
                <w:p>
                  <w:pPr>
                    <w:snapToGrid w:val="0"/>
                    <w:spacing w:line="240" w:lineRule="exact"/>
                    <w:jc w:val="left"/>
                    <w:rPr>
                      <w:snapToGrid w:val="0"/>
                      <w:kern w:val="0"/>
                      <w:sz w:val="18"/>
                      <w:szCs w:val="18"/>
                    </w:rPr>
                  </w:pPr>
                  <w:r>
                    <w:rPr>
                      <w:rFonts w:hint="eastAsia"/>
                      <w:snapToGrid w:val="0"/>
                      <w:kern w:val="0"/>
                      <w:sz w:val="18"/>
                      <w:szCs w:val="18"/>
                    </w:rPr>
                    <w:t>仓顶1套脉冲袋式除尘器（1#）</w:t>
                  </w:r>
                  <w:r>
                    <w:rPr>
                      <w:sz w:val="18"/>
                      <w:szCs w:val="18"/>
                    </w:rPr>
                    <w:t>+19</w:t>
                  </w:r>
                  <w:r>
                    <w:rPr>
                      <w:rFonts w:hint="eastAsia"/>
                      <w:sz w:val="18"/>
                      <w:szCs w:val="18"/>
                    </w:rPr>
                    <w:t>m高排气筒（DA001）排放，风量为2</w:t>
                  </w:r>
                  <w:r>
                    <w:rPr>
                      <w:sz w:val="18"/>
                      <w:szCs w:val="18"/>
                    </w:rPr>
                    <w:t>7</w:t>
                  </w:r>
                  <w:r>
                    <w:rPr>
                      <w:rFonts w:hint="eastAsia"/>
                      <w:sz w:val="18"/>
                      <w:szCs w:val="18"/>
                    </w:rPr>
                    <w:t>00m</w:t>
                  </w:r>
                  <w:r>
                    <w:rPr>
                      <w:sz w:val="18"/>
                      <w:szCs w:val="18"/>
                      <w:vertAlign w:val="superscript"/>
                    </w:rPr>
                    <w:t>3</w:t>
                  </w:r>
                  <w:r>
                    <w:rPr>
                      <w:rFonts w:hint="eastAsia"/>
                      <w:sz w:val="18"/>
                      <w:szCs w:val="18"/>
                    </w:rPr>
                    <w:t>/</w:t>
                  </w:r>
                  <w:r>
                    <w:rPr>
                      <w:sz w:val="18"/>
                      <w:szCs w:val="18"/>
                    </w:rPr>
                    <w:t>h</w:t>
                  </w:r>
                </w:p>
              </w:tc>
              <w:tc>
                <w:tcPr>
                  <w:tcW w:w="567" w:type="dxa"/>
                  <w:tcMar>
                    <w:left w:w="11" w:type="dxa"/>
                    <w:right w:w="11" w:type="dxa"/>
                  </w:tcMar>
                  <w:vAlign w:val="center"/>
                </w:tcPr>
                <w:p>
                  <w:pPr>
                    <w:snapToGrid w:val="0"/>
                    <w:jc w:val="center"/>
                    <w:rPr>
                      <w:snapToGrid w:val="0"/>
                      <w:kern w:val="0"/>
                      <w:sz w:val="18"/>
                      <w:szCs w:val="18"/>
                    </w:rPr>
                  </w:pPr>
                  <w:r>
                    <w:rPr>
                      <w:snapToGrid w:val="0"/>
                      <w:kern w:val="0"/>
                      <w:sz w:val="18"/>
                      <w:szCs w:val="18"/>
                    </w:rPr>
                    <w:t>0.011</w:t>
                  </w:r>
                </w:p>
              </w:tc>
              <w:tc>
                <w:tcPr>
                  <w:tcW w:w="714" w:type="dxa"/>
                  <w:tcMar>
                    <w:left w:w="11" w:type="dxa"/>
                    <w:right w:w="11" w:type="dxa"/>
                  </w:tcMar>
                  <w:vAlign w:val="center"/>
                </w:tcPr>
                <w:p>
                  <w:pPr>
                    <w:snapToGrid w:val="0"/>
                    <w:jc w:val="center"/>
                    <w:rPr>
                      <w:snapToGrid w:val="0"/>
                      <w:kern w:val="0"/>
                      <w:sz w:val="18"/>
                      <w:szCs w:val="18"/>
                    </w:rPr>
                  </w:pPr>
                  <w:r>
                    <w:rPr>
                      <w:snapToGrid w:val="0"/>
                      <w:kern w:val="0"/>
                      <w:sz w:val="18"/>
                      <w:szCs w:val="18"/>
                    </w:rPr>
                    <w:t>0.0162</w:t>
                  </w:r>
                </w:p>
              </w:tc>
              <w:tc>
                <w:tcPr>
                  <w:tcW w:w="715" w:type="dxa"/>
                  <w:tcMar>
                    <w:left w:w="11" w:type="dxa"/>
                    <w:right w:w="11" w:type="dxa"/>
                  </w:tcMar>
                  <w:vAlign w:val="center"/>
                </w:tcPr>
                <w:p>
                  <w:pPr>
                    <w:snapToGrid w:val="0"/>
                    <w:jc w:val="center"/>
                    <w:rPr>
                      <w:snapToGrid w:val="0"/>
                      <w:kern w:val="0"/>
                      <w:sz w:val="18"/>
                      <w:szCs w:val="18"/>
                    </w:rPr>
                  </w:pPr>
                  <w:r>
                    <w:rPr>
                      <w:snapToGrid w:val="0"/>
                      <w:kern w:val="0"/>
                      <w:sz w:val="18"/>
                      <w:szCs w:val="18"/>
                    </w:rPr>
                    <w:t>6.0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495" w:hRule="atLeast"/>
                <w:jc w:val="center"/>
              </w:trPr>
              <w:tc>
                <w:tcPr>
                  <w:tcW w:w="321" w:type="dxa"/>
                  <w:vMerge w:val="continue"/>
                  <w:tcMar>
                    <w:left w:w="11" w:type="dxa"/>
                    <w:right w:w="11" w:type="dxa"/>
                  </w:tcMar>
                  <w:vAlign w:val="center"/>
                </w:tcPr>
                <w:p>
                  <w:pPr>
                    <w:pStyle w:val="63"/>
                    <w:kinsoku w:val="0"/>
                    <w:overflowPunct w:val="0"/>
                    <w:snapToGrid w:val="0"/>
                    <w:jc w:val="center"/>
                    <w:rPr>
                      <w:kern w:val="2"/>
                      <w:sz w:val="18"/>
                      <w:szCs w:val="18"/>
                    </w:rPr>
                  </w:pPr>
                </w:p>
              </w:tc>
              <w:tc>
                <w:tcPr>
                  <w:tcW w:w="606" w:type="dxa"/>
                  <w:tcMar>
                    <w:left w:w="11" w:type="dxa"/>
                    <w:right w:w="11" w:type="dxa"/>
                  </w:tcMar>
                  <w:vAlign w:val="center"/>
                </w:tcPr>
                <w:p>
                  <w:pPr>
                    <w:pStyle w:val="63"/>
                    <w:kinsoku w:val="0"/>
                    <w:overflowPunct w:val="0"/>
                    <w:snapToGrid w:val="0"/>
                    <w:jc w:val="center"/>
                    <w:rPr>
                      <w:kern w:val="2"/>
                      <w:sz w:val="18"/>
                      <w:szCs w:val="18"/>
                    </w:rPr>
                  </w:pPr>
                  <w:r>
                    <w:rPr>
                      <w:rFonts w:hint="eastAsia"/>
                      <w:kern w:val="2"/>
                      <w:sz w:val="18"/>
                      <w:szCs w:val="18"/>
                    </w:rPr>
                    <w:t>粉磨废气</w:t>
                  </w:r>
                </w:p>
              </w:tc>
              <w:tc>
                <w:tcPr>
                  <w:tcW w:w="825" w:type="dxa"/>
                  <w:tcMar>
                    <w:left w:w="11" w:type="dxa"/>
                    <w:right w:w="11" w:type="dxa"/>
                  </w:tcMar>
                  <w:vAlign w:val="center"/>
                </w:tcPr>
                <w:p>
                  <w:pPr>
                    <w:pStyle w:val="63"/>
                    <w:kinsoku w:val="0"/>
                    <w:overflowPunct w:val="0"/>
                    <w:snapToGrid w:val="0"/>
                    <w:jc w:val="center"/>
                    <w:rPr>
                      <w:kern w:val="2"/>
                      <w:sz w:val="18"/>
                      <w:szCs w:val="18"/>
                    </w:rPr>
                  </w:pPr>
                  <w:r>
                    <w:rPr>
                      <w:rFonts w:hint="eastAsia"/>
                      <w:kern w:val="2"/>
                      <w:sz w:val="18"/>
                      <w:szCs w:val="18"/>
                    </w:rPr>
                    <w:t>颗粒物</w:t>
                  </w:r>
                </w:p>
              </w:tc>
              <w:tc>
                <w:tcPr>
                  <w:tcW w:w="645" w:type="dxa"/>
                  <w:tcMar>
                    <w:left w:w="11" w:type="dxa"/>
                    <w:right w:w="11" w:type="dxa"/>
                  </w:tcMar>
                  <w:vAlign w:val="center"/>
                </w:tcPr>
                <w:p>
                  <w:pPr>
                    <w:pStyle w:val="63"/>
                    <w:kinsoku w:val="0"/>
                    <w:overflowPunct w:val="0"/>
                    <w:snapToGrid w:val="0"/>
                    <w:jc w:val="center"/>
                    <w:rPr>
                      <w:kern w:val="2"/>
                      <w:sz w:val="18"/>
                      <w:szCs w:val="18"/>
                    </w:rPr>
                  </w:pPr>
                  <w:r>
                    <w:rPr>
                      <w:kern w:val="2"/>
                      <w:sz w:val="18"/>
                      <w:szCs w:val="18"/>
                    </w:rPr>
                    <w:t>29.45</w:t>
                  </w:r>
                </w:p>
              </w:tc>
              <w:tc>
                <w:tcPr>
                  <w:tcW w:w="708" w:type="dxa"/>
                  <w:tcMar>
                    <w:left w:w="11" w:type="dxa"/>
                    <w:right w:w="11" w:type="dxa"/>
                  </w:tcMar>
                  <w:vAlign w:val="center"/>
                </w:tcPr>
                <w:p>
                  <w:pPr>
                    <w:pStyle w:val="63"/>
                    <w:kinsoku w:val="0"/>
                    <w:overflowPunct w:val="0"/>
                    <w:snapToGrid w:val="0"/>
                    <w:jc w:val="center"/>
                    <w:rPr>
                      <w:kern w:val="2"/>
                      <w:sz w:val="18"/>
                      <w:szCs w:val="18"/>
                    </w:rPr>
                  </w:pPr>
                  <w:r>
                    <w:rPr>
                      <w:kern w:val="2"/>
                      <w:sz w:val="18"/>
                      <w:szCs w:val="18"/>
                    </w:rPr>
                    <w:t>14.73</w:t>
                  </w:r>
                </w:p>
              </w:tc>
              <w:tc>
                <w:tcPr>
                  <w:tcW w:w="709" w:type="dxa"/>
                  <w:tcMar>
                    <w:left w:w="11" w:type="dxa"/>
                    <w:right w:w="11" w:type="dxa"/>
                  </w:tcMar>
                  <w:vAlign w:val="center"/>
                </w:tcPr>
                <w:p>
                  <w:pPr>
                    <w:pStyle w:val="63"/>
                    <w:kinsoku w:val="0"/>
                    <w:overflowPunct w:val="0"/>
                    <w:snapToGrid w:val="0"/>
                    <w:jc w:val="center"/>
                    <w:rPr>
                      <w:kern w:val="2"/>
                      <w:sz w:val="18"/>
                      <w:szCs w:val="18"/>
                    </w:rPr>
                  </w:pPr>
                  <w:r>
                    <w:rPr>
                      <w:kern w:val="2"/>
                      <w:sz w:val="18"/>
                      <w:szCs w:val="18"/>
                    </w:rPr>
                    <w:t>567</w:t>
                  </w:r>
                </w:p>
              </w:tc>
              <w:tc>
                <w:tcPr>
                  <w:tcW w:w="2126" w:type="dxa"/>
                  <w:tcMar>
                    <w:left w:w="11" w:type="dxa"/>
                    <w:right w:w="11" w:type="dxa"/>
                  </w:tcMar>
                  <w:vAlign w:val="center"/>
                </w:tcPr>
                <w:p>
                  <w:pPr>
                    <w:widowControl/>
                    <w:spacing w:line="240" w:lineRule="exact"/>
                    <w:jc w:val="left"/>
                    <w:rPr>
                      <w:sz w:val="18"/>
                      <w:szCs w:val="18"/>
                    </w:rPr>
                  </w:pPr>
                  <w:r>
                    <w:rPr>
                      <w:sz w:val="18"/>
                      <w:szCs w:val="18"/>
                    </w:rPr>
                    <w:t>集气罩</w:t>
                  </w:r>
                  <w:r>
                    <w:rPr>
                      <w:rFonts w:hint="eastAsia"/>
                      <w:sz w:val="18"/>
                      <w:szCs w:val="18"/>
                    </w:rPr>
                    <w:t>++脉冲袋式除尘器（</w:t>
                  </w:r>
                  <w:r>
                    <w:rPr>
                      <w:sz w:val="18"/>
                      <w:szCs w:val="18"/>
                    </w:rPr>
                    <w:t>2</w:t>
                  </w:r>
                  <w:r>
                    <w:rPr>
                      <w:rFonts w:hint="eastAsia"/>
                      <w:sz w:val="18"/>
                      <w:szCs w:val="18"/>
                    </w:rPr>
                    <w:t>#）</w:t>
                  </w:r>
                  <w:r>
                    <w:rPr>
                      <w:sz w:val="18"/>
                      <w:szCs w:val="18"/>
                    </w:rPr>
                    <w:t>+</w:t>
                  </w:r>
                  <w:r>
                    <w:rPr>
                      <w:rFonts w:hint="eastAsia"/>
                      <w:sz w:val="18"/>
                      <w:szCs w:val="18"/>
                    </w:rPr>
                    <w:t>15m高的排气筒（DA002）排放，</w:t>
                  </w:r>
                  <w:r>
                    <w:rPr>
                      <w:sz w:val="18"/>
                      <w:szCs w:val="18"/>
                    </w:rPr>
                    <w:t>风量</w:t>
                  </w:r>
                  <w:r>
                    <w:rPr>
                      <w:rFonts w:hint="eastAsia"/>
                      <w:sz w:val="18"/>
                      <w:szCs w:val="18"/>
                    </w:rPr>
                    <w:t>26000m</w:t>
                  </w:r>
                  <w:r>
                    <w:rPr>
                      <w:sz w:val="18"/>
                      <w:szCs w:val="18"/>
                      <w:vertAlign w:val="superscript"/>
                    </w:rPr>
                    <w:t>3</w:t>
                  </w:r>
                  <w:r>
                    <w:rPr>
                      <w:rFonts w:hint="eastAsia"/>
                      <w:sz w:val="18"/>
                      <w:szCs w:val="18"/>
                    </w:rPr>
                    <w:t>/</w:t>
                  </w:r>
                  <w:r>
                    <w:rPr>
                      <w:sz w:val="18"/>
                      <w:szCs w:val="18"/>
                    </w:rPr>
                    <w:t>h</w:t>
                  </w:r>
                </w:p>
              </w:tc>
              <w:tc>
                <w:tcPr>
                  <w:tcW w:w="567" w:type="dxa"/>
                  <w:tcMar>
                    <w:left w:w="11" w:type="dxa"/>
                    <w:right w:w="11" w:type="dxa"/>
                  </w:tcMar>
                  <w:vAlign w:val="center"/>
                </w:tcPr>
                <w:p>
                  <w:pPr>
                    <w:snapToGrid w:val="0"/>
                    <w:jc w:val="center"/>
                    <w:rPr>
                      <w:snapToGrid w:val="0"/>
                      <w:kern w:val="0"/>
                      <w:sz w:val="18"/>
                      <w:szCs w:val="18"/>
                    </w:rPr>
                  </w:pPr>
                  <w:r>
                    <w:rPr>
                      <w:snapToGrid w:val="0"/>
                      <w:kern w:val="0"/>
                      <w:sz w:val="18"/>
                      <w:szCs w:val="18"/>
                    </w:rPr>
                    <w:t>0.29</w:t>
                  </w:r>
                </w:p>
              </w:tc>
              <w:tc>
                <w:tcPr>
                  <w:tcW w:w="714" w:type="dxa"/>
                  <w:tcMar>
                    <w:left w:w="11" w:type="dxa"/>
                    <w:right w:w="11" w:type="dxa"/>
                  </w:tcMar>
                  <w:vAlign w:val="center"/>
                </w:tcPr>
                <w:p>
                  <w:pPr>
                    <w:pStyle w:val="63"/>
                    <w:kinsoku w:val="0"/>
                    <w:overflowPunct w:val="0"/>
                    <w:snapToGrid w:val="0"/>
                    <w:jc w:val="center"/>
                    <w:rPr>
                      <w:kern w:val="2"/>
                      <w:sz w:val="18"/>
                      <w:szCs w:val="18"/>
                    </w:rPr>
                  </w:pPr>
                  <w:r>
                    <w:rPr>
                      <w:kern w:val="2"/>
                      <w:sz w:val="18"/>
                      <w:szCs w:val="18"/>
                    </w:rPr>
                    <w:t>0.15</w:t>
                  </w:r>
                </w:p>
              </w:tc>
              <w:tc>
                <w:tcPr>
                  <w:tcW w:w="715" w:type="dxa"/>
                  <w:tcMar>
                    <w:left w:w="11" w:type="dxa"/>
                    <w:right w:w="11" w:type="dxa"/>
                  </w:tcMar>
                  <w:vAlign w:val="center"/>
                </w:tcPr>
                <w:p>
                  <w:pPr>
                    <w:snapToGrid w:val="0"/>
                    <w:jc w:val="center"/>
                    <w:rPr>
                      <w:snapToGrid w:val="0"/>
                      <w:kern w:val="0"/>
                      <w:sz w:val="18"/>
                      <w:szCs w:val="18"/>
                    </w:rPr>
                  </w:pPr>
                  <w:r>
                    <w:rPr>
                      <w:snapToGrid w:val="0"/>
                      <w:kern w:val="0"/>
                      <w:sz w:val="18"/>
                      <w:szCs w:val="18"/>
                    </w:rPr>
                    <w:t>5.7</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495" w:hRule="atLeast"/>
                <w:jc w:val="center"/>
              </w:trPr>
              <w:tc>
                <w:tcPr>
                  <w:tcW w:w="321" w:type="dxa"/>
                  <w:vMerge w:val="continue"/>
                  <w:tcMar>
                    <w:left w:w="11" w:type="dxa"/>
                    <w:right w:w="11" w:type="dxa"/>
                  </w:tcMar>
                  <w:vAlign w:val="center"/>
                </w:tcPr>
                <w:p>
                  <w:pPr>
                    <w:pStyle w:val="63"/>
                    <w:kinsoku w:val="0"/>
                    <w:overflowPunct w:val="0"/>
                    <w:snapToGrid w:val="0"/>
                    <w:jc w:val="center"/>
                    <w:rPr>
                      <w:kern w:val="2"/>
                      <w:sz w:val="18"/>
                      <w:szCs w:val="18"/>
                    </w:rPr>
                  </w:pPr>
                </w:p>
              </w:tc>
              <w:tc>
                <w:tcPr>
                  <w:tcW w:w="606" w:type="dxa"/>
                  <w:tcMar>
                    <w:left w:w="11" w:type="dxa"/>
                    <w:right w:w="11" w:type="dxa"/>
                  </w:tcMar>
                  <w:vAlign w:val="center"/>
                </w:tcPr>
                <w:p>
                  <w:pPr>
                    <w:pStyle w:val="63"/>
                    <w:kinsoku w:val="0"/>
                    <w:overflowPunct w:val="0"/>
                    <w:snapToGrid w:val="0"/>
                    <w:jc w:val="center"/>
                    <w:rPr>
                      <w:kern w:val="2"/>
                      <w:sz w:val="18"/>
                      <w:szCs w:val="18"/>
                    </w:rPr>
                  </w:pPr>
                  <w:r>
                    <w:rPr>
                      <w:rFonts w:hint="eastAsia"/>
                      <w:kern w:val="2"/>
                      <w:sz w:val="18"/>
                      <w:szCs w:val="18"/>
                    </w:rPr>
                    <w:t>提升机</w:t>
                  </w:r>
                  <w:r>
                    <w:rPr>
                      <w:kern w:val="2"/>
                      <w:sz w:val="18"/>
                      <w:szCs w:val="18"/>
                    </w:rPr>
                    <w:t>废气</w:t>
                  </w:r>
                </w:p>
              </w:tc>
              <w:tc>
                <w:tcPr>
                  <w:tcW w:w="825" w:type="dxa"/>
                  <w:tcMar>
                    <w:left w:w="11" w:type="dxa"/>
                    <w:right w:w="11" w:type="dxa"/>
                  </w:tcMar>
                  <w:vAlign w:val="center"/>
                </w:tcPr>
                <w:p>
                  <w:pPr>
                    <w:pStyle w:val="63"/>
                    <w:kinsoku w:val="0"/>
                    <w:overflowPunct w:val="0"/>
                    <w:snapToGrid w:val="0"/>
                    <w:jc w:val="center"/>
                    <w:rPr>
                      <w:kern w:val="2"/>
                      <w:sz w:val="18"/>
                      <w:szCs w:val="18"/>
                    </w:rPr>
                  </w:pPr>
                  <w:r>
                    <w:rPr>
                      <w:rFonts w:hint="eastAsia"/>
                      <w:kern w:val="2"/>
                      <w:sz w:val="18"/>
                      <w:szCs w:val="18"/>
                    </w:rPr>
                    <w:t>颗粒物</w:t>
                  </w:r>
                </w:p>
              </w:tc>
              <w:tc>
                <w:tcPr>
                  <w:tcW w:w="645" w:type="dxa"/>
                  <w:tcMar>
                    <w:left w:w="11" w:type="dxa"/>
                    <w:right w:w="11" w:type="dxa"/>
                  </w:tcMar>
                  <w:vAlign w:val="center"/>
                </w:tcPr>
                <w:p>
                  <w:pPr>
                    <w:pStyle w:val="63"/>
                    <w:kinsoku w:val="0"/>
                    <w:overflowPunct w:val="0"/>
                    <w:snapToGrid w:val="0"/>
                    <w:jc w:val="center"/>
                    <w:rPr>
                      <w:kern w:val="2"/>
                      <w:sz w:val="18"/>
                      <w:szCs w:val="18"/>
                    </w:rPr>
                  </w:pPr>
                  <w:r>
                    <w:rPr>
                      <w:kern w:val="2"/>
                      <w:sz w:val="18"/>
                      <w:szCs w:val="18"/>
                    </w:rPr>
                    <w:t>14.85</w:t>
                  </w:r>
                </w:p>
              </w:tc>
              <w:tc>
                <w:tcPr>
                  <w:tcW w:w="708" w:type="dxa"/>
                  <w:tcMar>
                    <w:left w:w="11" w:type="dxa"/>
                    <w:right w:w="11" w:type="dxa"/>
                  </w:tcMar>
                  <w:vAlign w:val="center"/>
                </w:tcPr>
                <w:p>
                  <w:pPr>
                    <w:pStyle w:val="63"/>
                    <w:kinsoku w:val="0"/>
                    <w:overflowPunct w:val="0"/>
                    <w:snapToGrid w:val="0"/>
                    <w:jc w:val="center"/>
                    <w:rPr>
                      <w:kern w:val="2"/>
                      <w:sz w:val="18"/>
                      <w:szCs w:val="18"/>
                    </w:rPr>
                  </w:pPr>
                  <w:r>
                    <w:rPr>
                      <w:kern w:val="2"/>
                      <w:sz w:val="18"/>
                      <w:szCs w:val="18"/>
                    </w:rPr>
                    <w:t>7.43</w:t>
                  </w:r>
                </w:p>
              </w:tc>
              <w:tc>
                <w:tcPr>
                  <w:tcW w:w="709" w:type="dxa"/>
                  <w:tcMar>
                    <w:left w:w="11" w:type="dxa"/>
                    <w:right w:w="11" w:type="dxa"/>
                  </w:tcMar>
                  <w:vAlign w:val="center"/>
                </w:tcPr>
                <w:p>
                  <w:pPr>
                    <w:pStyle w:val="63"/>
                    <w:kinsoku w:val="0"/>
                    <w:overflowPunct w:val="0"/>
                    <w:snapToGrid w:val="0"/>
                    <w:jc w:val="center"/>
                    <w:rPr>
                      <w:kern w:val="2"/>
                      <w:sz w:val="18"/>
                      <w:szCs w:val="18"/>
                    </w:rPr>
                  </w:pPr>
                  <w:r>
                    <w:rPr>
                      <w:kern w:val="2"/>
                      <w:sz w:val="18"/>
                      <w:szCs w:val="18"/>
                    </w:rPr>
                    <w:t>2123</w:t>
                  </w:r>
                </w:p>
              </w:tc>
              <w:tc>
                <w:tcPr>
                  <w:tcW w:w="2126" w:type="dxa"/>
                  <w:tcMar>
                    <w:left w:w="11" w:type="dxa"/>
                    <w:right w:w="11" w:type="dxa"/>
                  </w:tcMar>
                  <w:vAlign w:val="center"/>
                </w:tcPr>
                <w:p>
                  <w:pPr>
                    <w:widowControl/>
                    <w:spacing w:line="240" w:lineRule="exact"/>
                    <w:rPr>
                      <w:sz w:val="18"/>
                      <w:szCs w:val="18"/>
                    </w:rPr>
                  </w:pPr>
                  <w:r>
                    <w:rPr>
                      <w:sz w:val="18"/>
                      <w:szCs w:val="18"/>
                    </w:rPr>
                    <w:t>集气罩</w:t>
                  </w:r>
                  <w:r>
                    <w:rPr>
                      <w:rFonts w:hint="eastAsia"/>
                      <w:sz w:val="18"/>
                      <w:szCs w:val="18"/>
                    </w:rPr>
                    <w:t>+脉冲袋式除尘器（</w:t>
                  </w:r>
                  <w:r>
                    <w:rPr>
                      <w:sz w:val="18"/>
                      <w:szCs w:val="18"/>
                    </w:rPr>
                    <w:t>3</w:t>
                  </w:r>
                  <w:r>
                    <w:rPr>
                      <w:rFonts w:hint="eastAsia"/>
                      <w:sz w:val="18"/>
                      <w:szCs w:val="18"/>
                    </w:rPr>
                    <w:t>#）</w:t>
                  </w:r>
                  <w:r>
                    <w:rPr>
                      <w:sz w:val="18"/>
                      <w:szCs w:val="18"/>
                    </w:rPr>
                    <w:t>+</w:t>
                  </w:r>
                  <w:r>
                    <w:rPr>
                      <w:rFonts w:hint="eastAsia"/>
                      <w:sz w:val="18"/>
                      <w:szCs w:val="18"/>
                    </w:rPr>
                    <w:t>15m高的排气筒（DA00</w:t>
                  </w:r>
                  <w:r>
                    <w:rPr>
                      <w:sz w:val="18"/>
                      <w:szCs w:val="18"/>
                    </w:rPr>
                    <w:t>3</w:t>
                  </w:r>
                  <w:r>
                    <w:rPr>
                      <w:rFonts w:hint="eastAsia"/>
                      <w:sz w:val="18"/>
                      <w:szCs w:val="18"/>
                    </w:rPr>
                    <w:t>）排放，</w:t>
                  </w:r>
                  <w:r>
                    <w:rPr>
                      <w:sz w:val="18"/>
                      <w:szCs w:val="18"/>
                    </w:rPr>
                    <w:t>风量3500</w:t>
                  </w:r>
                  <w:r>
                    <w:rPr>
                      <w:rFonts w:hint="eastAsia"/>
                      <w:sz w:val="18"/>
                      <w:szCs w:val="18"/>
                    </w:rPr>
                    <w:t>m</w:t>
                  </w:r>
                  <w:r>
                    <w:rPr>
                      <w:sz w:val="18"/>
                      <w:szCs w:val="18"/>
                      <w:vertAlign w:val="superscript"/>
                    </w:rPr>
                    <w:t>3</w:t>
                  </w:r>
                  <w:r>
                    <w:rPr>
                      <w:rFonts w:hint="eastAsia"/>
                      <w:sz w:val="18"/>
                      <w:szCs w:val="18"/>
                    </w:rPr>
                    <w:t>/</w:t>
                  </w:r>
                  <w:r>
                    <w:rPr>
                      <w:sz w:val="18"/>
                      <w:szCs w:val="18"/>
                    </w:rPr>
                    <w:t>h</w:t>
                  </w:r>
                </w:p>
              </w:tc>
              <w:tc>
                <w:tcPr>
                  <w:tcW w:w="567" w:type="dxa"/>
                  <w:tcMar>
                    <w:left w:w="11" w:type="dxa"/>
                    <w:right w:w="11" w:type="dxa"/>
                  </w:tcMar>
                  <w:vAlign w:val="center"/>
                </w:tcPr>
                <w:p>
                  <w:pPr>
                    <w:snapToGrid w:val="0"/>
                    <w:jc w:val="center"/>
                    <w:rPr>
                      <w:snapToGrid w:val="0"/>
                      <w:kern w:val="0"/>
                      <w:sz w:val="18"/>
                      <w:szCs w:val="18"/>
                    </w:rPr>
                  </w:pPr>
                  <w:r>
                    <w:rPr>
                      <w:snapToGrid w:val="0"/>
                      <w:kern w:val="0"/>
                      <w:sz w:val="18"/>
                      <w:szCs w:val="18"/>
                    </w:rPr>
                    <w:t>0.045</w:t>
                  </w:r>
                </w:p>
              </w:tc>
              <w:tc>
                <w:tcPr>
                  <w:tcW w:w="714" w:type="dxa"/>
                  <w:tcMar>
                    <w:left w:w="11" w:type="dxa"/>
                    <w:right w:w="11" w:type="dxa"/>
                  </w:tcMar>
                  <w:vAlign w:val="center"/>
                </w:tcPr>
                <w:p>
                  <w:pPr>
                    <w:pStyle w:val="63"/>
                    <w:kinsoku w:val="0"/>
                    <w:overflowPunct w:val="0"/>
                    <w:snapToGrid w:val="0"/>
                    <w:jc w:val="center"/>
                    <w:rPr>
                      <w:kern w:val="2"/>
                      <w:sz w:val="18"/>
                      <w:szCs w:val="18"/>
                    </w:rPr>
                  </w:pPr>
                  <w:r>
                    <w:rPr>
                      <w:kern w:val="2"/>
                      <w:sz w:val="18"/>
                      <w:szCs w:val="18"/>
                    </w:rPr>
                    <w:t>0.022</w:t>
                  </w:r>
                </w:p>
              </w:tc>
              <w:tc>
                <w:tcPr>
                  <w:tcW w:w="715" w:type="dxa"/>
                  <w:tcMar>
                    <w:left w:w="11" w:type="dxa"/>
                    <w:right w:w="11" w:type="dxa"/>
                  </w:tcMar>
                  <w:vAlign w:val="center"/>
                </w:tcPr>
                <w:p>
                  <w:pPr>
                    <w:snapToGrid w:val="0"/>
                    <w:jc w:val="center"/>
                    <w:rPr>
                      <w:snapToGrid w:val="0"/>
                      <w:kern w:val="0"/>
                      <w:sz w:val="18"/>
                      <w:szCs w:val="18"/>
                    </w:rPr>
                  </w:pPr>
                  <w:r>
                    <w:rPr>
                      <w:snapToGrid w:val="0"/>
                      <w:kern w:val="0"/>
                      <w:sz w:val="18"/>
                      <w:szCs w:val="18"/>
                    </w:rPr>
                    <w:t>6.37</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495" w:hRule="atLeast"/>
                <w:jc w:val="center"/>
              </w:trPr>
              <w:tc>
                <w:tcPr>
                  <w:tcW w:w="321" w:type="dxa"/>
                  <w:vMerge w:val="continue"/>
                  <w:tcMar>
                    <w:left w:w="11" w:type="dxa"/>
                    <w:right w:w="11" w:type="dxa"/>
                  </w:tcMar>
                  <w:vAlign w:val="center"/>
                </w:tcPr>
                <w:p>
                  <w:pPr>
                    <w:pStyle w:val="63"/>
                    <w:kinsoku w:val="0"/>
                    <w:overflowPunct w:val="0"/>
                    <w:snapToGrid w:val="0"/>
                    <w:jc w:val="center"/>
                    <w:rPr>
                      <w:kern w:val="2"/>
                      <w:sz w:val="18"/>
                      <w:szCs w:val="18"/>
                    </w:rPr>
                  </w:pPr>
                </w:p>
              </w:tc>
              <w:tc>
                <w:tcPr>
                  <w:tcW w:w="606" w:type="dxa"/>
                  <w:tcMar>
                    <w:left w:w="11" w:type="dxa"/>
                    <w:right w:w="11" w:type="dxa"/>
                  </w:tcMar>
                  <w:vAlign w:val="center"/>
                </w:tcPr>
                <w:p>
                  <w:pPr>
                    <w:pStyle w:val="63"/>
                    <w:kinsoku w:val="0"/>
                    <w:overflowPunct w:val="0"/>
                    <w:snapToGrid w:val="0"/>
                    <w:jc w:val="center"/>
                    <w:rPr>
                      <w:kern w:val="2"/>
                      <w:sz w:val="18"/>
                      <w:szCs w:val="18"/>
                    </w:rPr>
                  </w:pPr>
                  <w:r>
                    <w:rPr>
                      <w:rFonts w:hint="eastAsia"/>
                      <w:kern w:val="2"/>
                      <w:sz w:val="18"/>
                      <w:szCs w:val="18"/>
                    </w:rPr>
                    <w:t>成品料仓</w:t>
                  </w:r>
                  <w:r>
                    <w:rPr>
                      <w:kern w:val="2"/>
                      <w:sz w:val="18"/>
                      <w:szCs w:val="18"/>
                    </w:rPr>
                    <w:t>废气</w:t>
                  </w:r>
                </w:p>
              </w:tc>
              <w:tc>
                <w:tcPr>
                  <w:tcW w:w="825" w:type="dxa"/>
                  <w:tcMar>
                    <w:left w:w="11" w:type="dxa"/>
                    <w:right w:w="11" w:type="dxa"/>
                  </w:tcMar>
                  <w:vAlign w:val="center"/>
                </w:tcPr>
                <w:p>
                  <w:pPr>
                    <w:pStyle w:val="63"/>
                    <w:kinsoku w:val="0"/>
                    <w:overflowPunct w:val="0"/>
                    <w:snapToGrid w:val="0"/>
                    <w:jc w:val="center"/>
                    <w:rPr>
                      <w:kern w:val="2"/>
                      <w:sz w:val="18"/>
                      <w:szCs w:val="18"/>
                    </w:rPr>
                  </w:pPr>
                  <w:r>
                    <w:rPr>
                      <w:rFonts w:hint="eastAsia"/>
                      <w:kern w:val="2"/>
                      <w:sz w:val="18"/>
                      <w:szCs w:val="18"/>
                    </w:rPr>
                    <w:t>颗粒物</w:t>
                  </w:r>
                </w:p>
              </w:tc>
              <w:tc>
                <w:tcPr>
                  <w:tcW w:w="645" w:type="dxa"/>
                  <w:tcMar>
                    <w:left w:w="11" w:type="dxa"/>
                    <w:right w:w="11" w:type="dxa"/>
                  </w:tcMar>
                  <w:vAlign w:val="center"/>
                </w:tcPr>
                <w:p>
                  <w:pPr>
                    <w:pStyle w:val="63"/>
                    <w:kinsoku w:val="0"/>
                    <w:overflowPunct w:val="0"/>
                    <w:snapToGrid w:val="0"/>
                    <w:jc w:val="center"/>
                    <w:rPr>
                      <w:kern w:val="2"/>
                      <w:sz w:val="18"/>
                      <w:szCs w:val="18"/>
                    </w:rPr>
                  </w:pPr>
                  <w:r>
                    <w:rPr>
                      <w:rFonts w:hint="eastAsia"/>
                      <w:kern w:val="2"/>
                      <w:sz w:val="18"/>
                      <w:szCs w:val="18"/>
                    </w:rPr>
                    <w:t>3.6</w:t>
                  </w:r>
                </w:p>
              </w:tc>
              <w:tc>
                <w:tcPr>
                  <w:tcW w:w="708" w:type="dxa"/>
                  <w:tcMar>
                    <w:left w:w="11" w:type="dxa"/>
                    <w:right w:w="11" w:type="dxa"/>
                  </w:tcMar>
                  <w:vAlign w:val="center"/>
                </w:tcPr>
                <w:p>
                  <w:pPr>
                    <w:pStyle w:val="63"/>
                    <w:kinsoku w:val="0"/>
                    <w:overflowPunct w:val="0"/>
                    <w:snapToGrid w:val="0"/>
                    <w:jc w:val="center"/>
                    <w:rPr>
                      <w:kern w:val="2"/>
                      <w:sz w:val="18"/>
                      <w:szCs w:val="18"/>
                    </w:rPr>
                  </w:pPr>
                  <w:r>
                    <w:rPr>
                      <w:rFonts w:hint="eastAsia"/>
                      <w:kern w:val="2"/>
                      <w:sz w:val="18"/>
                      <w:szCs w:val="18"/>
                    </w:rPr>
                    <w:t>1.8</w:t>
                  </w:r>
                </w:p>
              </w:tc>
              <w:tc>
                <w:tcPr>
                  <w:tcW w:w="709" w:type="dxa"/>
                  <w:tcMar>
                    <w:left w:w="11" w:type="dxa"/>
                    <w:right w:w="11" w:type="dxa"/>
                  </w:tcMar>
                  <w:vAlign w:val="center"/>
                </w:tcPr>
                <w:p>
                  <w:pPr>
                    <w:pStyle w:val="63"/>
                    <w:kinsoku w:val="0"/>
                    <w:overflowPunct w:val="0"/>
                    <w:snapToGrid w:val="0"/>
                    <w:jc w:val="center"/>
                    <w:rPr>
                      <w:kern w:val="2"/>
                      <w:sz w:val="18"/>
                      <w:szCs w:val="18"/>
                    </w:rPr>
                  </w:pPr>
                  <w:r>
                    <w:rPr>
                      <w:kern w:val="2"/>
                      <w:sz w:val="18"/>
                      <w:szCs w:val="18"/>
                    </w:rPr>
                    <w:t>1500</w:t>
                  </w:r>
                </w:p>
              </w:tc>
              <w:tc>
                <w:tcPr>
                  <w:tcW w:w="2126" w:type="dxa"/>
                  <w:tcMar>
                    <w:left w:w="11" w:type="dxa"/>
                    <w:right w:w="11" w:type="dxa"/>
                  </w:tcMar>
                  <w:vAlign w:val="center"/>
                </w:tcPr>
                <w:p>
                  <w:pPr>
                    <w:widowControl/>
                    <w:spacing w:line="240" w:lineRule="exact"/>
                    <w:jc w:val="left"/>
                    <w:rPr>
                      <w:sz w:val="18"/>
                      <w:szCs w:val="18"/>
                    </w:rPr>
                  </w:pPr>
                  <w:r>
                    <w:rPr>
                      <w:rFonts w:hint="eastAsia"/>
                      <w:sz w:val="18"/>
                      <w:szCs w:val="18"/>
                    </w:rPr>
                    <w:t>密闭</w:t>
                  </w:r>
                  <w:r>
                    <w:rPr>
                      <w:sz w:val="18"/>
                      <w:szCs w:val="18"/>
                    </w:rPr>
                    <w:t>料仓+</w:t>
                  </w:r>
                  <w:r>
                    <w:rPr>
                      <w:rFonts w:hint="eastAsia"/>
                      <w:sz w:val="18"/>
                      <w:szCs w:val="18"/>
                    </w:rPr>
                    <w:t>脉冲袋式除尘器（</w:t>
                  </w:r>
                  <w:r>
                    <w:rPr>
                      <w:sz w:val="18"/>
                      <w:szCs w:val="18"/>
                    </w:rPr>
                    <w:t>4</w:t>
                  </w:r>
                  <w:r>
                    <w:rPr>
                      <w:rFonts w:hint="eastAsia"/>
                      <w:sz w:val="18"/>
                      <w:szCs w:val="18"/>
                    </w:rPr>
                    <w:t>#）</w:t>
                  </w:r>
                  <w:r>
                    <w:rPr>
                      <w:sz w:val="18"/>
                      <w:szCs w:val="18"/>
                    </w:rPr>
                    <w:t>+21</w:t>
                  </w:r>
                  <w:r>
                    <w:rPr>
                      <w:rFonts w:hint="eastAsia"/>
                      <w:sz w:val="18"/>
                      <w:szCs w:val="18"/>
                    </w:rPr>
                    <w:t>m高的排气筒（DA00</w:t>
                  </w:r>
                  <w:r>
                    <w:rPr>
                      <w:sz w:val="18"/>
                      <w:szCs w:val="18"/>
                    </w:rPr>
                    <w:t>4</w:t>
                  </w:r>
                  <w:r>
                    <w:rPr>
                      <w:rFonts w:hint="eastAsia"/>
                      <w:sz w:val="18"/>
                      <w:szCs w:val="18"/>
                    </w:rPr>
                    <w:t>）排放，</w:t>
                  </w:r>
                  <w:r>
                    <w:rPr>
                      <w:sz w:val="18"/>
                      <w:szCs w:val="18"/>
                    </w:rPr>
                    <w:t>风量1200</w:t>
                  </w:r>
                  <w:r>
                    <w:rPr>
                      <w:rFonts w:hint="eastAsia"/>
                      <w:sz w:val="18"/>
                      <w:szCs w:val="18"/>
                    </w:rPr>
                    <w:t>m</w:t>
                  </w:r>
                  <w:r>
                    <w:rPr>
                      <w:sz w:val="18"/>
                      <w:szCs w:val="18"/>
                      <w:vertAlign w:val="superscript"/>
                    </w:rPr>
                    <w:t>3</w:t>
                  </w:r>
                  <w:r>
                    <w:rPr>
                      <w:rFonts w:hint="eastAsia"/>
                      <w:sz w:val="18"/>
                      <w:szCs w:val="18"/>
                    </w:rPr>
                    <w:t>/</w:t>
                  </w:r>
                  <w:r>
                    <w:rPr>
                      <w:sz w:val="18"/>
                      <w:szCs w:val="18"/>
                    </w:rPr>
                    <w:t>h</w:t>
                  </w:r>
                </w:p>
              </w:tc>
              <w:tc>
                <w:tcPr>
                  <w:tcW w:w="567" w:type="dxa"/>
                  <w:tcMar>
                    <w:left w:w="11" w:type="dxa"/>
                    <w:right w:w="11" w:type="dxa"/>
                  </w:tcMar>
                  <w:vAlign w:val="center"/>
                </w:tcPr>
                <w:p>
                  <w:pPr>
                    <w:snapToGrid w:val="0"/>
                    <w:jc w:val="center"/>
                    <w:rPr>
                      <w:snapToGrid w:val="0"/>
                      <w:kern w:val="0"/>
                      <w:sz w:val="18"/>
                      <w:szCs w:val="18"/>
                    </w:rPr>
                  </w:pPr>
                  <w:r>
                    <w:rPr>
                      <w:snapToGrid w:val="0"/>
                      <w:kern w:val="0"/>
                      <w:sz w:val="18"/>
                      <w:szCs w:val="18"/>
                    </w:rPr>
                    <w:t>0.011</w:t>
                  </w:r>
                </w:p>
              </w:tc>
              <w:tc>
                <w:tcPr>
                  <w:tcW w:w="714" w:type="dxa"/>
                  <w:tcMar>
                    <w:left w:w="11" w:type="dxa"/>
                    <w:right w:w="11" w:type="dxa"/>
                  </w:tcMar>
                  <w:vAlign w:val="center"/>
                </w:tcPr>
                <w:p>
                  <w:pPr>
                    <w:pStyle w:val="63"/>
                    <w:kinsoku w:val="0"/>
                    <w:overflowPunct w:val="0"/>
                    <w:snapToGrid w:val="0"/>
                    <w:jc w:val="center"/>
                    <w:rPr>
                      <w:kern w:val="2"/>
                      <w:sz w:val="18"/>
                      <w:szCs w:val="18"/>
                    </w:rPr>
                  </w:pPr>
                  <w:r>
                    <w:rPr>
                      <w:kern w:val="2"/>
                      <w:sz w:val="18"/>
                      <w:szCs w:val="18"/>
                    </w:rPr>
                    <w:t>0.0054</w:t>
                  </w:r>
                </w:p>
              </w:tc>
              <w:tc>
                <w:tcPr>
                  <w:tcW w:w="715" w:type="dxa"/>
                  <w:tcMar>
                    <w:left w:w="11" w:type="dxa"/>
                    <w:right w:w="11" w:type="dxa"/>
                  </w:tcMar>
                  <w:vAlign w:val="center"/>
                </w:tcPr>
                <w:p>
                  <w:pPr>
                    <w:snapToGrid w:val="0"/>
                    <w:jc w:val="center"/>
                    <w:rPr>
                      <w:snapToGrid w:val="0"/>
                      <w:kern w:val="0"/>
                      <w:sz w:val="18"/>
                      <w:szCs w:val="18"/>
                    </w:rPr>
                  </w:pPr>
                  <w:r>
                    <w:rPr>
                      <w:snapToGrid w:val="0"/>
                      <w:kern w:val="0"/>
                      <w:sz w:val="18"/>
                      <w:szCs w:val="18"/>
                    </w:rPr>
                    <w:t>4.5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495" w:hRule="atLeast"/>
                <w:jc w:val="center"/>
              </w:trPr>
              <w:tc>
                <w:tcPr>
                  <w:tcW w:w="321" w:type="dxa"/>
                  <w:vMerge w:val="continue"/>
                  <w:tcMar>
                    <w:left w:w="11" w:type="dxa"/>
                    <w:right w:w="11" w:type="dxa"/>
                  </w:tcMar>
                  <w:vAlign w:val="center"/>
                </w:tcPr>
                <w:p>
                  <w:pPr>
                    <w:pStyle w:val="63"/>
                    <w:kinsoku w:val="0"/>
                    <w:overflowPunct w:val="0"/>
                    <w:snapToGrid w:val="0"/>
                    <w:jc w:val="center"/>
                    <w:rPr>
                      <w:kern w:val="2"/>
                      <w:sz w:val="18"/>
                      <w:szCs w:val="18"/>
                    </w:rPr>
                  </w:pPr>
                </w:p>
              </w:tc>
              <w:tc>
                <w:tcPr>
                  <w:tcW w:w="606" w:type="dxa"/>
                  <w:tcMar>
                    <w:left w:w="11" w:type="dxa"/>
                    <w:right w:w="11" w:type="dxa"/>
                  </w:tcMar>
                  <w:vAlign w:val="center"/>
                </w:tcPr>
                <w:p>
                  <w:pPr>
                    <w:pStyle w:val="63"/>
                    <w:kinsoku w:val="0"/>
                    <w:overflowPunct w:val="0"/>
                    <w:snapToGrid w:val="0"/>
                    <w:jc w:val="center"/>
                    <w:rPr>
                      <w:kern w:val="2"/>
                      <w:sz w:val="18"/>
                      <w:szCs w:val="18"/>
                    </w:rPr>
                  </w:pPr>
                  <w:r>
                    <w:rPr>
                      <w:rFonts w:hint="eastAsia"/>
                      <w:kern w:val="2"/>
                      <w:sz w:val="18"/>
                      <w:szCs w:val="18"/>
                    </w:rPr>
                    <w:t>散装机废气</w:t>
                  </w:r>
                </w:p>
              </w:tc>
              <w:tc>
                <w:tcPr>
                  <w:tcW w:w="825" w:type="dxa"/>
                  <w:tcMar>
                    <w:left w:w="11" w:type="dxa"/>
                    <w:right w:w="11" w:type="dxa"/>
                  </w:tcMar>
                  <w:vAlign w:val="center"/>
                </w:tcPr>
                <w:p>
                  <w:pPr>
                    <w:pStyle w:val="63"/>
                    <w:kinsoku w:val="0"/>
                    <w:overflowPunct w:val="0"/>
                    <w:snapToGrid w:val="0"/>
                    <w:jc w:val="center"/>
                    <w:rPr>
                      <w:kern w:val="2"/>
                      <w:sz w:val="18"/>
                      <w:szCs w:val="18"/>
                    </w:rPr>
                  </w:pPr>
                  <w:r>
                    <w:rPr>
                      <w:rFonts w:hint="eastAsia"/>
                      <w:kern w:val="2"/>
                      <w:sz w:val="18"/>
                      <w:szCs w:val="18"/>
                    </w:rPr>
                    <w:t>颗粒物</w:t>
                  </w:r>
                </w:p>
              </w:tc>
              <w:tc>
                <w:tcPr>
                  <w:tcW w:w="645" w:type="dxa"/>
                  <w:tcMar>
                    <w:left w:w="11" w:type="dxa"/>
                    <w:right w:w="11" w:type="dxa"/>
                  </w:tcMar>
                  <w:vAlign w:val="center"/>
                </w:tcPr>
                <w:p>
                  <w:pPr>
                    <w:pStyle w:val="63"/>
                    <w:kinsoku w:val="0"/>
                    <w:overflowPunct w:val="0"/>
                    <w:snapToGrid w:val="0"/>
                    <w:jc w:val="center"/>
                    <w:rPr>
                      <w:kern w:val="2"/>
                      <w:sz w:val="18"/>
                      <w:szCs w:val="18"/>
                    </w:rPr>
                  </w:pPr>
                  <w:r>
                    <w:rPr>
                      <w:sz w:val="18"/>
                      <w:szCs w:val="18"/>
                    </w:rPr>
                    <w:t>0.57</w:t>
                  </w:r>
                </w:p>
              </w:tc>
              <w:tc>
                <w:tcPr>
                  <w:tcW w:w="708" w:type="dxa"/>
                  <w:tcMar>
                    <w:left w:w="11" w:type="dxa"/>
                    <w:right w:w="11" w:type="dxa"/>
                  </w:tcMar>
                  <w:vAlign w:val="center"/>
                </w:tcPr>
                <w:p>
                  <w:pPr>
                    <w:pStyle w:val="63"/>
                    <w:kinsoku w:val="0"/>
                    <w:overflowPunct w:val="0"/>
                    <w:snapToGrid w:val="0"/>
                    <w:jc w:val="center"/>
                    <w:rPr>
                      <w:kern w:val="2"/>
                      <w:sz w:val="18"/>
                      <w:szCs w:val="18"/>
                    </w:rPr>
                  </w:pPr>
                  <w:r>
                    <w:rPr>
                      <w:sz w:val="18"/>
                      <w:szCs w:val="18"/>
                    </w:rPr>
                    <w:t>1.9</w:t>
                  </w:r>
                </w:p>
              </w:tc>
              <w:tc>
                <w:tcPr>
                  <w:tcW w:w="709" w:type="dxa"/>
                  <w:tcMar>
                    <w:left w:w="11" w:type="dxa"/>
                    <w:right w:w="11" w:type="dxa"/>
                  </w:tcMar>
                  <w:vAlign w:val="center"/>
                </w:tcPr>
                <w:p>
                  <w:pPr>
                    <w:pStyle w:val="63"/>
                    <w:kinsoku w:val="0"/>
                    <w:overflowPunct w:val="0"/>
                    <w:snapToGrid w:val="0"/>
                    <w:jc w:val="center"/>
                    <w:rPr>
                      <w:kern w:val="2"/>
                      <w:sz w:val="18"/>
                      <w:szCs w:val="18"/>
                    </w:rPr>
                  </w:pPr>
                  <w:r>
                    <w:rPr>
                      <w:kern w:val="2"/>
                      <w:sz w:val="18"/>
                      <w:szCs w:val="18"/>
                    </w:rPr>
                    <w:t>1583</w:t>
                  </w:r>
                </w:p>
              </w:tc>
              <w:tc>
                <w:tcPr>
                  <w:tcW w:w="2126" w:type="dxa"/>
                  <w:tcMar>
                    <w:left w:w="11" w:type="dxa"/>
                    <w:right w:w="11" w:type="dxa"/>
                  </w:tcMar>
                  <w:vAlign w:val="center"/>
                </w:tcPr>
                <w:p>
                  <w:pPr>
                    <w:widowControl/>
                    <w:spacing w:line="240" w:lineRule="exact"/>
                    <w:jc w:val="left"/>
                    <w:rPr>
                      <w:sz w:val="18"/>
                      <w:szCs w:val="18"/>
                    </w:rPr>
                  </w:pPr>
                  <w:r>
                    <w:rPr>
                      <w:rFonts w:hint="eastAsia"/>
                      <w:sz w:val="18"/>
                      <w:szCs w:val="18"/>
                    </w:rPr>
                    <w:t>集气罩+脉冲袋式除尘器（</w:t>
                  </w:r>
                  <w:r>
                    <w:rPr>
                      <w:sz w:val="18"/>
                      <w:szCs w:val="18"/>
                    </w:rPr>
                    <w:t>5</w:t>
                  </w:r>
                  <w:r>
                    <w:rPr>
                      <w:rFonts w:hint="eastAsia"/>
                      <w:sz w:val="18"/>
                      <w:szCs w:val="18"/>
                    </w:rPr>
                    <w:t>#）</w:t>
                  </w:r>
                  <w:r>
                    <w:rPr>
                      <w:sz w:val="18"/>
                      <w:szCs w:val="18"/>
                    </w:rPr>
                    <w:t>+</w:t>
                  </w:r>
                  <w:r>
                    <w:rPr>
                      <w:rFonts w:hint="eastAsia"/>
                      <w:sz w:val="18"/>
                      <w:szCs w:val="18"/>
                    </w:rPr>
                    <w:t>15m高的排气筒（DA00</w:t>
                  </w:r>
                  <w:r>
                    <w:rPr>
                      <w:sz w:val="18"/>
                      <w:szCs w:val="18"/>
                    </w:rPr>
                    <w:t>5</w:t>
                  </w:r>
                  <w:r>
                    <w:rPr>
                      <w:rFonts w:hint="eastAsia"/>
                      <w:sz w:val="18"/>
                      <w:szCs w:val="18"/>
                    </w:rPr>
                    <w:t>）排放，</w:t>
                  </w:r>
                  <w:r>
                    <w:rPr>
                      <w:sz w:val="18"/>
                      <w:szCs w:val="18"/>
                    </w:rPr>
                    <w:t>风量1200</w:t>
                  </w:r>
                  <w:r>
                    <w:rPr>
                      <w:rFonts w:hint="eastAsia"/>
                      <w:sz w:val="18"/>
                      <w:szCs w:val="18"/>
                    </w:rPr>
                    <w:t>m</w:t>
                  </w:r>
                  <w:r>
                    <w:rPr>
                      <w:sz w:val="18"/>
                      <w:szCs w:val="18"/>
                      <w:vertAlign w:val="superscript"/>
                    </w:rPr>
                    <w:t>3</w:t>
                  </w:r>
                  <w:r>
                    <w:rPr>
                      <w:rFonts w:hint="eastAsia"/>
                      <w:sz w:val="18"/>
                      <w:szCs w:val="18"/>
                    </w:rPr>
                    <w:t>/</w:t>
                  </w:r>
                  <w:r>
                    <w:rPr>
                      <w:sz w:val="18"/>
                      <w:szCs w:val="18"/>
                    </w:rPr>
                    <w:t>h</w:t>
                  </w:r>
                </w:p>
              </w:tc>
              <w:tc>
                <w:tcPr>
                  <w:tcW w:w="567" w:type="dxa"/>
                  <w:tcMar>
                    <w:left w:w="11" w:type="dxa"/>
                    <w:right w:w="11" w:type="dxa"/>
                  </w:tcMar>
                  <w:vAlign w:val="center"/>
                </w:tcPr>
                <w:p>
                  <w:pPr>
                    <w:snapToGrid w:val="0"/>
                    <w:jc w:val="center"/>
                    <w:rPr>
                      <w:snapToGrid w:val="0"/>
                      <w:kern w:val="0"/>
                      <w:sz w:val="18"/>
                      <w:szCs w:val="18"/>
                    </w:rPr>
                  </w:pPr>
                  <w:r>
                    <w:rPr>
                      <w:sz w:val="18"/>
                      <w:szCs w:val="18"/>
                    </w:rPr>
                    <w:t>0.0017</w:t>
                  </w:r>
                </w:p>
              </w:tc>
              <w:tc>
                <w:tcPr>
                  <w:tcW w:w="714" w:type="dxa"/>
                  <w:tcMar>
                    <w:left w:w="11" w:type="dxa"/>
                    <w:right w:w="11" w:type="dxa"/>
                  </w:tcMar>
                  <w:vAlign w:val="center"/>
                </w:tcPr>
                <w:p>
                  <w:pPr>
                    <w:pStyle w:val="63"/>
                    <w:kinsoku w:val="0"/>
                    <w:overflowPunct w:val="0"/>
                    <w:snapToGrid w:val="0"/>
                    <w:jc w:val="center"/>
                    <w:rPr>
                      <w:kern w:val="2"/>
                      <w:sz w:val="18"/>
                      <w:szCs w:val="18"/>
                    </w:rPr>
                  </w:pPr>
                  <w:r>
                    <w:rPr>
                      <w:snapToGrid w:val="0"/>
                      <w:sz w:val="18"/>
                      <w:szCs w:val="18"/>
                    </w:rPr>
                    <w:t>0.0057</w:t>
                  </w:r>
                </w:p>
              </w:tc>
              <w:tc>
                <w:tcPr>
                  <w:tcW w:w="715" w:type="dxa"/>
                  <w:tcMar>
                    <w:left w:w="11" w:type="dxa"/>
                    <w:right w:w="11" w:type="dxa"/>
                  </w:tcMar>
                  <w:vAlign w:val="center"/>
                </w:tcPr>
                <w:p>
                  <w:pPr>
                    <w:snapToGrid w:val="0"/>
                    <w:jc w:val="center"/>
                    <w:rPr>
                      <w:snapToGrid w:val="0"/>
                      <w:kern w:val="0"/>
                      <w:sz w:val="18"/>
                      <w:szCs w:val="18"/>
                    </w:rPr>
                  </w:pPr>
                  <w:r>
                    <w:rPr>
                      <w:snapToGrid w:val="0"/>
                      <w:kern w:val="0"/>
                      <w:sz w:val="18"/>
                      <w:szCs w:val="18"/>
                    </w:rPr>
                    <w:t>4.7</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321" w:type="dxa"/>
                  <w:vMerge w:val="restart"/>
                  <w:tcMar>
                    <w:left w:w="11" w:type="dxa"/>
                    <w:right w:w="11" w:type="dxa"/>
                  </w:tcMar>
                  <w:vAlign w:val="center"/>
                </w:tcPr>
                <w:p>
                  <w:pPr>
                    <w:pStyle w:val="63"/>
                    <w:kinsoku w:val="0"/>
                    <w:overflowPunct w:val="0"/>
                    <w:snapToGrid w:val="0"/>
                    <w:jc w:val="center"/>
                    <w:rPr>
                      <w:kern w:val="2"/>
                      <w:sz w:val="18"/>
                      <w:szCs w:val="18"/>
                    </w:rPr>
                  </w:pPr>
                  <w:r>
                    <w:rPr>
                      <w:rFonts w:hint="eastAsia"/>
                      <w:kern w:val="2"/>
                      <w:sz w:val="18"/>
                      <w:szCs w:val="18"/>
                    </w:rPr>
                    <w:t>无组织废气</w:t>
                  </w:r>
                </w:p>
              </w:tc>
              <w:tc>
                <w:tcPr>
                  <w:tcW w:w="606" w:type="dxa"/>
                  <w:tcMar>
                    <w:left w:w="11" w:type="dxa"/>
                    <w:right w:w="11" w:type="dxa"/>
                  </w:tcMar>
                  <w:vAlign w:val="center"/>
                </w:tcPr>
                <w:p>
                  <w:pPr>
                    <w:widowControl/>
                    <w:jc w:val="center"/>
                    <w:rPr>
                      <w:sz w:val="18"/>
                      <w:szCs w:val="18"/>
                    </w:rPr>
                  </w:pPr>
                  <w:r>
                    <w:rPr>
                      <w:rFonts w:hint="eastAsia"/>
                      <w:sz w:val="18"/>
                      <w:szCs w:val="18"/>
                    </w:rPr>
                    <w:t>粉磨废气</w:t>
                  </w:r>
                </w:p>
              </w:tc>
              <w:tc>
                <w:tcPr>
                  <w:tcW w:w="825" w:type="dxa"/>
                  <w:tcMar>
                    <w:left w:w="11" w:type="dxa"/>
                    <w:right w:w="11" w:type="dxa"/>
                  </w:tcMar>
                  <w:vAlign w:val="center"/>
                </w:tcPr>
                <w:p>
                  <w:pPr>
                    <w:pStyle w:val="63"/>
                    <w:kinsoku w:val="0"/>
                    <w:overflowPunct w:val="0"/>
                    <w:snapToGrid w:val="0"/>
                    <w:jc w:val="center"/>
                    <w:rPr>
                      <w:kern w:val="2"/>
                      <w:sz w:val="18"/>
                      <w:szCs w:val="18"/>
                    </w:rPr>
                  </w:pPr>
                  <w:r>
                    <w:rPr>
                      <w:rFonts w:hint="eastAsia"/>
                      <w:kern w:val="2"/>
                      <w:sz w:val="18"/>
                      <w:szCs w:val="18"/>
                    </w:rPr>
                    <w:t>颗粒物</w:t>
                  </w:r>
                </w:p>
              </w:tc>
              <w:tc>
                <w:tcPr>
                  <w:tcW w:w="645" w:type="dxa"/>
                  <w:tcMar>
                    <w:left w:w="11" w:type="dxa"/>
                    <w:right w:w="11" w:type="dxa"/>
                  </w:tcMar>
                  <w:vAlign w:val="center"/>
                </w:tcPr>
                <w:p>
                  <w:pPr>
                    <w:widowControl/>
                    <w:jc w:val="center"/>
                    <w:rPr>
                      <w:kern w:val="0"/>
                      <w:sz w:val="18"/>
                      <w:szCs w:val="18"/>
                    </w:rPr>
                  </w:pPr>
                  <w:r>
                    <w:rPr>
                      <w:kern w:val="0"/>
                      <w:sz w:val="18"/>
                      <w:szCs w:val="18"/>
                    </w:rPr>
                    <w:t>0.3</w:t>
                  </w:r>
                </w:p>
              </w:tc>
              <w:tc>
                <w:tcPr>
                  <w:tcW w:w="708" w:type="dxa"/>
                  <w:tcMar>
                    <w:left w:w="11" w:type="dxa"/>
                    <w:right w:w="11" w:type="dxa"/>
                  </w:tcMar>
                  <w:vAlign w:val="center"/>
                </w:tcPr>
                <w:p>
                  <w:pPr>
                    <w:widowControl/>
                    <w:jc w:val="center"/>
                    <w:rPr>
                      <w:kern w:val="0"/>
                      <w:sz w:val="18"/>
                      <w:szCs w:val="18"/>
                    </w:rPr>
                  </w:pPr>
                  <w:r>
                    <w:rPr>
                      <w:kern w:val="0"/>
                      <w:sz w:val="18"/>
                      <w:szCs w:val="18"/>
                    </w:rPr>
                    <w:t>0.15</w:t>
                  </w:r>
                </w:p>
              </w:tc>
              <w:tc>
                <w:tcPr>
                  <w:tcW w:w="709" w:type="dxa"/>
                  <w:tcMar>
                    <w:left w:w="11" w:type="dxa"/>
                    <w:right w:w="11" w:type="dxa"/>
                  </w:tcMar>
                  <w:vAlign w:val="center"/>
                </w:tcPr>
                <w:p>
                  <w:pPr>
                    <w:widowControl/>
                    <w:jc w:val="center"/>
                    <w:rPr>
                      <w:kern w:val="0"/>
                      <w:sz w:val="18"/>
                      <w:szCs w:val="18"/>
                    </w:rPr>
                  </w:pPr>
                  <w:r>
                    <w:rPr>
                      <w:rFonts w:hint="eastAsia"/>
                      <w:kern w:val="0"/>
                      <w:sz w:val="18"/>
                      <w:szCs w:val="18"/>
                    </w:rPr>
                    <w:t>/</w:t>
                  </w:r>
                </w:p>
              </w:tc>
              <w:tc>
                <w:tcPr>
                  <w:tcW w:w="2126" w:type="dxa"/>
                  <w:tcMar>
                    <w:left w:w="11" w:type="dxa"/>
                    <w:right w:w="11" w:type="dxa"/>
                  </w:tcMar>
                  <w:vAlign w:val="center"/>
                </w:tcPr>
                <w:p>
                  <w:pPr>
                    <w:widowControl/>
                    <w:jc w:val="center"/>
                    <w:rPr>
                      <w:sz w:val="18"/>
                      <w:szCs w:val="18"/>
                    </w:rPr>
                  </w:pPr>
                  <w:r>
                    <w:rPr>
                      <w:rFonts w:hint="eastAsia"/>
                      <w:sz w:val="18"/>
                      <w:szCs w:val="18"/>
                    </w:rPr>
                    <w:t>密闭车间</w:t>
                  </w:r>
                </w:p>
              </w:tc>
              <w:tc>
                <w:tcPr>
                  <w:tcW w:w="567" w:type="dxa"/>
                  <w:tcMar>
                    <w:left w:w="11" w:type="dxa"/>
                    <w:right w:w="11" w:type="dxa"/>
                  </w:tcMar>
                  <w:vAlign w:val="center"/>
                </w:tcPr>
                <w:p>
                  <w:pPr>
                    <w:widowControl/>
                    <w:jc w:val="center"/>
                    <w:rPr>
                      <w:kern w:val="0"/>
                      <w:sz w:val="18"/>
                      <w:szCs w:val="18"/>
                    </w:rPr>
                  </w:pPr>
                  <w:r>
                    <w:rPr>
                      <w:kern w:val="0"/>
                      <w:sz w:val="18"/>
                      <w:szCs w:val="18"/>
                    </w:rPr>
                    <w:t>0.06</w:t>
                  </w:r>
                </w:p>
              </w:tc>
              <w:tc>
                <w:tcPr>
                  <w:tcW w:w="714" w:type="dxa"/>
                  <w:tcMar>
                    <w:left w:w="11" w:type="dxa"/>
                    <w:right w:w="11" w:type="dxa"/>
                  </w:tcMar>
                  <w:vAlign w:val="center"/>
                </w:tcPr>
                <w:p>
                  <w:pPr>
                    <w:widowControl/>
                    <w:jc w:val="center"/>
                    <w:rPr>
                      <w:kern w:val="0"/>
                      <w:sz w:val="18"/>
                      <w:szCs w:val="18"/>
                    </w:rPr>
                  </w:pPr>
                  <w:r>
                    <w:rPr>
                      <w:rFonts w:hint="eastAsia"/>
                      <w:kern w:val="0"/>
                      <w:sz w:val="18"/>
                      <w:szCs w:val="18"/>
                    </w:rPr>
                    <w:t>0.</w:t>
                  </w:r>
                  <w:r>
                    <w:rPr>
                      <w:kern w:val="0"/>
                      <w:sz w:val="18"/>
                      <w:szCs w:val="18"/>
                    </w:rPr>
                    <w:t>03</w:t>
                  </w:r>
                </w:p>
              </w:tc>
              <w:tc>
                <w:tcPr>
                  <w:tcW w:w="715" w:type="dxa"/>
                  <w:tcMar>
                    <w:left w:w="11" w:type="dxa"/>
                    <w:right w:w="11" w:type="dxa"/>
                  </w:tcMar>
                  <w:vAlign w:val="center"/>
                </w:tcPr>
                <w:p>
                  <w:pPr>
                    <w:widowControl/>
                    <w:jc w:val="center"/>
                    <w:rPr>
                      <w:kern w:val="0"/>
                      <w:sz w:val="18"/>
                      <w:szCs w:val="18"/>
                    </w:rPr>
                  </w:pPr>
                  <w:r>
                    <w:rPr>
                      <w:rFonts w:hint="eastAsia"/>
                      <w:kern w:val="0"/>
                      <w:sz w:val="18"/>
                      <w:szCs w:val="18"/>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321" w:type="dxa"/>
                  <w:vMerge w:val="continue"/>
                  <w:tcMar>
                    <w:left w:w="11" w:type="dxa"/>
                    <w:right w:w="11" w:type="dxa"/>
                  </w:tcMar>
                  <w:vAlign w:val="center"/>
                </w:tcPr>
                <w:p>
                  <w:pPr>
                    <w:pStyle w:val="63"/>
                    <w:kinsoku w:val="0"/>
                    <w:overflowPunct w:val="0"/>
                    <w:snapToGrid w:val="0"/>
                    <w:jc w:val="center"/>
                    <w:rPr>
                      <w:kern w:val="2"/>
                      <w:sz w:val="18"/>
                      <w:szCs w:val="18"/>
                    </w:rPr>
                  </w:pPr>
                </w:p>
              </w:tc>
              <w:tc>
                <w:tcPr>
                  <w:tcW w:w="606" w:type="dxa"/>
                  <w:tcMar>
                    <w:left w:w="11" w:type="dxa"/>
                    <w:right w:w="11" w:type="dxa"/>
                  </w:tcMar>
                  <w:vAlign w:val="center"/>
                </w:tcPr>
                <w:p>
                  <w:pPr>
                    <w:widowControl/>
                    <w:jc w:val="center"/>
                    <w:rPr>
                      <w:sz w:val="18"/>
                      <w:szCs w:val="18"/>
                    </w:rPr>
                  </w:pPr>
                  <w:r>
                    <w:rPr>
                      <w:rFonts w:hint="eastAsia"/>
                      <w:sz w:val="18"/>
                      <w:szCs w:val="18"/>
                    </w:rPr>
                    <w:t>提升机</w:t>
                  </w:r>
                  <w:r>
                    <w:rPr>
                      <w:sz w:val="18"/>
                      <w:szCs w:val="18"/>
                    </w:rPr>
                    <w:t>废气</w:t>
                  </w:r>
                </w:p>
              </w:tc>
              <w:tc>
                <w:tcPr>
                  <w:tcW w:w="825" w:type="dxa"/>
                  <w:tcMar>
                    <w:left w:w="11" w:type="dxa"/>
                    <w:right w:w="11" w:type="dxa"/>
                  </w:tcMar>
                  <w:vAlign w:val="center"/>
                </w:tcPr>
                <w:p>
                  <w:pPr>
                    <w:pStyle w:val="63"/>
                    <w:kinsoku w:val="0"/>
                    <w:overflowPunct w:val="0"/>
                    <w:snapToGrid w:val="0"/>
                    <w:jc w:val="center"/>
                    <w:rPr>
                      <w:kern w:val="2"/>
                      <w:sz w:val="18"/>
                      <w:szCs w:val="18"/>
                    </w:rPr>
                  </w:pPr>
                  <w:r>
                    <w:rPr>
                      <w:rFonts w:hint="eastAsia"/>
                      <w:kern w:val="2"/>
                      <w:sz w:val="18"/>
                      <w:szCs w:val="18"/>
                    </w:rPr>
                    <w:t>颗粒物</w:t>
                  </w:r>
                </w:p>
              </w:tc>
              <w:tc>
                <w:tcPr>
                  <w:tcW w:w="645" w:type="dxa"/>
                  <w:tcMar>
                    <w:left w:w="11" w:type="dxa"/>
                    <w:right w:w="11" w:type="dxa"/>
                  </w:tcMar>
                  <w:vAlign w:val="center"/>
                </w:tcPr>
                <w:p>
                  <w:pPr>
                    <w:widowControl/>
                    <w:jc w:val="center"/>
                    <w:rPr>
                      <w:kern w:val="0"/>
                      <w:sz w:val="18"/>
                      <w:szCs w:val="18"/>
                    </w:rPr>
                  </w:pPr>
                  <w:r>
                    <w:rPr>
                      <w:kern w:val="0"/>
                      <w:sz w:val="18"/>
                      <w:szCs w:val="18"/>
                    </w:rPr>
                    <w:t>0.15</w:t>
                  </w:r>
                </w:p>
              </w:tc>
              <w:tc>
                <w:tcPr>
                  <w:tcW w:w="708" w:type="dxa"/>
                  <w:tcMar>
                    <w:left w:w="11" w:type="dxa"/>
                    <w:right w:w="11" w:type="dxa"/>
                  </w:tcMar>
                  <w:vAlign w:val="center"/>
                </w:tcPr>
                <w:p>
                  <w:pPr>
                    <w:widowControl/>
                    <w:jc w:val="center"/>
                    <w:rPr>
                      <w:kern w:val="0"/>
                      <w:sz w:val="18"/>
                      <w:szCs w:val="18"/>
                    </w:rPr>
                  </w:pPr>
                  <w:r>
                    <w:rPr>
                      <w:kern w:val="0"/>
                      <w:sz w:val="18"/>
                      <w:szCs w:val="18"/>
                    </w:rPr>
                    <w:t>0.07</w:t>
                  </w:r>
                </w:p>
              </w:tc>
              <w:tc>
                <w:tcPr>
                  <w:tcW w:w="709" w:type="dxa"/>
                  <w:tcMar>
                    <w:left w:w="11" w:type="dxa"/>
                    <w:right w:w="11" w:type="dxa"/>
                  </w:tcMar>
                  <w:vAlign w:val="center"/>
                </w:tcPr>
                <w:p>
                  <w:pPr>
                    <w:widowControl/>
                    <w:jc w:val="center"/>
                    <w:rPr>
                      <w:kern w:val="0"/>
                      <w:sz w:val="18"/>
                      <w:szCs w:val="18"/>
                    </w:rPr>
                  </w:pPr>
                  <w:r>
                    <w:rPr>
                      <w:rFonts w:hint="eastAsia"/>
                      <w:kern w:val="0"/>
                      <w:sz w:val="18"/>
                      <w:szCs w:val="18"/>
                    </w:rPr>
                    <w:t>/</w:t>
                  </w:r>
                </w:p>
              </w:tc>
              <w:tc>
                <w:tcPr>
                  <w:tcW w:w="2126" w:type="dxa"/>
                  <w:tcMar>
                    <w:left w:w="11" w:type="dxa"/>
                    <w:right w:w="11" w:type="dxa"/>
                  </w:tcMar>
                  <w:vAlign w:val="center"/>
                </w:tcPr>
                <w:p>
                  <w:pPr>
                    <w:widowControl/>
                    <w:jc w:val="center"/>
                    <w:rPr>
                      <w:sz w:val="18"/>
                      <w:szCs w:val="18"/>
                    </w:rPr>
                  </w:pPr>
                  <w:r>
                    <w:rPr>
                      <w:rFonts w:hint="eastAsia"/>
                      <w:sz w:val="18"/>
                      <w:szCs w:val="18"/>
                    </w:rPr>
                    <w:t>/</w:t>
                  </w:r>
                </w:p>
              </w:tc>
              <w:tc>
                <w:tcPr>
                  <w:tcW w:w="567" w:type="dxa"/>
                  <w:tcMar>
                    <w:left w:w="11" w:type="dxa"/>
                    <w:right w:w="11" w:type="dxa"/>
                  </w:tcMar>
                  <w:vAlign w:val="center"/>
                </w:tcPr>
                <w:p>
                  <w:pPr>
                    <w:widowControl/>
                    <w:jc w:val="center"/>
                    <w:rPr>
                      <w:kern w:val="0"/>
                      <w:sz w:val="18"/>
                      <w:szCs w:val="18"/>
                    </w:rPr>
                  </w:pPr>
                  <w:r>
                    <w:rPr>
                      <w:kern w:val="0"/>
                      <w:sz w:val="18"/>
                      <w:szCs w:val="18"/>
                    </w:rPr>
                    <w:t>0.15</w:t>
                  </w:r>
                </w:p>
              </w:tc>
              <w:tc>
                <w:tcPr>
                  <w:tcW w:w="714" w:type="dxa"/>
                  <w:tcMar>
                    <w:left w:w="11" w:type="dxa"/>
                    <w:right w:w="11" w:type="dxa"/>
                  </w:tcMar>
                  <w:vAlign w:val="center"/>
                </w:tcPr>
                <w:p>
                  <w:pPr>
                    <w:widowControl/>
                    <w:jc w:val="center"/>
                    <w:rPr>
                      <w:kern w:val="0"/>
                      <w:sz w:val="18"/>
                      <w:szCs w:val="18"/>
                    </w:rPr>
                  </w:pPr>
                  <w:r>
                    <w:rPr>
                      <w:kern w:val="0"/>
                      <w:sz w:val="18"/>
                      <w:szCs w:val="18"/>
                    </w:rPr>
                    <w:t>0.07</w:t>
                  </w:r>
                </w:p>
              </w:tc>
              <w:tc>
                <w:tcPr>
                  <w:tcW w:w="715" w:type="dxa"/>
                  <w:tcMar>
                    <w:left w:w="11" w:type="dxa"/>
                    <w:right w:w="11" w:type="dxa"/>
                  </w:tcMar>
                  <w:vAlign w:val="center"/>
                </w:tcPr>
                <w:p>
                  <w:pPr>
                    <w:widowControl/>
                    <w:jc w:val="center"/>
                    <w:rPr>
                      <w:kern w:val="0"/>
                      <w:sz w:val="18"/>
                      <w:szCs w:val="18"/>
                    </w:rPr>
                  </w:pPr>
                  <w:r>
                    <w:rPr>
                      <w:rFonts w:hint="eastAsia"/>
                      <w:kern w:val="0"/>
                      <w:sz w:val="18"/>
                      <w:szCs w:val="18"/>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321" w:type="dxa"/>
                  <w:vMerge w:val="continue"/>
                  <w:tcMar>
                    <w:left w:w="11" w:type="dxa"/>
                    <w:right w:w="11" w:type="dxa"/>
                  </w:tcMar>
                  <w:vAlign w:val="center"/>
                </w:tcPr>
                <w:p>
                  <w:pPr>
                    <w:pStyle w:val="63"/>
                    <w:kinsoku w:val="0"/>
                    <w:overflowPunct w:val="0"/>
                    <w:snapToGrid w:val="0"/>
                    <w:jc w:val="center"/>
                    <w:rPr>
                      <w:kern w:val="2"/>
                      <w:sz w:val="18"/>
                      <w:szCs w:val="18"/>
                    </w:rPr>
                  </w:pPr>
                </w:p>
              </w:tc>
              <w:tc>
                <w:tcPr>
                  <w:tcW w:w="606" w:type="dxa"/>
                  <w:tcMar>
                    <w:left w:w="11" w:type="dxa"/>
                    <w:right w:w="11" w:type="dxa"/>
                  </w:tcMar>
                  <w:vAlign w:val="center"/>
                </w:tcPr>
                <w:p>
                  <w:pPr>
                    <w:widowControl/>
                    <w:jc w:val="center"/>
                    <w:rPr>
                      <w:sz w:val="18"/>
                      <w:szCs w:val="18"/>
                    </w:rPr>
                  </w:pPr>
                  <w:r>
                    <w:rPr>
                      <w:rFonts w:hint="eastAsia"/>
                      <w:sz w:val="18"/>
                      <w:szCs w:val="18"/>
                    </w:rPr>
                    <w:t>散装机废气</w:t>
                  </w:r>
                </w:p>
              </w:tc>
              <w:tc>
                <w:tcPr>
                  <w:tcW w:w="825" w:type="dxa"/>
                  <w:tcMar>
                    <w:left w:w="11" w:type="dxa"/>
                    <w:right w:w="11" w:type="dxa"/>
                  </w:tcMar>
                  <w:vAlign w:val="center"/>
                </w:tcPr>
                <w:p>
                  <w:pPr>
                    <w:pStyle w:val="63"/>
                    <w:kinsoku w:val="0"/>
                    <w:overflowPunct w:val="0"/>
                    <w:snapToGrid w:val="0"/>
                    <w:jc w:val="center"/>
                    <w:rPr>
                      <w:kern w:val="2"/>
                      <w:sz w:val="18"/>
                      <w:szCs w:val="18"/>
                    </w:rPr>
                  </w:pPr>
                  <w:r>
                    <w:rPr>
                      <w:rFonts w:hint="eastAsia"/>
                      <w:kern w:val="2"/>
                      <w:sz w:val="18"/>
                      <w:szCs w:val="18"/>
                    </w:rPr>
                    <w:t>颗粒物</w:t>
                  </w:r>
                </w:p>
              </w:tc>
              <w:tc>
                <w:tcPr>
                  <w:tcW w:w="645" w:type="dxa"/>
                  <w:tcMar>
                    <w:left w:w="11" w:type="dxa"/>
                    <w:right w:w="11" w:type="dxa"/>
                  </w:tcMar>
                  <w:vAlign w:val="center"/>
                </w:tcPr>
                <w:p>
                  <w:pPr>
                    <w:widowControl/>
                    <w:jc w:val="center"/>
                    <w:rPr>
                      <w:kern w:val="0"/>
                      <w:sz w:val="18"/>
                      <w:szCs w:val="18"/>
                    </w:rPr>
                  </w:pPr>
                  <w:r>
                    <w:rPr>
                      <w:kern w:val="0"/>
                      <w:sz w:val="18"/>
                      <w:szCs w:val="18"/>
                    </w:rPr>
                    <w:t>0.03</w:t>
                  </w:r>
                </w:p>
              </w:tc>
              <w:tc>
                <w:tcPr>
                  <w:tcW w:w="708" w:type="dxa"/>
                  <w:tcMar>
                    <w:left w:w="11" w:type="dxa"/>
                    <w:right w:w="11" w:type="dxa"/>
                  </w:tcMar>
                  <w:vAlign w:val="center"/>
                </w:tcPr>
                <w:p>
                  <w:pPr>
                    <w:widowControl/>
                    <w:jc w:val="center"/>
                    <w:rPr>
                      <w:kern w:val="0"/>
                      <w:sz w:val="18"/>
                      <w:szCs w:val="18"/>
                    </w:rPr>
                  </w:pPr>
                  <w:r>
                    <w:rPr>
                      <w:kern w:val="0"/>
                      <w:sz w:val="18"/>
                      <w:szCs w:val="18"/>
                    </w:rPr>
                    <w:t>0.1</w:t>
                  </w:r>
                </w:p>
              </w:tc>
              <w:tc>
                <w:tcPr>
                  <w:tcW w:w="709" w:type="dxa"/>
                  <w:tcMar>
                    <w:left w:w="11" w:type="dxa"/>
                    <w:right w:w="11" w:type="dxa"/>
                  </w:tcMar>
                  <w:vAlign w:val="center"/>
                </w:tcPr>
                <w:p>
                  <w:pPr>
                    <w:widowControl/>
                    <w:jc w:val="center"/>
                    <w:rPr>
                      <w:kern w:val="0"/>
                      <w:sz w:val="18"/>
                      <w:szCs w:val="18"/>
                    </w:rPr>
                  </w:pPr>
                  <w:r>
                    <w:rPr>
                      <w:rFonts w:hint="eastAsia"/>
                      <w:kern w:val="0"/>
                      <w:sz w:val="18"/>
                      <w:szCs w:val="18"/>
                    </w:rPr>
                    <w:t>/</w:t>
                  </w:r>
                </w:p>
              </w:tc>
              <w:tc>
                <w:tcPr>
                  <w:tcW w:w="2126" w:type="dxa"/>
                  <w:tcMar>
                    <w:left w:w="11" w:type="dxa"/>
                    <w:right w:w="11" w:type="dxa"/>
                  </w:tcMar>
                  <w:vAlign w:val="center"/>
                </w:tcPr>
                <w:p>
                  <w:pPr>
                    <w:widowControl/>
                    <w:jc w:val="center"/>
                    <w:rPr>
                      <w:sz w:val="18"/>
                      <w:szCs w:val="18"/>
                    </w:rPr>
                  </w:pPr>
                  <w:r>
                    <w:rPr>
                      <w:rFonts w:hint="eastAsia"/>
                      <w:sz w:val="18"/>
                      <w:szCs w:val="18"/>
                    </w:rPr>
                    <w:t>/</w:t>
                  </w:r>
                </w:p>
              </w:tc>
              <w:tc>
                <w:tcPr>
                  <w:tcW w:w="567" w:type="dxa"/>
                  <w:tcMar>
                    <w:left w:w="11" w:type="dxa"/>
                    <w:right w:w="11" w:type="dxa"/>
                  </w:tcMar>
                  <w:vAlign w:val="center"/>
                </w:tcPr>
                <w:p>
                  <w:pPr>
                    <w:widowControl/>
                    <w:jc w:val="center"/>
                    <w:rPr>
                      <w:kern w:val="0"/>
                      <w:sz w:val="18"/>
                      <w:szCs w:val="18"/>
                    </w:rPr>
                  </w:pPr>
                  <w:r>
                    <w:rPr>
                      <w:kern w:val="0"/>
                      <w:sz w:val="18"/>
                      <w:szCs w:val="18"/>
                    </w:rPr>
                    <w:t>0.03</w:t>
                  </w:r>
                </w:p>
              </w:tc>
              <w:tc>
                <w:tcPr>
                  <w:tcW w:w="714" w:type="dxa"/>
                  <w:tcMar>
                    <w:left w:w="11" w:type="dxa"/>
                    <w:right w:w="11" w:type="dxa"/>
                  </w:tcMar>
                  <w:vAlign w:val="center"/>
                </w:tcPr>
                <w:p>
                  <w:pPr>
                    <w:widowControl/>
                    <w:jc w:val="center"/>
                    <w:rPr>
                      <w:kern w:val="0"/>
                      <w:sz w:val="18"/>
                      <w:szCs w:val="18"/>
                    </w:rPr>
                  </w:pPr>
                  <w:r>
                    <w:rPr>
                      <w:kern w:val="0"/>
                      <w:sz w:val="18"/>
                      <w:szCs w:val="18"/>
                    </w:rPr>
                    <w:t>0.1</w:t>
                  </w:r>
                </w:p>
              </w:tc>
              <w:tc>
                <w:tcPr>
                  <w:tcW w:w="715" w:type="dxa"/>
                  <w:tcMar>
                    <w:left w:w="11" w:type="dxa"/>
                    <w:right w:w="11" w:type="dxa"/>
                  </w:tcMar>
                  <w:vAlign w:val="center"/>
                </w:tcPr>
                <w:p>
                  <w:pPr>
                    <w:widowControl/>
                    <w:jc w:val="center"/>
                    <w:rPr>
                      <w:kern w:val="0"/>
                      <w:sz w:val="18"/>
                      <w:szCs w:val="18"/>
                    </w:rPr>
                  </w:pPr>
                  <w:r>
                    <w:rPr>
                      <w:rFonts w:hint="eastAsia"/>
                      <w:kern w:val="0"/>
                      <w:sz w:val="18"/>
                      <w:szCs w:val="18"/>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321" w:type="dxa"/>
                  <w:vMerge w:val="continue"/>
                  <w:tcMar>
                    <w:left w:w="11" w:type="dxa"/>
                    <w:right w:w="11" w:type="dxa"/>
                  </w:tcMar>
                  <w:vAlign w:val="center"/>
                </w:tcPr>
                <w:p>
                  <w:pPr>
                    <w:pStyle w:val="63"/>
                    <w:kinsoku w:val="0"/>
                    <w:overflowPunct w:val="0"/>
                    <w:snapToGrid w:val="0"/>
                    <w:jc w:val="center"/>
                    <w:rPr>
                      <w:kern w:val="2"/>
                      <w:sz w:val="18"/>
                      <w:szCs w:val="18"/>
                    </w:rPr>
                  </w:pPr>
                </w:p>
              </w:tc>
              <w:tc>
                <w:tcPr>
                  <w:tcW w:w="606" w:type="dxa"/>
                  <w:tcMar>
                    <w:left w:w="11" w:type="dxa"/>
                    <w:right w:w="11" w:type="dxa"/>
                  </w:tcMar>
                  <w:vAlign w:val="center"/>
                </w:tcPr>
                <w:p>
                  <w:pPr>
                    <w:widowControl/>
                    <w:jc w:val="center"/>
                    <w:rPr>
                      <w:sz w:val="18"/>
                      <w:szCs w:val="18"/>
                    </w:rPr>
                  </w:pPr>
                  <w:r>
                    <w:rPr>
                      <w:rFonts w:hint="eastAsia"/>
                      <w:sz w:val="18"/>
                      <w:szCs w:val="18"/>
                    </w:rPr>
                    <w:t>车辆扬尘</w:t>
                  </w:r>
                </w:p>
              </w:tc>
              <w:tc>
                <w:tcPr>
                  <w:tcW w:w="825" w:type="dxa"/>
                  <w:tcMar>
                    <w:left w:w="11" w:type="dxa"/>
                    <w:right w:w="11" w:type="dxa"/>
                  </w:tcMar>
                  <w:vAlign w:val="center"/>
                </w:tcPr>
                <w:p>
                  <w:pPr>
                    <w:pStyle w:val="63"/>
                    <w:kinsoku w:val="0"/>
                    <w:overflowPunct w:val="0"/>
                    <w:snapToGrid w:val="0"/>
                    <w:jc w:val="center"/>
                    <w:rPr>
                      <w:kern w:val="2"/>
                      <w:sz w:val="18"/>
                      <w:szCs w:val="18"/>
                    </w:rPr>
                  </w:pPr>
                  <w:r>
                    <w:rPr>
                      <w:rFonts w:hint="eastAsia"/>
                      <w:kern w:val="2"/>
                      <w:sz w:val="18"/>
                      <w:szCs w:val="18"/>
                    </w:rPr>
                    <w:t>颗粒物</w:t>
                  </w:r>
                </w:p>
              </w:tc>
              <w:tc>
                <w:tcPr>
                  <w:tcW w:w="645" w:type="dxa"/>
                  <w:tcMar>
                    <w:left w:w="11" w:type="dxa"/>
                    <w:right w:w="11" w:type="dxa"/>
                  </w:tcMar>
                  <w:vAlign w:val="center"/>
                </w:tcPr>
                <w:p>
                  <w:pPr>
                    <w:widowControl/>
                    <w:jc w:val="center"/>
                    <w:rPr>
                      <w:kern w:val="0"/>
                      <w:sz w:val="18"/>
                      <w:szCs w:val="18"/>
                    </w:rPr>
                  </w:pPr>
                  <w:r>
                    <w:rPr>
                      <w:rFonts w:hint="eastAsia"/>
                      <w:kern w:val="0"/>
                      <w:sz w:val="18"/>
                      <w:szCs w:val="18"/>
                    </w:rPr>
                    <w:t>0</w:t>
                  </w:r>
                  <w:r>
                    <w:rPr>
                      <w:kern w:val="0"/>
                      <w:sz w:val="18"/>
                      <w:szCs w:val="18"/>
                    </w:rPr>
                    <w:t>.174</w:t>
                  </w:r>
                </w:p>
              </w:tc>
              <w:tc>
                <w:tcPr>
                  <w:tcW w:w="708" w:type="dxa"/>
                  <w:tcMar>
                    <w:left w:w="11" w:type="dxa"/>
                    <w:right w:w="11" w:type="dxa"/>
                  </w:tcMar>
                  <w:vAlign w:val="center"/>
                </w:tcPr>
                <w:p>
                  <w:pPr>
                    <w:widowControl/>
                    <w:jc w:val="center"/>
                    <w:rPr>
                      <w:kern w:val="0"/>
                      <w:sz w:val="18"/>
                      <w:szCs w:val="18"/>
                    </w:rPr>
                  </w:pPr>
                  <w:r>
                    <w:rPr>
                      <w:rFonts w:hint="eastAsia"/>
                      <w:kern w:val="0"/>
                      <w:sz w:val="18"/>
                      <w:szCs w:val="18"/>
                    </w:rPr>
                    <w:t>/</w:t>
                  </w:r>
                </w:p>
              </w:tc>
              <w:tc>
                <w:tcPr>
                  <w:tcW w:w="709" w:type="dxa"/>
                  <w:tcMar>
                    <w:left w:w="11" w:type="dxa"/>
                    <w:right w:w="11" w:type="dxa"/>
                  </w:tcMar>
                  <w:vAlign w:val="center"/>
                </w:tcPr>
                <w:p>
                  <w:pPr>
                    <w:widowControl/>
                    <w:jc w:val="center"/>
                    <w:rPr>
                      <w:kern w:val="0"/>
                      <w:sz w:val="18"/>
                      <w:szCs w:val="18"/>
                    </w:rPr>
                  </w:pPr>
                  <w:r>
                    <w:rPr>
                      <w:rFonts w:hint="eastAsia"/>
                      <w:kern w:val="0"/>
                      <w:sz w:val="18"/>
                      <w:szCs w:val="18"/>
                    </w:rPr>
                    <w:t>/</w:t>
                  </w:r>
                </w:p>
              </w:tc>
              <w:tc>
                <w:tcPr>
                  <w:tcW w:w="2126" w:type="dxa"/>
                  <w:tcMar>
                    <w:left w:w="11" w:type="dxa"/>
                    <w:right w:w="11" w:type="dxa"/>
                  </w:tcMar>
                  <w:vAlign w:val="center"/>
                </w:tcPr>
                <w:p>
                  <w:pPr>
                    <w:widowControl/>
                    <w:jc w:val="center"/>
                    <w:rPr>
                      <w:sz w:val="18"/>
                      <w:szCs w:val="18"/>
                    </w:rPr>
                  </w:pPr>
                  <w:r>
                    <w:rPr>
                      <w:rFonts w:hint="eastAsia"/>
                      <w:sz w:val="18"/>
                      <w:szCs w:val="18"/>
                    </w:rPr>
                    <w:t>设置</w:t>
                  </w:r>
                  <w:r>
                    <w:rPr>
                      <w:sz w:val="18"/>
                      <w:szCs w:val="18"/>
                    </w:rPr>
                    <w:t>高压清洗平台+厂区</w:t>
                  </w:r>
                  <w:r>
                    <w:rPr>
                      <w:rFonts w:hint="eastAsia"/>
                      <w:sz w:val="18"/>
                      <w:szCs w:val="18"/>
                    </w:rPr>
                    <w:t>闲置裸露空地绿化+</w:t>
                  </w:r>
                  <w:r>
                    <w:rPr>
                      <w:sz w:val="18"/>
                      <w:szCs w:val="18"/>
                    </w:rPr>
                    <w:t>定期洒水降尘</w:t>
                  </w:r>
                </w:p>
              </w:tc>
              <w:tc>
                <w:tcPr>
                  <w:tcW w:w="567" w:type="dxa"/>
                  <w:tcMar>
                    <w:left w:w="11" w:type="dxa"/>
                    <w:right w:w="11" w:type="dxa"/>
                  </w:tcMar>
                  <w:vAlign w:val="center"/>
                </w:tcPr>
                <w:p>
                  <w:pPr>
                    <w:pStyle w:val="21"/>
                    <w:ind w:left="0" w:leftChars="0" w:firstLine="0" w:firstLineChars="0"/>
                    <w:jc w:val="center"/>
                    <w:rPr>
                      <w:sz w:val="18"/>
                      <w:szCs w:val="18"/>
                    </w:rPr>
                  </w:pPr>
                  <w:r>
                    <w:rPr>
                      <w:rFonts w:hint="eastAsia"/>
                      <w:sz w:val="18"/>
                      <w:szCs w:val="18"/>
                    </w:rPr>
                    <w:t>0.0</w:t>
                  </w:r>
                  <w:r>
                    <w:rPr>
                      <w:sz w:val="18"/>
                      <w:szCs w:val="18"/>
                    </w:rPr>
                    <w:t>35</w:t>
                  </w:r>
                </w:p>
              </w:tc>
              <w:tc>
                <w:tcPr>
                  <w:tcW w:w="714" w:type="dxa"/>
                  <w:tcMar>
                    <w:left w:w="11" w:type="dxa"/>
                    <w:right w:w="11" w:type="dxa"/>
                  </w:tcMar>
                  <w:vAlign w:val="center"/>
                </w:tcPr>
                <w:p>
                  <w:pPr>
                    <w:widowControl/>
                    <w:jc w:val="center"/>
                    <w:rPr>
                      <w:sz w:val="18"/>
                      <w:szCs w:val="18"/>
                    </w:rPr>
                  </w:pPr>
                  <w:r>
                    <w:rPr>
                      <w:rFonts w:hint="eastAsia"/>
                      <w:sz w:val="18"/>
                      <w:szCs w:val="18"/>
                    </w:rPr>
                    <w:t>/</w:t>
                  </w:r>
                </w:p>
              </w:tc>
              <w:tc>
                <w:tcPr>
                  <w:tcW w:w="715" w:type="dxa"/>
                  <w:tcMar>
                    <w:left w:w="11" w:type="dxa"/>
                    <w:right w:w="11" w:type="dxa"/>
                  </w:tcMar>
                  <w:vAlign w:val="center"/>
                </w:tcPr>
                <w:p>
                  <w:pPr>
                    <w:widowControl/>
                    <w:jc w:val="center"/>
                    <w:rPr>
                      <w:kern w:val="0"/>
                      <w:sz w:val="18"/>
                      <w:szCs w:val="18"/>
                    </w:rPr>
                  </w:pPr>
                  <w:r>
                    <w:rPr>
                      <w:rFonts w:hint="eastAsia"/>
                      <w:kern w:val="0"/>
                      <w:sz w:val="18"/>
                      <w:szCs w:val="18"/>
                    </w:rPr>
                    <w:t>/</w:t>
                  </w:r>
                </w:p>
              </w:tc>
            </w:tr>
          </w:tbl>
          <w:p>
            <w:pPr>
              <w:spacing w:line="80" w:lineRule="exact"/>
              <w:ind w:firstLine="482" w:firstLineChars="200"/>
              <w:rPr>
                <w:b/>
                <w:bCs/>
                <w:snapToGrid w:val="0"/>
                <w:kern w:val="0"/>
                <w:sz w:val="24"/>
              </w:rPr>
            </w:pPr>
          </w:p>
          <w:p>
            <w:pPr>
              <w:spacing w:line="440" w:lineRule="exact"/>
              <w:ind w:firstLine="482" w:firstLineChars="200"/>
              <w:rPr>
                <w:b/>
                <w:bCs/>
                <w:snapToGrid w:val="0"/>
                <w:kern w:val="0"/>
                <w:sz w:val="24"/>
              </w:rPr>
            </w:pPr>
            <w:r>
              <w:rPr>
                <w:rFonts w:hint="eastAsia"/>
                <w:b/>
                <w:bCs/>
                <w:snapToGrid w:val="0"/>
                <w:kern w:val="0"/>
                <w:sz w:val="24"/>
              </w:rPr>
              <w:t>1.2排放口基本情况</w:t>
            </w:r>
          </w:p>
          <w:p>
            <w:pPr>
              <w:spacing w:line="440" w:lineRule="exact"/>
              <w:ind w:firstLine="480" w:firstLineChars="200"/>
              <w:rPr>
                <w:snapToGrid w:val="0"/>
                <w:kern w:val="0"/>
                <w:sz w:val="24"/>
              </w:rPr>
            </w:pPr>
            <w:r>
              <w:rPr>
                <w:rFonts w:hint="eastAsia"/>
                <w:snapToGrid w:val="0"/>
                <w:kern w:val="0"/>
                <w:sz w:val="24"/>
              </w:rPr>
              <w:t>排放口基本情况见表</w:t>
            </w:r>
            <w:r>
              <w:rPr>
                <w:snapToGrid w:val="0"/>
                <w:kern w:val="0"/>
                <w:sz w:val="24"/>
              </w:rPr>
              <w:t>21</w:t>
            </w:r>
            <w:r>
              <w:rPr>
                <w:rFonts w:hint="eastAsia"/>
                <w:snapToGrid w:val="0"/>
                <w:kern w:val="0"/>
                <w:sz w:val="24"/>
              </w:rPr>
              <w:t>。</w:t>
            </w:r>
          </w:p>
          <w:p>
            <w:pPr>
              <w:autoSpaceDE w:val="0"/>
              <w:autoSpaceDN w:val="0"/>
              <w:adjustRightInd w:val="0"/>
              <w:snapToGrid w:val="0"/>
              <w:spacing w:line="440" w:lineRule="exact"/>
              <w:ind w:firstLine="720" w:firstLineChars="300"/>
              <w:rPr>
                <w:rFonts w:eastAsia="黑体"/>
                <w:sz w:val="24"/>
                <w:szCs w:val="22"/>
              </w:rPr>
            </w:pPr>
            <w:r>
              <w:rPr>
                <w:rFonts w:hint="eastAsia" w:eastAsia="黑体"/>
                <w:sz w:val="24"/>
                <w:szCs w:val="22"/>
              </w:rPr>
              <w:t>表</w:t>
            </w:r>
            <w:r>
              <w:rPr>
                <w:rFonts w:eastAsia="黑体"/>
                <w:sz w:val="24"/>
                <w:szCs w:val="22"/>
              </w:rPr>
              <w:t>21</w:t>
            </w:r>
            <w:r>
              <w:rPr>
                <w:rFonts w:hint="eastAsia" w:eastAsia="黑体"/>
                <w:sz w:val="24"/>
                <w:szCs w:val="22"/>
              </w:rPr>
              <w:t xml:space="preserve">  </w:t>
            </w:r>
            <w:r>
              <w:rPr>
                <w:rFonts w:eastAsia="黑体"/>
                <w:sz w:val="24"/>
                <w:szCs w:val="22"/>
              </w:rPr>
              <w:t xml:space="preserve">           </w:t>
            </w:r>
            <w:r>
              <w:rPr>
                <w:rFonts w:hint="eastAsia" w:eastAsia="黑体"/>
                <w:sz w:val="24"/>
                <w:szCs w:val="22"/>
              </w:rPr>
              <w:t>废气排放口基本情况</w:t>
            </w:r>
          </w:p>
          <w:tbl>
            <w:tblPr>
              <w:tblStyle w:val="22"/>
              <w:tblW w:w="7915" w:type="dxa"/>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28" w:type="dxa"/>
                <w:bottom w:w="0" w:type="dxa"/>
                <w:right w:w="28" w:type="dxa"/>
              </w:tblCellMar>
            </w:tblPr>
            <w:tblGrid>
              <w:gridCol w:w="376"/>
              <w:gridCol w:w="770"/>
              <w:gridCol w:w="1151"/>
              <w:gridCol w:w="739"/>
              <w:gridCol w:w="1421"/>
              <w:gridCol w:w="1365"/>
              <w:gridCol w:w="660"/>
              <w:gridCol w:w="838"/>
              <w:gridCol w:w="595"/>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36" w:hRule="atLeast"/>
              </w:trPr>
              <w:tc>
                <w:tcPr>
                  <w:tcW w:w="376" w:type="dxa"/>
                  <w:vMerge w:val="restart"/>
                  <w:tcMar>
                    <w:top w:w="57" w:type="dxa"/>
                    <w:left w:w="28" w:type="dxa"/>
                    <w:bottom w:w="57" w:type="dxa"/>
                    <w:right w:w="28" w:type="dxa"/>
                  </w:tcMar>
                  <w:vAlign w:val="center"/>
                </w:tcPr>
                <w:p>
                  <w:pPr>
                    <w:jc w:val="center"/>
                    <w:rPr>
                      <w:szCs w:val="21"/>
                    </w:rPr>
                  </w:pPr>
                  <w:r>
                    <w:rPr>
                      <w:rFonts w:hint="eastAsia"/>
                      <w:szCs w:val="21"/>
                    </w:rPr>
                    <w:t>序号</w:t>
                  </w:r>
                </w:p>
              </w:tc>
              <w:tc>
                <w:tcPr>
                  <w:tcW w:w="770" w:type="dxa"/>
                  <w:vMerge w:val="restart"/>
                  <w:tcMar>
                    <w:top w:w="57" w:type="dxa"/>
                    <w:left w:w="28" w:type="dxa"/>
                    <w:bottom w:w="57" w:type="dxa"/>
                    <w:right w:w="28" w:type="dxa"/>
                  </w:tcMar>
                  <w:vAlign w:val="center"/>
                </w:tcPr>
                <w:p>
                  <w:pPr>
                    <w:jc w:val="center"/>
                    <w:rPr>
                      <w:szCs w:val="21"/>
                    </w:rPr>
                  </w:pPr>
                  <w:r>
                    <w:rPr>
                      <w:rFonts w:hint="eastAsia"/>
                      <w:szCs w:val="21"/>
                    </w:rPr>
                    <w:t>排放口</w:t>
                  </w:r>
                  <w:r>
                    <w:rPr>
                      <w:szCs w:val="21"/>
                    </w:rPr>
                    <w:t>编号</w:t>
                  </w:r>
                </w:p>
              </w:tc>
              <w:tc>
                <w:tcPr>
                  <w:tcW w:w="1151" w:type="dxa"/>
                  <w:vMerge w:val="restart"/>
                  <w:tcMar>
                    <w:top w:w="57" w:type="dxa"/>
                    <w:bottom w:w="57" w:type="dxa"/>
                  </w:tcMar>
                  <w:vAlign w:val="center"/>
                </w:tcPr>
                <w:p>
                  <w:pPr>
                    <w:jc w:val="center"/>
                    <w:rPr>
                      <w:szCs w:val="21"/>
                    </w:rPr>
                  </w:pPr>
                  <w:r>
                    <w:rPr>
                      <w:rFonts w:hint="eastAsia"/>
                      <w:szCs w:val="21"/>
                    </w:rPr>
                    <w:t>排放口</w:t>
                  </w:r>
                  <w:r>
                    <w:rPr>
                      <w:szCs w:val="21"/>
                    </w:rPr>
                    <w:t>名称</w:t>
                  </w:r>
                </w:p>
              </w:tc>
              <w:tc>
                <w:tcPr>
                  <w:tcW w:w="739" w:type="dxa"/>
                  <w:vMerge w:val="restart"/>
                  <w:tcMar>
                    <w:top w:w="57" w:type="dxa"/>
                    <w:bottom w:w="57" w:type="dxa"/>
                  </w:tcMar>
                  <w:vAlign w:val="center"/>
                </w:tcPr>
                <w:p>
                  <w:pPr>
                    <w:jc w:val="center"/>
                    <w:rPr>
                      <w:szCs w:val="21"/>
                    </w:rPr>
                  </w:pPr>
                  <w:r>
                    <w:rPr>
                      <w:rFonts w:hint="eastAsia"/>
                      <w:szCs w:val="21"/>
                    </w:rPr>
                    <w:t>污染物</w:t>
                  </w:r>
                  <w:r>
                    <w:rPr>
                      <w:szCs w:val="21"/>
                    </w:rPr>
                    <w:t>种类</w:t>
                  </w:r>
                </w:p>
              </w:tc>
              <w:tc>
                <w:tcPr>
                  <w:tcW w:w="2786" w:type="dxa"/>
                  <w:gridSpan w:val="2"/>
                  <w:tcMar>
                    <w:top w:w="57" w:type="dxa"/>
                    <w:bottom w:w="57" w:type="dxa"/>
                  </w:tcMar>
                  <w:vAlign w:val="center"/>
                </w:tcPr>
                <w:p>
                  <w:pPr>
                    <w:jc w:val="center"/>
                    <w:rPr>
                      <w:szCs w:val="21"/>
                    </w:rPr>
                  </w:pPr>
                  <w:r>
                    <w:rPr>
                      <w:rFonts w:hint="eastAsia"/>
                      <w:szCs w:val="21"/>
                    </w:rPr>
                    <w:t>排放口地理</w:t>
                  </w:r>
                  <w:r>
                    <w:rPr>
                      <w:szCs w:val="21"/>
                    </w:rPr>
                    <w:t>坐标</w:t>
                  </w:r>
                </w:p>
              </w:tc>
              <w:tc>
                <w:tcPr>
                  <w:tcW w:w="660" w:type="dxa"/>
                  <w:vMerge w:val="restart"/>
                  <w:vAlign w:val="center"/>
                </w:tcPr>
                <w:p>
                  <w:pPr>
                    <w:jc w:val="center"/>
                    <w:rPr>
                      <w:szCs w:val="21"/>
                    </w:rPr>
                  </w:pPr>
                  <w:r>
                    <w:rPr>
                      <w:rFonts w:hint="eastAsia"/>
                      <w:szCs w:val="21"/>
                    </w:rPr>
                    <w:t>排气筒</w:t>
                  </w:r>
                  <w:r>
                    <w:rPr>
                      <w:szCs w:val="21"/>
                    </w:rPr>
                    <w:t>高度</w:t>
                  </w:r>
                  <w:r>
                    <w:rPr>
                      <w:rFonts w:hint="eastAsia"/>
                      <w:szCs w:val="21"/>
                    </w:rPr>
                    <w:t>（m）</w:t>
                  </w:r>
                </w:p>
              </w:tc>
              <w:tc>
                <w:tcPr>
                  <w:tcW w:w="838" w:type="dxa"/>
                  <w:vMerge w:val="restart"/>
                  <w:vAlign w:val="center"/>
                </w:tcPr>
                <w:p>
                  <w:pPr>
                    <w:jc w:val="center"/>
                    <w:rPr>
                      <w:szCs w:val="21"/>
                    </w:rPr>
                  </w:pPr>
                  <w:r>
                    <w:rPr>
                      <w:rFonts w:hint="eastAsia"/>
                      <w:szCs w:val="21"/>
                    </w:rPr>
                    <w:t>排气筒</w:t>
                  </w:r>
                  <w:r>
                    <w:rPr>
                      <w:szCs w:val="21"/>
                    </w:rPr>
                    <w:t>出口内径</w:t>
                  </w:r>
                  <w:r>
                    <w:rPr>
                      <w:rFonts w:hint="eastAsia"/>
                      <w:szCs w:val="21"/>
                    </w:rPr>
                    <w:t>（m）</w:t>
                  </w:r>
                </w:p>
              </w:tc>
              <w:tc>
                <w:tcPr>
                  <w:tcW w:w="595" w:type="dxa"/>
                  <w:vMerge w:val="restart"/>
                  <w:vAlign w:val="center"/>
                </w:tcPr>
                <w:p>
                  <w:pPr>
                    <w:jc w:val="center"/>
                    <w:rPr>
                      <w:szCs w:val="21"/>
                    </w:rPr>
                  </w:pPr>
                  <w:r>
                    <w:rPr>
                      <w:rFonts w:hint="eastAsia"/>
                      <w:szCs w:val="21"/>
                    </w:rPr>
                    <w:t>排气</w:t>
                  </w:r>
                </w:p>
                <w:p>
                  <w:pPr>
                    <w:jc w:val="center"/>
                    <w:rPr>
                      <w:szCs w:val="21"/>
                    </w:rPr>
                  </w:pPr>
                  <w:r>
                    <w:rPr>
                      <w:szCs w:val="21"/>
                    </w:rPr>
                    <w:t>温度</w:t>
                  </w:r>
                  <w:r>
                    <w:rPr>
                      <w:rFonts w:hint="eastAsia"/>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359" w:hRule="atLeast"/>
              </w:trPr>
              <w:tc>
                <w:tcPr>
                  <w:tcW w:w="376" w:type="dxa"/>
                  <w:vMerge w:val="continue"/>
                  <w:tcMar>
                    <w:top w:w="57" w:type="dxa"/>
                    <w:left w:w="28" w:type="dxa"/>
                    <w:bottom w:w="57" w:type="dxa"/>
                    <w:right w:w="28" w:type="dxa"/>
                  </w:tcMar>
                  <w:vAlign w:val="center"/>
                </w:tcPr>
                <w:p>
                  <w:pPr>
                    <w:jc w:val="center"/>
                    <w:rPr>
                      <w:bCs/>
                      <w:szCs w:val="21"/>
                    </w:rPr>
                  </w:pPr>
                </w:p>
              </w:tc>
              <w:tc>
                <w:tcPr>
                  <w:tcW w:w="770" w:type="dxa"/>
                  <w:vMerge w:val="continue"/>
                  <w:tcMar>
                    <w:top w:w="57" w:type="dxa"/>
                    <w:left w:w="28" w:type="dxa"/>
                    <w:bottom w:w="57" w:type="dxa"/>
                    <w:right w:w="28" w:type="dxa"/>
                  </w:tcMar>
                  <w:vAlign w:val="center"/>
                </w:tcPr>
                <w:p>
                  <w:pPr>
                    <w:jc w:val="center"/>
                    <w:rPr>
                      <w:bCs/>
                      <w:szCs w:val="21"/>
                    </w:rPr>
                  </w:pPr>
                </w:p>
              </w:tc>
              <w:tc>
                <w:tcPr>
                  <w:tcW w:w="1151" w:type="dxa"/>
                  <w:vMerge w:val="continue"/>
                  <w:tcMar>
                    <w:top w:w="57" w:type="dxa"/>
                    <w:bottom w:w="57" w:type="dxa"/>
                  </w:tcMar>
                  <w:vAlign w:val="center"/>
                </w:tcPr>
                <w:p>
                  <w:pPr>
                    <w:jc w:val="center"/>
                    <w:rPr>
                      <w:bCs/>
                      <w:szCs w:val="21"/>
                    </w:rPr>
                  </w:pPr>
                </w:p>
              </w:tc>
              <w:tc>
                <w:tcPr>
                  <w:tcW w:w="739" w:type="dxa"/>
                  <w:vMerge w:val="continue"/>
                  <w:tcMar>
                    <w:top w:w="57" w:type="dxa"/>
                    <w:bottom w:w="57" w:type="dxa"/>
                  </w:tcMar>
                  <w:vAlign w:val="center"/>
                </w:tcPr>
                <w:p>
                  <w:pPr>
                    <w:jc w:val="center"/>
                    <w:rPr>
                      <w:bCs/>
                      <w:szCs w:val="21"/>
                    </w:rPr>
                  </w:pPr>
                </w:p>
              </w:tc>
              <w:tc>
                <w:tcPr>
                  <w:tcW w:w="1421" w:type="dxa"/>
                  <w:tcMar>
                    <w:top w:w="57" w:type="dxa"/>
                    <w:bottom w:w="57" w:type="dxa"/>
                  </w:tcMar>
                  <w:vAlign w:val="center"/>
                </w:tcPr>
                <w:p>
                  <w:pPr>
                    <w:jc w:val="center"/>
                    <w:rPr>
                      <w:szCs w:val="21"/>
                    </w:rPr>
                  </w:pPr>
                  <w:r>
                    <w:rPr>
                      <w:rFonts w:hint="eastAsia"/>
                      <w:szCs w:val="21"/>
                    </w:rPr>
                    <w:t>经度</w:t>
                  </w:r>
                </w:p>
              </w:tc>
              <w:tc>
                <w:tcPr>
                  <w:tcW w:w="1365" w:type="dxa"/>
                  <w:vAlign w:val="center"/>
                </w:tcPr>
                <w:p>
                  <w:pPr>
                    <w:jc w:val="center"/>
                    <w:rPr>
                      <w:szCs w:val="21"/>
                    </w:rPr>
                  </w:pPr>
                  <w:r>
                    <w:rPr>
                      <w:rFonts w:hint="eastAsia"/>
                      <w:szCs w:val="21"/>
                    </w:rPr>
                    <w:t>纬度</w:t>
                  </w:r>
                </w:p>
              </w:tc>
              <w:tc>
                <w:tcPr>
                  <w:tcW w:w="660" w:type="dxa"/>
                  <w:vMerge w:val="continue"/>
                  <w:vAlign w:val="center"/>
                </w:tcPr>
                <w:p>
                  <w:pPr>
                    <w:jc w:val="center"/>
                    <w:rPr>
                      <w:bCs/>
                      <w:szCs w:val="21"/>
                    </w:rPr>
                  </w:pPr>
                </w:p>
              </w:tc>
              <w:tc>
                <w:tcPr>
                  <w:tcW w:w="838" w:type="dxa"/>
                  <w:vMerge w:val="continue"/>
                  <w:vAlign w:val="center"/>
                </w:tcPr>
                <w:p>
                  <w:pPr>
                    <w:jc w:val="center"/>
                    <w:rPr>
                      <w:bCs/>
                      <w:szCs w:val="21"/>
                    </w:rPr>
                  </w:pPr>
                </w:p>
              </w:tc>
              <w:tc>
                <w:tcPr>
                  <w:tcW w:w="595" w:type="dxa"/>
                  <w:vMerge w:val="continue"/>
                  <w:vAlign w:val="center"/>
                </w:tcPr>
                <w:p>
                  <w:pPr>
                    <w:jc w:val="center"/>
                    <w:rPr>
                      <w:bCs/>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376" w:type="dxa"/>
                  <w:tcMar>
                    <w:top w:w="57" w:type="dxa"/>
                    <w:left w:w="28" w:type="dxa"/>
                    <w:bottom w:w="57" w:type="dxa"/>
                    <w:right w:w="28" w:type="dxa"/>
                  </w:tcMar>
                  <w:vAlign w:val="center"/>
                </w:tcPr>
                <w:p>
                  <w:pPr>
                    <w:jc w:val="center"/>
                    <w:rPr>
                      <w:bCs/>
                      <w:szCs w:val="21"/>
                    </w:rPr>
                  </w:pPr>
                  <w:r>
                    <w:rPr>
                      <w:rFonts w:hint="eastAsia"/>
                      <w:bCs/>
                      <w:szCs w:val="21"/>
                    </w:rPr>
                    <w:t>1</w:t>
                  </w:r>
                </w:p>
              </w:tc>
              <w:tc>
                <w:tcPr>
                  <w:tcW w:w="770" w:type="dxa"/>
                  <w:tcMar>
                    <w:top w:w="57" w:type="dxa"/>
                    <w:left w:w="28" w:type="dxa"/>
                    <w:bottom w:w="57" w:type="dxa"/>
                    <w:right w:w="28" w:type="dxa"/>
                  </w:tcMar>
                  <w:vAlign w:val="center"/>
                </w:tcPr>
                <w:p>
                  <w:pPr>
                    <w:jc w:val="center"/>
                    <w:rPr>
                      <w:bCs/>
                      <w:szCs w:val="21"/>
                    </w:rPr>
                  </w:pPr>
                  <w:r>
                    <w:rPr>
                      <w:rFonts w:hint="eastAsia"/>
                      <w:bCs/>
                      <w:szCs w:val="21"/>
                    </w:rPr>
                    <w:t>DA001</w:t>
                  </w:r>
                </w:p>
              </w:tc>
              <w:tc>
                <w:tcPr>
                  <w:tcW w:w="1151" w:type="dxa"/>
                  <w:tcMar>
                    <w:top w:w="57" w:type="dxa"/>
                    <w:bottom w:w="57" w:type="dxa"/>
                  </w:tcMar>
                  <w:vAlign w:val="center"/>
                </w:tcPr>
                <w:p>
                  <w:pPr>
                    <w:snapToGrid w:val="0"/>
                    <w:jc w:val="center"/>
                    <w:rPr>
                      <w:snapToGrid w:val="0"/>
                      <w:kern w:val="0"/>
                      <w:szCs w:val="21"/>
                    </w:rPr>
                  </w:pPr>
                  <w:r>
                    <w:rPr>
                      <w:rFonts w:hint="eastAsia"/>
                      <w:snapToGrid w:val="0"/>
                      <w:kern w:val="0"/>
                      <w:szCs w:val="21"/>
                    </w:rPr>
                    <w:t>原料料仓废气</w:t>
                  </w:r>
                </w:p>
              </w:tc>
              <w:tc>
                <w:tcPr>
                  <w:tcW w:w="739" w:type="dxa"/>
                  <w:tcMar>
                    <w:top w:w="57" w:type="dxa"/>
                    <w:bottom w:w="57" w:type="dxa"/>
                  </w:tcMar>
                  <w:vAlign w:val="center"/>
                </w:tcPr>
                <w:p>
                  <w:pPr>
                    <w:autoSpaceDE w:val="0"/>
                    <w:autoSpaceDN w:val="0"/>
                    <w:adjustRightInd w:val="0"/>
                    <w:jc w:val="center"/>
                    <w:rPr>
                      <w:rFonts w:cs="宋体"/>
                      <w:kern w:val="0"/>
                      <w:szCs w:val="21"/>
                    </w:rPr>
                  </w:pPr>
                  <w:r>
                    <w:rPr>
                      <w:rFonts w:hint="eastAsia" w:cs="宋体"/>
                      <w:kern w:val="0"/>
                      <w:szCs w:val="21"/>
                    </w:rPr>
                    <w:t>颗粒物</w:t>
                  </w:r>
                </w:p>
              </w:tc>
              <w:tc>
                <w:tcPr>
                  <w:tcW w:w="1421" w:type="dxa"/>
                  <w:tcMar>
                    <w:top w:w="57" w:type="dxa"/>
                    <w:bottom w:w="57" w:type="dxa"/>
                  </w:tcMar>
                  <w:vAlign w:val="center"/>
                </w:tcPr>
                <w:p>
                  <w:pPr>
                    <w:pStyle w:val="20"/>
                    <w:spacing w:line="260" w:lineRule="auto"/>
                    <w:ind w:firstLine="0" w:firstLineChars="0"/>
                  </w:pPr>
                  <w:r>
                    <w:t>112°57′54.45″</w:t>
                  </w:r>
                </w:p>
              </w:tc>
              <w:tc>
                <w:tcPr>
                  <w:tcW w:w="1365" w:type="dxa"/>
                  <w:vAlign w:val="center"/>
                </w:tcPr>
                <w:p>
                  <w:pPr>
                    <w:pStyle w:val="20"/>
                    <w:spacing w:line="260" w:lineRule="auto"/>
                    <w:ind w:firstLine="0" w:firstLineChars="0"/>
                  </w:pPr>
                  <w:r>
                    <w:t>33°45′50.14″</w:t>
                  </w:r>
                </w:p>
              </w:tc>
              <w:tc>
                <w:tcPr>
                  <w:tcW w:w="660" w:type="dxa"/>
                  <w:vAlign w:val="center"/>
                </w:tcPr>
                <w:p>
                  <w:pPr>
                    <w:jc w:val="center"/>
                    <w:rPr>
                      <w:bCs/>
                      <w:szCs w:val="21"/>
                    </w:rPr>
                  </w:pPr>
                  <w:r>
                    <w:rPr>
                      <w:bCs/>
                      <w:szCs w:val="21"/>
                    </w:rPr>
                    <w:t>19</w:t>
                  </w:r>
                </w:p>
              </w:tc>
              <w:tc>
                <w:tcPr>
                  <w:tcW w:w="838" w:type="dxa"/>
                  <w:vAlign w:val="center"/>
                </w:tcPr>
                <w:p>
                  <w:pPr>
                    <w:jc w:val="center"/>
                    <w:rPr>
                      <w:bCs/>
                      <w:szCs w:val="21"/>
                    </w:rPr>
                  </w:pPr>
                  <w:r>
                    <w:rPr>
                      <w:rFonts w:hint="eastAsia"/>
                      <w:bCs/>
                      <w:szCs w:val="21"/>
                    </w:rPr>
                    <w:t>0.</w:t>
                  </w:r>
                  <w:r>
                    <w:rPr>
                      <w:bCs/>
                      <w:szCs w:val="21"/>
                    </w:rPr>
                    <w:t>3</w:t>
                  </w:r>
                </w:p>
              </w:tc>
              <w:tc>
                <w:tcPr>
                  <w:tcW w:w="595" w:type="dxa"/>
                  <w:vAlign w:val="center"/>
                </w:tcPr>
                <w:p>
                  <w:pPr>
                    <w:jc w:val="center"/>
                    <w:rPr>
                      <w:bCs/>
                      <w:szCs w:val="21"/>
                    </w:rPr>
                  </w:pPr>
                  <w:r>
                    <w:rPr>
                      <w:rFonts w:hint="eastAsia"/>
                      <w:bCs/>
                      <w:szCs w:val="21"/>
                    </w:rPr>
                    <w:t>25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376" w:type="dxa"/>
                  <w:tcMar>
                    <w:top w:w="57" w:type="dxa"/>
                    <w:left w:w="28" w:type="dxa"/>
                    <w:bottom w:w="57" w:type="dxa"/>
                    <w:right w:w="28" w:type="dxa"/>
                  </w:tcMar>
                  <w:vAlign w:val="center"/>
                </w:tcPr>
                <w:p>
                  <w:pPr>
                    <w:jc w:val="center"/>
                    <w:rPr>
                      <w:bCs/>
                      <w:szCs w:val="21"/>
                    </w:rPr>
                  </w:pPr>
                  <w:r>
                    <w:rPr>
                      <w:rFonts w:hint="eastAsia"/>
                      <w:bCs/>
                      <w:szCs w:val="21"/>
                    </w:rPr>
                    <w:t>2</w:t>
                  </w:r>
                </w:p>
              </w:tc>
              <w:tc>
                <w:tcPr>
                  <w:tcW w:w="770" w:type="dxa"/>
                  <w:tcMar>
                    <w:top w:w="57" w:type="dxa"/>
                    <w:left w:w="28" w:type="dxa"/>
                    <w:bottom w:w="57" w:type="dxa"/>
                    <w:right w:w="28" w:type="dxa"/>
                  </w:tcMar>
                  <w:vAlign w:val="center"/>
                </w:tcPr>
                <w:p>
                  <w:pPr>
                    <w:jc w:val="center"/>
                    <w:rPr>
                      <w:bCs/>
                      <w:szCs w:val="21"/>
                    </w:rPr>
                  </w:pPr>
                  <w:r>
                    <w:rPr>
                      <w:rFonts w:hint="eastAsia"/>
                      <w:bCs/>
                      <w:szCs w:val="21"/>
                    </w:rPr>
                    <w:t>DA002</w:t>
                  </w:r>
                </w:p>
              </w:tc>
              <w:tc>
                <w:tcPr>
                  <w:tcW w:w="1151" w:type="dxa"/>
                  <w:tcMar>
                    <w:top w:w="57" w:type="dxa"/>
                    <w:bottom w:w="57" w:type="dxa"/>
                  </w:tcMar>
                  <w:vAlign w:val="center"/>
                </w:tcPr>
                <w:p>
                  <w:pPr>
                    <w:pStyle w:val="63"/>
                    <w:kinsoku w:val="0"/>
                    <w:overflowPunct w:val="0"/>
                    <w:snapToGrid w:val="0"/>
                    <w:jc w:val="center"/>
                    <w:rPr>
                      <w:kern w:val="2"/>
                      <w:sz w:val="21"/>
                      <w:szCs w:val="21"/>
                    </w:rPr>
                  </w:pPr>
                  <w:r>
                    <w:rPr>
                      <w:rFonts w:hint="eastAsia"/>
                      <w:kern w:val="2"/>
                      <w:sz w:val="21"/>
                      <w:szCs w:val="21"/>
                    </w:rPr>
                    <w:t>粉磨废气</w:t>
                  </w:r>
                </w:p>
              </w:tc>
              <w:tc>
                <w:tcPr>
                  <w:tcW w:w="739" w:type="dxa"/>
                  <w:tcMar>
                    <w:top w:w="57" w:type="dxa"/>
                    <w:bottom w:w="57" w:type="dxa"/>
                  </w:tcMar>
                  <w:vAlign w:val="center"/>
                </w:tcPr>
                <w:p>
                  <w:pPr>
                    <w:autoSpaceDE w:val="0"/>
                    <w:autoSpaceDN w:val="0"/>
                    <w:adjustRightInd w:val="0"/>
                    <w:jc w:val="center"/>
                    <w:rPr>
                      <w:rFonts w:cs="宋体"/>
                      <w:kern w:val="0"/>
                      <w:szCs w:val="21"/>
                    </w:rPr>
                  </w:pPr>
                  <w:r>
                    <w:rPr>
                      <w:rFonts w:hint="eastAsia" w:cs="宋体"/>
                      <w:kern w:val="0"/>
                      <w:szCs w:val="21"/>
                    </w:rPr>
                    <w:t>颗粒物</w:t>
                  </w:r>
                </w:p>
              </w:tc>
              <w:tc>
                <w:tcPr>
                  <w:tcW w:w="1421" w:type="dxa"/>
                  <w:tcMar>
                    <w:top w:w="57" w:type="dxa"/>
                    <w:bottom w:w="57" w:type="dxa"/>
                  </w:tcMar>
                  <w:vAlign w:val="center"/>
                </w:tcPr>
                <w:p>
                  <w:pPr>
                    <w:pStyle w:val="20"/>
                    <w:spacing w:line="260" w:lineRule="auto"/>
                    <w:ind w:firstLine="0" w:firstLineChars="0"/>
                  </w:pPr>
                  <w:r>
                    <w:t>112°57′53.9″</w:t>
                  </w:r>
                </w:p>
              </w:tc>
              <w:tc>
                <w:tcPr>
                  <w:tcW w:w="1365" w:type="dxa"/>
                  <w:vAlign w:val="center"/>
                </w:tcPr>
                <w:p>
                  <w:pPr>
                    <w:pStyle w:val="20"/>
                    <w:spacing w:line="260" w:lineRule="auto"/>
                    <w:ind w:firstLine="0" w:firstLineChars="0"/>
                  </w:pPr>
                  <w:r>
                    <w:t>33°45′50.57″</w:t>
                  </w:r>
                </w:p>
              </w:tc>
              <w:tc>
                <w:tcPr>
                  <w:tcW w:w="660" w:type="dxa"/>
                  <w:vAlign w:val="center"/>
                </w:tcPr>
                <w:p>
                  <w:pPr>
                    <w:jc w:val="center"/>
                    <w:rPr>
                      <w:bCs/>
                      <w:szCs w:val="21"/>
                    </w:rPr>
                  </w:pPr>
                  <w:r>
                    <w:rPr>
                      <w:rFonts w:hint="eastAsia"/>
                      <w:bCs/>
                      <w:szCs w:val="21"/>
                    </w:rPr>
                    <w:t>15</w:t>
                  </w:r>
                </w:p>
              </w:tc>
              <w:tc>
                <w:tcPr>
                  <w:tcW w:w="838" w:type="dxa"/>
                  <w:vAlign w:val="center"/>
                </w:tcPr>
                <w:p>
                  <w:pPr>
                    <w:jc w:val="center"/>
                    <w:rPr>
                      <w:bCs/>
                      <w:szCs w:val="21"/>
                    </w:rPr>
                  </w:pPr>
                  <w:r>
                    <w:rPr>
                      <w:rFonts w:hint="eastAsia"/>
                      <w:bCs/>
                      <w:szCs w:val="21"/>
                    </w:rPr>
                    <w:t>0.</w:t>
                  </w:r>
                  <w:r>
                    <w:rPr>
                      <w:bCs/>
                      <w:szCs w:val="21"/>
                    </w:rPr>
                    <w:t>5</w:t>
                  </w:r>
                </w:p>
              </w:tc>
              <w:tc>
                <w:tcPr>
                  <w:tcW w:w="595" w:type="dxa"/>
                  <w:vAlign w:val="center"/>
                </w:tcPr>
                <w:p>
                  <w:pPr>
                    <w:jc w:val="center"/>
                    <w:rPr>
                      <w:bCs/>
                      <w:szCs w:val="21"/>
                    </w:rPr>
                  </w:pPr>
                  <w:r>
                    <w:rPr>
                      <w:rFonts w:hint="eastAsia"/>
                      <w:bCs/>
                      <w:szCs w:val="21"/>
                    </w:rPr>
                    <w:t>25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376" w:type="dxa"/>
                  <w:tcMar>
                    <w:top w:w="57" w:type="dxa"/>
                    <w:left w:w="28" w:type="dxa"/>
                    <w:bottom w:w="57" w:type="dxa"/>
                    <w:right w:w="28" w:type="dxa"/>
                  </w:tcMar>
                  <w:vAlign w:val="center"/>
                </w:tcPr>
                <w:p>
                  <w:pPr>
                    <w:jc w:val="center"/>
                    <w:rPr>
                      <w:szCs w:val="21"/>
                    </w:rPr>
                  </w:pPr>
                  <w:r>
                    <w:rPr>
                      <w:rFonts w:hint="eastAsia"/>
                      <w:szCs w:val="21"/>
                    </w:rPr>
                    <w:t>3</w:t>
                  </w:r>
                </w:p>
              </w:tc>
              <w:tc>
                <w:tcPr>
                  <w:tcW w:w="770" w:type="dxa"/>
                  <w:tcMar>
                    <w:top w:w="57" w:type="dxa"/>
                    <w:left w:w="28" w:type="dxa"/>
                    <w:bottom w:w="57" w:type="dxa"/>
                    <w:right w:w="28" w:type="dxa"/>
                  </w:tcMar>
                  <w:vAlign w:val="center"/>
                </w:tcPr>
                <w:p>
                  <w:pPr>
                    <w:jc w:val="center"/>
                    <w:rPr>
                      <w:szCs w:val="21"/>
                    </w:rPr>
                  </w:pPr>
                  <w:r>
                    <w:rPr>
                      <w:rFonts w:hint="eastAsia"/>
                      <w:szCs w:val="21"/>
                    </w:rPr>
                    <w:t>DA00</w:t>
                  </w:r>
                  <w:r>
                    <w:rPr>
                      <w:szCs w:val="21"/>
                    </w:rPr>
                    <w:t>3</w:t>
                  </w:r>
                </w:p>
              </w:tc>
              <w:tc>
                <w:tcPr>
                  <w:tcW w:w="1151" w:type="dxa"/>
                  <w:tcMar>
                    <w:top w:w="57" w:type="dxa"/>
                    <w:bottom w:w="57" w:type="dxa"/>
                  </w:tcMar>
                  <w:vAlign w:val="center"/>
                </w:tcPr>
                <w:p>
                  <w:pPr>
                    <w:pStyle w:val="63"/>
                    <w:kinsoku w:val="0"/>
                    <w:overflowPunct w:val="0"/>
                    <w:snapToGrid w:val="0"/>
                    <w:jc w:val="center"/>
                    <w:rPr>
                      <w:kern w:val="2"/>
                      <w:sz w:val="21"/>
                      <w:szCs w:val="21"/>
                    </w:rPr>
                  </w:pPr>
                  <w:r>
                    <w:rPr>
                      <w:rFonts w:hint="eastAsia"/>
                      <w:kern w:val="2"/>
                      <w:sz w:val="21"/>
                      <w:szCs w:val="21"/>
                    </w:rPr>
                    <w:t>提升机废气</w:t>
                  </w:r>
                </w:p>
              </w:tc>
              <w:tc>
                <w:tcPr>
                  <w:tcW w:w="739" w:type="dxa"/>
                  <w:tcMar>
                    <w:top w:w="57" w:type="dxa"/>
                    <w:bottom w:w="57" w:type="dxa"/>
                  </w:tcMar>
                  <w:vAlign w:val="center"/>
                </w:tcPr>
                <w:p>
                  <w:pPr>
                    <w:autoSpaceDE w:val="0"/>
                    <w:autoSpaceDN w:val="0"/>
                    <w:adjustRightInd w:val="0"/>
                    <w:jc w:val="center"/>
                    <w:rPr>
                      <w:rFonts w:cs="宋体"/>
                      <w:kern w:val="0"/>
                      <w:szCs w:val="21"/>
                    </w:rPr>
                  </w:pPr>
                  <w:r>
                    <w:rPr>
                      <w:rFonts w:hint="eastAsia" w:cs="宋体"/>
                      <w:kern w:val="0"/>
                      <w:szCs w:val="21"/>
                    </w:rPr>
                    <w:t>颗粒物</w:t>
                  </w:r>
                </w:p>
              </w:tc>
              <w:tc>
                <w:tcPr>
                  <w:tcW w:w="1421" w:type="dxa"/>
                  <w:tcMar>
                    <w:top w:w="57" w:type="dxa"/>
                    <w:bottom w:w="57" w:type="dxa"/>
                  </w:tcMar>
                  <w:vAlign w:val="center"/>
                </w:tcPr>
                <w:p>
                  <w:pPr>
                    <w:pStyle w:val="20"/>
                    <w:spacing w:line="260" w:lineRule="auto"/>
                    <w:ind w:firstLine="0" w:firstLineChars="0"/>
                  </w:pPr>
                  <w:r>
                    <w:t>112°57′52.7″</w:t>
                  </w:r>
                </w:p>
              </w:tc>
              <w:tc>
                <w:tcPr>
                  <w:tcW w:w="1365" w:type="dxa"/>
                  <w:vAlign w:val="center"/>
                </w:tcPr>
                <w:p>
                  <w:pPr>
                    <w:pStyle w:val="20"/>
                    <w:spacing w:line="260" w:lineRule="auto"/>
                    <w:ind w:firstLine="0" w:firstLineChars="0"/>
                  </w:pPr>
                  <w:r>
                    <w:t>33°45′50.82″</w:t>
                  </w:r>
                </w:p>
              </w:tc>
              <w:tc>
                <w:tcPr>
                  <w:tcW w:w="660" w:type="dxa"/>
                  <w:vAlign w:val="center"/>
                </w:tcPr>
                <w:p>
                  <w:pPr>
                    <w:jc w:val="center"/>
                    <w:rPr>
                      <w:szCs w:val="21"/>
                    </w:rPr>
                  </w:pPr>
                  <w:r>
                    <w:rPr>
                      <w:rFonts w:hint="eastAsia"/>
                      <w:szCs w:val="21"/>
                    </w:rPr>
                    <w:t>15</w:t>
                  </w:r>
                </w:p>
              </w:tc>
              <w:tc>
                <w:tcPr>
                  <w:tcW w:w="838" w:type="dxa"/>
                  <w:vAlign w:val="center"/>
                </w:tcPr>
                <w:p>
                  <w:pPr>
                    <w:jc w:val="center"/>
                    <w:rPr>
                      <w:szCs w:val="21"/>
                    </w:rPr>
                  </w:pPr>
                  <w:r>
                    <w:rPr>
                      <w:rFonts w:hint="eastAsia"/>
                      <w:szCs w:val="21"/>
                    </w:rPr>
                    <w:t>0.</w:t>
                  </w:r>
                  <w:r>
                    <w:rPr>
                      <w:szCs w:val="21"/>
                    </w:rPr>
                    <w:t>3</w:t>
                  </w:r>
                </w:p>
              </w:tc>
              <w:tc>
                <w:tcPr>
                  <w:tcW w:w="595" w:type="dxa"/>
                  <w:vAlign w:val="center"/>
                </w:tcPr>
                <w:p>
                  <w:pPr>
                    <w:jc w:val="center"/>
                    <w:rPr>
                      <w:szCs w:val="21"/>
                    </w:rPr>
                  </w:pPr>
                  <w:r>
                    <w:rPr>
                      <w:rFonts w:hint="eastAsia"/>
                      <w:szCs w:val="21"/>
                    </w:rPr>
                    <w:t>25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376" w:type="dxa"/>
                  <w:tcMar>
                    <w:top w:w="57" w:type="dxa"/>
                    <w:left w:w="28" w:type="dxa"/>
                    <w:bottom w:w="57" w:type="dxa"/>
                    <w:right w:w="28" w:type="dxa"/>
                  </w:tcMar>
                  <w:vAlign w:val="center"/>
                </w:tcPr>
                <w:p>
                  <w:pPr>
                    <w:jc w:val="center"/>
                    <w:rPr>
                      <w:szCs w:val="21"/>
                    </w:rPr>
                  </w:pPr>
                  <w:r>
                    <w:rPr>
                      <w:rFonts w:hint="eastAsia"/>
                      <w:szCs w:val="21"/>
                    </w:rPr>
                    <w:t>4</w:t>
                  </w:r>
                </w:p>
              </w:tc>
              <w:tc>
                <w:tcPr>
                  <w:tcW w:w="770" w:type="dxa"/>
                  <w:tcMar>
                    <w:top w:w="57" w:type="dxa"/>
                    <w:left w:w="28" w:type="dxa"/>
                    <w:bottom w:w="57" w:type="dxa"/>
                    <w:right w:w="28" w:type="dxa"/>
                  </w:tcMar>
                  <w:vAlign w:val="center"/>
                </w:tcPr>
                <w:p>
                  <w:pPr>
                    <w:jc w:val="center"/>
                    <w:rPr>
                      <w:szCs w:val="21"/>
                    </w:rPr>
                  </w:pPr>
                  <w:r>
                    <w:rPr>
                      <w:rFonts w:hint="eastAsia"/>
                      <w:bCs/>
                      <w:szCs w:val="21"/>
                    </w:rPr>
                    <w:t>DA00</w:t>
                  </w:r>
                  <w:r>
                    <w:rPr>
                      <w:bCs/>
                      <w:szCs w:val="21"/>
                    </w:rPr>
                    <w:t>4</w:t>
                  </w:r>
                </w:p>
              </w:tc>
              <w:tc>
                <w:tcPr>
                  <w:tcW w:w="1151" w:type="dxa"/>
                  <w:tcMar>
                    <w:top w:w="57" w:type="dxa"/>
                    <w:bottom w:w="57" w:type="dxa"/>
                  </w:tcMar>
                  <w:vAlign w:val="center"/>
                </w:tcPr>
                <w:p>
                  <w:pPr>
                    <w:pStyle w:val="63"/>
                    <w:kinsoku w:val="0"/>
                    <w:overflowPunct w:val="0"/>
                    <w:snapToGrid w:val="0"/>
                    <w:jc w:val="center"/>
                    <w:rPr>
                      <w:kern w:val="2"/>
                      <w:sz w:val="21"/>
                      <w:szCs w:val="21"/>
                    </w:rPr>
                  </w:pPr>
                  <w:r>
                    <w:rPr>
                      <w:rFonts w:hint="eastAsia"/>
                      <w:kern w:val="2"/>
                      <w:sz w:val="21"/>
                      <w:szCs w:val="21"/>
                    </w:rPr>
                    <w:t>成品料仓</w:t>
                  </w:r>
                  <w:r>
                    <w:rPr>
                      <w:kern w:val="2"/>
                      <w:sz w:val="21"/>
                      <w:szCs w:val="21"/>
                    </w:rPr>
                    <w:t>废气</w:t>
                  </w:r>
                </w:p>
              </w:tc>
              <w:tc>
                <w:tcPr>
                  <w:tcW w:w="739" w:type="dxa"/>
                  <w:tcMar>
                    <w:top w:w="57" w:type="dxa"/>
                    <w:bottom w:w="57" w:type="dxa"/>
                  </w:tcMar>
                  <w:vAlign w:val="center"/>
                </w:tcPr>
                <w:p>
                  <w:pPr>
                    <w:autoSpaceDE w:val="0"/>
                    <w:autoSpaceDN w:val="0"/>
                    <w:adjustRightInd w:val="0"/>
                    <w:jc w:val="center"/>
                    <w:rPr>
                      <w:rFonts w:cs="宋体"/>
                      <w:kern w:val="0"/>
                      <w:szCs w:val="21"/>
                    </w:rPr>
                  </w:pPr>
                  <w:r>
                    <w:rPr>
                      <w:rFonts w:hint="eastAsia" w:cs="宋体"/>
                      <w:kern w:val="0"/>
                      <w:szCs w:val="21"/>
                    </w:rPr>
                    <w:t>颗粒物</w:t>
                  </w:r>
                </w:p>
              </w:tc>
              <w:tc>
                <w:tcPr>
                  <w:tcW w:w="1421" w:type="dxa"/>
                  <w:tcMar>
                    <w:top w:w="57" w:type="dxa"/>
                    <w:bottom w:w="57" w:type="dxa"/>
                  </w:tcMar>
                  <w:vAlign w:val="center"/>
                </w:tcPr>
                <w:p>
                  <w:pPr>
                    <w:pStyle w:val="20"/>
                    <w:spacing w:line="260" w:lineRule="auto"/>
                    <w:ind w:firstLine="0" w:firstLineChars="0"/>
                  </w:pPr>
                  <w:r>
                    <w:t>112°57′52.57″</w:t>
                  </w:r>
                </w:p>
              </w:tc>
              <w:tc>
                <w:tcPr>
                  <w:tcW w:w="1365" w:type="dxa"/>
                  <w:vAlign w:val="center"/>
                </w:tcPr>
                <w:p>
                  <w:pPr>
                    <w:pStyle w:val="20"/>
                    <w:spacing w:line="260" w:lineRule="auto"/>
                    <w:ind w:firstLine="0" w:firstLineChars="0"/>
                  </w:pPr>
                  <w:r>
                    <w:t>33°45′51.39″</w:t>
                  </w:r>
                </w:p>
              </w:tc>
              <w:tc>
                <w:tcPr>
                  <w:tcW w:w="660" w:type="dxa"/>
                  <w:vAlign w:val="center"/>
                </w:tcPr>
                <w:p>
                  <w:pPr>
                    <w:jc w:val="center"/>
                    <w:rPr>
                      <w:szCs w:val="21"/>
                    </w:rPr>
                  </w:pPr>
                  <w:r>
                    <w:rPr>
                      <w:szCs w:val="21"/>
                    </w:rPr>
                    <w:t>21</w:t>
                  </w:r>
                </w:p>
              </w:tc>
              <w:tc>
                <w:tcPr>
                  <w:tcW w:w="838" w:type="dxa"/>
                  <w:vAlign w:val="center"/>
                </w:tcPr>
                <w:p>
                  <w:pPr>
                    <w:jc w:val="center"/>
                    <w:rPr>
                      <w:szCs w:val="21"/>
                    </w:rPr>
                  </w:pPr>
                  <w:r>
                    <w:rPr>
                      <w:rFonts w:hint="eastAsia"/>
                      <w:szCs w:val="21"/>
                    </w:rPr>
                    <w:t>0.</w:t>
                  </w:r>
                  <w:r>
                    <w:rPr>
                      <w:szCs w:val="21"/>
                    </w:rPr>
                    <w:t>3</w:t>
                  </w:r>
                </w:p>
              </w:tc>
              <w:tc>
                <w:tcPr>
                  <w:tcW w:w="595" w:type="dxa"/>
                  <w:vAlign w:val="center"/>
                </w:tcPr>
                <w:p>
                  <w:pPr>
                    <w:jc w:val="center"/>
                    <w:rPr>
                      <w:szCs w:val="21"/>
                    </w:rPr>
                  </w:pPr>
                  <w:r>
                    <w:rPr>
                      <w:rFonts w:hint="eastAsia"/>
                      <w:szCs w:val="21"/>
                    </w:rPr>
                    <w:t>25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567" w:hRule="atLeast"/>
              </w:trPr>
              <w:tc>
                <w:tcPr>
                  <w:tcW w:w="376" w:type="dxa"/>
                  <w:tcMar>
                    <w:top w:w="57" w:type="dxa"/>
                    <w:left w:w="28" w:type="dxa"/>
                    <w:bottom w:w="57" w:type="dxa"/>
                    <w:right w:w="28" w:type="dxa"/>
                  </w:tcMar>
                  <w:vAlign w:val="center"/>
                </w:tcPr>
                <w:p>
                  <w:pPr>
                    <w:jc w:val="center"/>
                    <w:rPr>
                      <w:szCs w:val="21"/>
                    </w:rPr>
                  </w:pPr>
                  <w:r>
                    <w:rPr>
                      <w:rFonts w:hint="eastAsia"/>
                      <w:szCs w:val="21"/>
                    </w:rPr>
                    <w:t>5</w:t>
                  </w:r>
                </w:p>
              </w:tc>
              <w:tc>
                <w:tcPr>
                  <w:tcW w:w="770" w:type="dxa"/>
                  <w:tcMar>
                    <w:top w:w="57" w:type="dxa"/>
                    <w:left w:w="28" w:type="dxa"/>
                    <w:bottom w:w="57" w:type="dxa"/>
                    <w:right w:w="28" w:type="dxa"/>
                  </w:tcMar>
                  <w:vAlign w:val="center"/>
                </w:tcPr>
                <w:p>
                  <w:pPr>
                    <w:jc w:val="center"/>
                    <w:rPr>
                      <w:szCs w:val="21"/>
                    </w:rPr>
                  </w:pPr>
                  <w:r>
                    <w:rPr>
                      <w:rFonts w:hint="eastAsia"/>
                      <w:bCs/>
                      <w:szCs w:val="21"/>
                    </w:rPr>
                    <w:t>DA00</w:t>
                  </w:r>
                  <w:r>
                    <w:rPr>
                      <w:bCs/>
                      <w:szCs w:val="21"/>
                    </w:rPr>
                    <w:t>5</w:t>
                  </w:r>
                </w:p>
              </w:tc>
              <w:tc>
                <w:tcPr>
                  <w:tcW w:w="1151" w:type="dxa"/>
                  <w:tcMar>
                    <w:top w:w="57" w:type="dxa"/>
                    <w:bottom w:w="57" w:type="dxa"/>
                  </w:tcMar>
                  <w:vAlign w:val="center"/>
                </w:tcPr>
                <w:p>
                  <w:pPr>
                    <w:pStyle w:val="63"/>
                    <w:kinsoku w:val="0"/>
                    <w:overflowPunct w:val="0"/>
                    <w:snapToGrid w:val="0"/>
                    <w:jc w:val="center"/>
                    <w:rPr>
                      <w:kern w:val="2"/>
                      <w:sz w:val="21"/>
                      <w:szCs w:val="21"/>
                    </w:rPr>
                  </w:pPr>
                  <w:r>
                    <w:rPr>
                      <w:rFonts w:hint="eastAsia"/>
                      <w:kern w:val="2"/>
                      <w:sz w:val="21"/>
                      <w:szCs w:val="21"/>
                    </w:rPr>
                    <w:t>散装机废气</w:t>
                  </w:r>
                </w:p>
              </w:tc>
              <w:tc>
                <w:tcPr>
                  <w:tcW w:w="739" w:type="dxa"/>
                  <w:tcMar>
                    <w:top w:w="57" w:type="dxa"/>
                    <w:bottom w:w="57" w:type="dxa"/>
                  </w:tcMar>
                  <w:vAlign w:val="center"/>
                </w:tcPr>
                <w:p>
                  <w:pPr>
                    <w:autoSpaceDE w:val="0"/>
                    <w:autoSpaceDN w:val="0"/>
                    <w:adjustRightInd w:val="0"/>
                    <w:jc w:val="center"/>
                    <w:rPr>
                      <w:rFonts w:cs="宋体"/>
                      <w:kern w:val="0"/>
                      <w:szCs w:val="21"/>
                    </w:rPr>
                  </w:pPr>
                  <w:r>
                    <w:rPr>
                      <w:rFonts w:hint="eastAsia" w:cs="宋体"/>
                      <w:kern w:val="0"/>
                      <w:szCs w:val="21"/>
                    </w:rPr>
                    <w:t>颗粒物</w:t>
                  </w:r>
                </w:p>
              </w:tc>
              <w:tc>
                <w:tcPr>
                  <w:tcW w:w="1421" w:type="dxa"/>
                  <w:tcMar>
                    <w:top w:w="57" w:type="dxa"/>
                    <w:bottom w:w="57" w:type="dxa"/>
                  </w:tcMar>
                  <w:vAlign w:val="center"/>
                </w:tcPr>
                <w:p>
                  <w:pPr>
                    <w:pStyle w:val="20"/>
                    <w:spacing w:line="260" w:lineRule="auto"/>
                    <w:ind w:firstLine="0" w:firstLineChars="0"/>
                  </w:pPr>
                  <w:r>
                    <w:t>112°57′52.76″</w:t>
                  </w:r>
                </w:p>
              </w:tc>
              <w:tc>
                <w:tcPr>
                  <w:tcW w:w="1365" w:type="dxa"/>
                  <w:vAlign w:val="center"/>
                </w:tcPr>
                <w:p>
                  <w:pPr>
                    <w:pStyle w:val="20"/>
                    <w:spacing w:line="260" w:lineRule="auto"/>
                    <w:ind w:firstLine="0" w:firstLineChars="0"/>
                  </w:pPr>
                  <w:r>
                    <w:t>33°45′51.57″</w:t>
                  </w:r>
                </w:p>
              </w:tc>
              <w:tc>
                <w:tcPr>
                  <w:tcW w:w="660" w:type="dxa"/>
                  <w:vAlign w:val="center"/>
                </w:tcPr>
                <w:p>
                  <w:pPr>
                    <w:jc w:val="center"/>
                    <w:rPr>
                      <w:szCs w:val="21"/>
                    </w:rPr>
                  </w:pPr>
                  <w:r>
                    <w:rPr>
                      <w:rFonts w:hint="eastAsia"/>
                      <w:szCs w:val="21"/>
                    </w:rPr>
                    <w:t>15</w:t>
                  </w:r>
                </w:p>
              </w:tc>
              <w:tc>
                <w:tcPr>
                  <w:tcW w:w="838" w:type="dxa"/>
                  <w:vAlign w:val="center"/>
                </w:tcPr>
                <w:p>
                  <w:pPr>
                    <w:jc w:val="center"/>
                    <w:rPr>
                      <w:szCs w:val="21"/>
                    </w:rPr>
                  </w:pPr>
                  <w:r>
                    <w:rPr>
                      <w:rFonts w:hint="eastAsia"/>
                      <w:szCs w:val="21"/>
                    </w:rPr>
                    <w:t>0.</w:t>
                  </w:r>
                  <w:r>
                    <w:rPr>
                      <w:szCs w:val="21"/>
                    </w:rPr>
                    <w:t>3</w:t>
                  </w:r>
                </w:p>
              </w:tc>
              <w:tc>
                <w:tcPr>
                  <w:tcW w:w="595" w:type="dxa"/>
                  <w:vAlign w:val="center"/>
                </w:tcPr>
                <w:p>
                  <w:pPr>
                    <w:jc w:val="center"/>
                    <w:rPr>
                      <w:szCs w:val="21"/>
                    </w:rPr>
                  </w:pPr>
                  <w:r>
                    <w:rPr>
                      <w:rFonts w:hint="eastAsia"/>
                      <w:szCs w:val="21"/>
                    </w:rPr>
                    <w:t>25</w:t>
                  </w:r>
                </w:p>
              </w:tc>
            </w:tr>
          </w:tbl>
          <w:p>
            <w:pPr>
              <w:spacing w:before="120" w:beforeLines="50" w:line="360" w:lineRule="auto"/>
              <w:ind w:firstLine="482" w:firstLineChars="200"/>
              <w:rPr>
                <w:b/>
                <w:bCs/>
                <w:snapToGrid w:val="0"/>
                <w:kern w:val="0"/>
                <w:sz w:val="24"/>
              </w:rPr>
            </w:pPr>
            <w:r>
              <w:rPr>
                <w:rFonts w:hint="eastAsia"/>
                <w:b/>
                <w:bCs/>
                <w:snapToGrid w:val="0"/>
                <w:kern w:val="0"/>
                <w:sz w:val="24"/>
              </w:rPr>
              <w:t>1.3废气排放标准</w:t>
            </w:r>
          </w:p>
          <w:p>
            <w:pPr>
              <w:autoSpaceDE w:val="0"/>
              <w:autoSpaceDN w:val="0"/>
              <w:adjustRightInd w:val="0"/>
              <w:spacing w:line="360" w:lineRule="auto"/>
              <w:ind w:firstLine="480" w:firstLineChars="200"/>
              <w:jc w:val="left"/>
              <w:rPr>
                <w:sz w:val="24"/>
              </w:rPr>
            </w:pPr>
            <w:r>
              <w:rPr>
                <w:rFonts w:hint="eastAsia"/>
                <w:sz w:val="24"/>
              </w:rPr>
              <w:t>废气</w:t>
            </w:r>
            <w:r>
              <w:rPr>
                <w:sz w:val="24"/>
              </w:rPr>
              <w:t>排放标准见表22</w:t>
            </w:r>
            <w:r>
              <w:rPr>
                <w:rFonts w:hint="eastAsia"/>
                <w:sz w:val="24"/>
              </w:rPr>
              <w:t>。</w:t>
            </w:r>
          </w:p>
          <w:p>
            <w:pPr>
              <w:autoSpaceDE w:val="0"/>
              <w:autoSpaceDN w:val="0"/>
              <w:adjustRightInd w:val="0"/>
              <w:snapToGrid w:val="0"/>
              <w:spacing w:line="480" w:lineRule="exact"/>
              <w:ind w:firstLine="720" w:firstLineChars="300"/>
              <w:rPr>
                <w:sz w:val="24"/>
              </w:rPr>
            </w:pPr>
            <w:r>
              <w:rPr>
                <w:rFonts w:hint="eastAsia" w:eastAsia="黑体"/>
                <w:sz w:val="24"/>
                <w:szCs w:val="22"/>
              </w:rPr>
              <w:t>表</w:t>
            </w:r>
            <w:r>
              <w:rPr>
                <w:rFonts w:eastAsia="黑体"/>
                <w:sz w:val="24"/>
                <w:szCs w:val="22"/>
              </w:rPr>
              <w:t>22</w:t>
            </w:r>
            <w:r>
              <w:rPr>
                <w:rFonts w:hint="eastAsia" w:eastAsia="黑体"/>
                <w:sz w:val="24"/>
                <w:szCs w:val="22"/>
              </w:rPr>
              <w:t xml:space="preserve">   </w:t>
            </w:r>
            <w:r>
              <w:rPr>
                <w:rFonts w:eastAsia="黑体"/>
                <w:sz w:val="24"/>
                <w:szCs w:val="22"/>
              </w:rPr>
              <w:t xml:space="preserve">                </w:t>
            </w:r>
            <w:r>
              <w:rPr>
                <w:rFonts w:hint="eastAsia" w:eastAsia="黑体"/>
                <w:sz w:val="24"/>
                <w:szCs w:val="22"/>
              </w:rPr>
              <w:t xml:space="preserve"> 废气排放标准</w:t>
            </w:r>
          </w:p>
          <w:tbl>
            <w:tblPr>
              <w:tblStyle w:val="22"/>
              <w:tblW w:w="7908" w:type="dxa"/>
              <w:tblInd w:w="17"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28" w:type="dxa"/>
                <w:left w:w="11" w:type="dxa"/>
                <w:bottom w:w="28" w:type="dxa"/>
                <w:right w:w="11" w:type="dxa"/>
              </w:tblCellMar>
            </w:tblPr>
            <w:tblGrid>
              <w:gridCol w:w="437"/>
              <w:gridCol w:w="821"/>
              <w:gridCol w:w="977"/>
              <w:gridCol w:w="835"/>
              <w:gridCol w:w="1011"/>
              <w:gridCol w:w="1088"/>
              <w:gridCol w:w="1605"/>
              <w:gridCol w:w="1134"/>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11" w:type="dxa"/>
                  <w:bottom w:w="28" w:type="dxa"/>
                  <w:right w:w="11" w:type="dxa"/>
                </w:tblCellMar>
              </w:tblPrEx>
              <w:trPr>
                <w:trHeight w:val="198" w:hRule="atLeast"/>
              </w:trPr>
              <w:tc>
                <w:tcPr>
                  <w:tcW w:w="437" w:type="dxa"/>
                  <w:vMerge w:val="restart"/>
                  <w:tcMar>
                    <w:top w:w="57" w:type="dxa"/>
                    <w:left w:w="28" w:type="dxa"/>
                    <w:bottom w:w="57" w:type="dxa"/>
                    <w:right w:w="28" w:type="dxa"/>
                  </w:tcMar>
                  <w:vAlign w:val="center"/>
                </w:tcPr>
                <w:p>
                  <w:pPr>
                    <w:spacing w:line="280" w:lineRule="exact"/>
                    <w:jc w:val="center"/>
                    <w:rPr>
                      <w:rFonts w:eastAsiaTheme="minorEastAsia"/>
                      <w:bCs/>
                      <w:szCs w:val="21"/>
                    </w:rPr>
                  </w:pPr>
                  <w:r>
                    <w:rPr>
                      <w:rFonts w:eastAsiaTheme="minorEastAsia"/>
                      <w:bCs/>
                      <w:szCs w:val="21"/>
                    </w:rPr>
                    <w:t>序号</w:t>
                  </w:r>
                </w:p>
              </w:tc>
              <w:tc>
                <w:tcPr>
                  <w:tcW w:w="821" w:type="dxa"/>
                  <w:vMerge w:val="restart"/>
                  <w:tcMar>
                    <w:top w:w="57" w:type="dxa"/>
                    <w:left w:w="28" w:type="dxa"/>
                    <w:bottom w:w="57" w:type="dxa"/>
                    <w:right w:w="28" w:type="dxa"/>
                  </w:tcMar>
                  <w:vAlign w:val="center"/>
                </w:tcPr>
                <w:p>
                  <w:pPr>
                    <w:spacing w:line="280" w:lineRule="exact"/>
                    <w:jc w:val="center"/>
                    <w:rPr>
                      <w:rFonts w:eastAsiaTheme="minorEastAsia"/>
                      <w:bCs/>
                      <w:szCs w:val="21"/>
                    </w:rPr>
                  </w:pPr>
                  <w:r>
                    <w:rPr>
                      <w:rFonts w:eastAsiaTheme="minorEastAsia"/>
                      <w:bCs/>
                      <w:szCs w:val="21"/>
                    </w:rPr>
                    <w:t>排放口编号</w:t>
                  </w:r>
                </w:p>
              </w:tc>
              <w:tc>
                <w:tcPr>
                  <w:tcW w:w="977" w:type="dxa"/>
                  <w:vMerge w:val="restart"/>
                  <w:tcMar>
                    <w:top w:w="57" w:type="dxa"/>
                    <w:left w:w="28" w:type="dxa"/>
                    <w:bottom w:w="57" w:type="dxa"/>
                    <w:right w:w="28" w:type="dxa"/>
                  </w:tcMar>
                  <w:vAlign w:val="center"/>
                </w:tcPr>
                <w:p>
                  <w:pPr>
                    <w:spacing w:line="280" w:lineRule="exact"/>
                    <w:jc w:val="center"/>
                    <w:rPr>
                      <w:rFonts w:eastAsiaTheme="minorEastAsia"/>
                      <w:bCs/>
                      <w:szCs w:val="21"/>
                    </w:rPr>
                  </w:pPr>
                  <w:r>
                    <w:rPr>
                      <w:rFonts w:eastAsiaTheme="minorEastAsia"/>
                      <w:bCs/>
                      <w:szCs w:val="21"/>
                    </w:rPr>
                    <w:t>排放口名称</w:t>
                  </w:r>
                </w:p>
              </w:tc>
              <w:tc>
                <w:tcPr>
                  <w:tcW w:w="835" w:type="dxa"/>
                  <w:vMerge w:val="restart"/>
                  <w:tcMar>
                    <w:top w:w="57" w:type="dxa"/>
                    <w:left w:w="28" w:type="dxa"/>
                    <w:bottom w:w="57" w:type="dxa"/>
                    <w:right w:w="28" w:type="dxa"/>
                  </w:tcMar>
                  <w:vAlign w:val="center"/>
                </w:tcPr>
                <w:p>
                  <w:pPr>
                    <w:spacing w:line="280" w:lineRule="exact"/>
                    <w:jc w:val="center"/>
                    <w:rPr>
                      <w:rFonts w:eastAsiaTheme="minorEastAsia"/>
                      <w:bCs/>
                      <w:szCs w:val="21"/>
                    </w:rPr>
                  </w:pPr>
                  <w:r>
                    <w:rPr>
                      <w:rFonts w:eastAsiaTheme="minorEastAsia"/>
                      <w:bCs/>
                      <w:szCs w:val="21"/>
                    </w:rPr>
                    <w:t>污染物种类</w:t>
                  </w:r>
                </w:p>
              </w:tc>
              <w:tc>
                <w:tcPr>
                  <w:tcW w:w="3704" w:type="dxa"/>
                  <w:gridSpan w:val="3"/>
                  <w:tcBorders>
                    <w:right w:val="single" w:color="auto" w:sz="12" w:space="0"/>
                  </w:tcBorders>
                  <w:tcMar>
                    <w:top w:w="57" w:type="dxa"/>
                    <w:left w:w="28" w:type="dxa"/>
                    <w:bottom w:w="57" w:type="dxa"/>
                    <w:right w:w="28" w:type="dxa"/>
                  </w:tcMar>
                  <w:vAlign w:val="center"/>
                </w:tcPr>
                <w:p>
                  <w:pPr>
                    <w:spacing w:line="280" w:lineRule="exact"/>
                    <w:jc w:val="center"/>
                    <w:rPr>
                      <w:rFonts w:eastAsiaTheme="minorEastAsia"/>
                      <w:bCs/>
                      <w:szCs w:val="21"/>
                    </w:rPr>
                  </w:pPr>
                  <w:r>
                    <w:rPr>
                      <w:rFonts w:eastAsiaTheme="minorEastAsia"/>
                      <w:bCs/>
                      <w:szCs w:val="21"/>
                    </w:rPr>
                    <w:t>国家地方污染物排放标准</w:t>
                  </w:r>
                </w:p>
              </w:tc>
              <w:tc>
                <w:tcPr>
                  <w:tcW w:w="1134" w:type="dxa"/>
                  <w:tcBorders>
                    <w:left w:val="single" w:color="auto" w:sz="12" w:space="0"/>
                  </w:tcBorders>
                  <w:vAlign w:val="center"/>
                </w:tcPr>
                <w:p>
                  <w:pPr>
                    <w:spacing w:line="280" w:lineRule="exact"/>
                    <w:jc w:val="center"/>
                    <w:rPr>
                      <w:rFonts w:eastAsiaTheme="minorEastAsia"/>
                      <w:bCs/>
                      <w:szCs w:val="21"/>
                    </w:rPr>
                  </w:pPr>
                  <w:r>
                    <w:rPr>
                      <w:rFonts w:hint="eastAsia" w:eastAsiaTheme="minorEastAsia"/>
                      <w:bCs/>
                      <w:szCs w:val="21"/>
                    </w:rPr>
                    <w:t>地方</w:t>
                  </w:r>
                  <w:r>
                    <w:rPr>
                      <w:rFonts w:eastAsiaTheme="minorEastAsia"/>
                      <w:bCs/>
                      <w:szCs w:val="21"/>
                    </w:rPr>
                    <w:t>标准</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11" w:type="dxa"/>
                  <w:bottom w:w="28" w:type="dxa"/>
                  <w:right w:w="11" w:type="dxa"/>
                </w:tblCellMar>
              </w:tblPrEx>
              <w:trPr>
                <w:trHeight w:val="286" w:hRule="atLeast"/>
              </w:trPr>
              <w:tc>
                <w:tcPr>
                  <w:tcW w:w="437" w:type="dxa"/>
                  <w:vMerge w:val="continue"/>
                  <w:tcMar>
                    <w:top w:w="57" w:type="dxa"/>
                    <w:left w:w="28" w:type="dxa"/>
                    <w:bottom w:w="57" w:type="dxa"/>
                    <w:right w:w="28" w:type="dxa"/>
                  </w:tcMar>
                  <w:vAlign w:val="center"/>
                </w:tcPr>
                <w:p>
                  <w:pPr>
                    <w:spacing w:line="280" w:lineRule="exact"/>
                    <w:jc w:val="center"/>
                    <w:rPr>
                      <w:rFonts w:eastAsiaTheme="minorEastAsia"/>
                      <w:bCs/>
                      <w:szCs w:val="21"/>
                    </w:rPr>
                  </w:pPr>
                </w:p>
              </w:tc>
              <w:tc>
                <w:tcPr>
                  <w:tcW w:w="821" w:type="dxa"/>
                  <w:vMerge w:val="continue"/>
                  <w:tcMar>
                    <w:top w:w="57" w:type="dxa"/>
                    <w:left w:w="28" w:type="dxa"/>
                    <w:bottom w:w="57" w:type="dxa"/>
                    <w:right w:w="28" w:type="dxa"/>
                  </w:tcMar>
                  <w:vAlign w:val="center"/>
                </w:tcPr>
                <w:p>
                  <w:pPr>
                    <w:spacing w:line="280" w:lineRule="exact"/>
                    <w:jc w:val="center"/>
                    <w:rPr>
                      <w:rFonts w:eastAsiaTheme="minorEastAsia"/>
                      <w:bCs/>
                      <w:szCs w:val="21"/>
                    </w:rPr>
                  </w:pPr>
                </w:p>
              </w:tc>
              <w:tc>
                <w:tcPr>
                  <w:tcW w:w="977" w:type="dxa"/>
                  <w:vMerge w:val="continue"/>
                  <w:tcMar>
                    <w:top w:w="57" w:type="dxa"/>
                    <w:left w:w="28" w:type="dxa"/>
                    <w:bottom w:w="57" w:type="dxa"/>
                    <w:right w:w="28" w:type="dxa"/>
                  </w:tcMar>
                  <w:vAlign w:val="center"/>
                </w:tcPr>
                <w:p>
                  <w:pPr>
                    <w:spacing w:line="280" w:lineRule="exact"/>
                    <w:jc w:val="center"/>
                    <w:rPr>
                      <w:rFonts w:eastAsiaTheme="minorEastAsia"/>
                      <w:bCs/>
                      <w:szCs w:val="21"/>
                    </w:rPr>
                  </w:pPr>
                </w:p>
              </w:tc>
              <w:tc>
                <w:tcPr>
                  <w:tcW w:w="835" w:type="dxa"/>
                  <w:vMerge w:val="continue"/>
                  <w:tcMar>
                    <w:top w:w="57" w:type="dxa"/>
                    <w:left w:w="28" w:type="dxa"/>
                    <w:bottom w:w="57" w:type="dxa"/>
                    <w:right w:w="28" w:type="dxa"/>
                  </w:tcMar>
                  <w:vAlign w:val="center"/>
                </w:tcPr>
                <w:p>
                  <w:pPr>
                    <w:spacing w:line="280" w:lineRule="exact"/>
                    <w:jc w:val="center"/>
                    <w:rPr>
                      <w:rFonts w:eastAsiaTheme="minorEastAsia"/>
                      <w:bCs/>
                      <w:szCs w:val="21"/>
                    </w:rPr>
                  </w:pPr>
                </w:p>
              </w:tc>
              <w:tc>
                <w:tcPr>
                  <w:tcW w:w="1011" w:type="dxa"/>
                  <w:tcMar>
                    <w:top w:w="57" w:type="dxa"/>
                    <w:left w:w="28" w:type="dxa"/>
                    <w:bottom w:w="57" w:type="dxa"/>
                    <w:right w:w="28" w:type="dxa"/>
                  </w:tcMar>
                  <w:vAlign w:val="center"/>
                </w:tcPr>
                <w:p>
                  <w:pPr>
                    <w:spacing w:line="280" w:lineRule="exact"/>
                    <w:jc w:val="center"/>
                    <w:rPr>
                      <w:rFonts w:eastAsiaTheme="minorEastAsia"/>
                      <w:bCs/>
                      <w:szCs w:val="21"/>
                    </w:rPr>
                  </w:pPr>
                  <w:r>
                    <w:rPr>
                      <w:rFonts w:eastAsiaTheme="minorEastAsia"/>
                      <w:bCs/>
                      <w:szCs w:val="21"/>
                    </w:rPr>
                    <w:t>名称</w:t>
                  </w:r>
                </w:p>
              </w:tc>
              <w:tc>
                <w:tcPr>
                  <w:tcW w:w="1088" w:type="dxa"/>
                  <w:tcMar>
                    <w:left w:w="28" w:type="dxa"/>
                    <w:right w:w="28" w:type="dxa"/>
                  </w:tcMar>
                  <w:vAlign w:val="center"/>
                </w:tcPr>
                <w:p>
                  <w:pPr>
                    <w:spacing w:line="280" w:lineRule="exact"/>
                    <w:jc w:val="center"/>
                    <w:rPr>
                      <w:rFonts w:eastAsiaTheme="minorEastAsia"/>
                      <w:bCs/>
                      <w:szCs w:val="21"/>
                    </w:rPr>
                  </w:pPr>
                  <w:r>
                    <w:rPr>
                      <w:rFonts w:eastAsiaTheme="minorEastAsia"/>
                      <w:bCs/>
                      <w:szCs w:val="21"/>
                    </w:rPr>
                    <w:t>浓度</w:t>
                  </w:r>
                </w:p>
              </w:tc>
              <w:tc>
                <w:tcPr>
                  <w:tcW w:w="1605" w:type="dxa"/>
                  <w:tcMar>
                    <w:left w:w="28" w:type="dxa"/>
                    <w:right w:w="28" w:type="dxa"/>
                  </w:tcMar>
                </w:tcPr>
                <w:p>
                  <w:pPr>
                    <w:spacing w:line="280" w:lineRule="exact"/>
                    <w:jc w:val="center"/>
                    <w:rPr>
                      <w:rFonts w:eastAsiaTheme="minorEastAsia"/>
                      <w:bCs/>
                      <w:szCs w:val="21"/>
                    </w:rPr>
                  </w:pPr>
                  <w:r>
                    <w:rPr>
                      <w:rFonts w:eastAsiaTheme="minorEastAsia"/>
                      <w:bCs/>
                      <w:szCs w:val="21"/>
                    </w:rPr>
                    <w:t>速率</w:t>
                  </w:r>
                </w:p>
              </w:tc>
              <w:tc>
                <w:tcPr>
                  <w:tcW w:w="1134" w:type="dxa"/>
                  <w:vMerge w:val="restart"/>
                </w:tcPr>
                <w:p>
                  <w:pPr>
                    <w:spacing w:line="280" w:lineRule="exact"/>
                    <w:jc w:val="center"/>
                    <w:rPr>
                      <w:szCs w:val="21"/>
                    </w:rPr>
                  </w:pPr>
                </w:p>
                <w:p>
                  <w:pPr>
                    <w:spacing w:line="280" w:lineRule="exact"/>
                    <w:jc w:val="center"/>
                    <w:rPr>
                      <w:szCs w:val="21"/>
                    </w:rPr>
                  </w:pPr>
                </w:p>
                <w:p>
                  <w:pPr>
                    <w:spacing w:line="280" w:lineRule="exact"/>
                    <w:jc w:val="center"/>
                    <w:rPr>
                      <w:szCs w:val="21"/>
                    </w:rPr>
                  </w:pPr>
                </w:p>
                <w:p>
                  <w:pPr>
                    <w:spacing w:line="280" w:lineRule="exact"/>
                    <w:jc w:val="center"/>
                    <w:rPr>
                      <w:rFonts w:eastAsiaTheme="minorEastAsia"/>
                      <w:bCs/>
                      <w:szCs w:val="21"/>
                    </w:rPr>
                  </w:pPr>
                  <w:r>
                    <w:rPr>
                      <w:rFonts w:hint="eastAsia"/>
                      <w:szCs w:val="21"/>
                    </w:rPr>
                    <w:t>《河南省重</w:t>
                  </w:r>
                  <w:r>
                    <w:rPr>
                      <w:szCs w:val="21"/>
                    </w:rPr>
                    <w:t>污染天气通用行业应急减排措施制定技术指南</w:t>
                  </w:r>
                  <w:r>
                    <w:rPr>
                      <w:rFonts w:hint="eastAsia"/>
                      <w:szCs w:val="21"/>
                    </w:rPr>
                    <w:t>（2021年修订稿）》附录2其他</w:t>
                  </w:r>
                  <w:r>
                    <w:rPr>
                      <w:szCs w:val="21"/>
                    </w:rPr>
                    <w:t>工序PM排放</w:t>
                  </w:r>
                  <w:r>
                    <w:rPr>
                      <w:rFonts w:hint="eastAsia"/>
                      <w:szCs w:val="21"/>
                    </w:rPr>
                    <w:t>浓度</w:t>
                  </w:r>
                  <w:r>
                    <w:rPr>
                      <w:szCs w:val="21"/>
                    </w:rPr>
                    <w:t>不高于</w:t>
                  </w:r>
                  <w:r>
                    <w:rPr>
                      <w:rFonts w:hint="eastAsia"/>
                      <w:szCs w:val="21"/>
                    </w:rPr>
                    <w:t>10</w:t>
                  </w:r>
                  <w:r>
                    <w:rPr>
                      <w:szCs w:val="21"/>
                    </w:rPr>
                    <w:t>mg/m</w:t>
                  </w:r>
                  <w:r>
                    <w:rPr>
                      <w:rFonts w:cs="宋体"/>
                      <w:bCs/>
                      <w:kern w:val="0"/>
                      <w:szCs w:val="21"/>
                      <w:vertAlign w:val="superscript"/>
                    </w:rPr>
                    <w:t>3</w:t>
                  </w:r>
                  <w:r>
                    <w:rPr>
                      <w:rFonts w:hint="eastAsia" w:eastAsiaTheme="minorEastAsia"/>
                      <w:bCs/>
                      <w:szCs w:val="21"/>
                    </w:rPr>
                    <w:t xml:space="preserve"> </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11" w:type="dxa"/>
                  <w:bottom w:w="28" w:type="dxa"/>
                  <w:right w:w="11" w:type="dxa"/>
                </w:tblCellMar>
              </w:tblPrEx>
              <w:trPr>
                <w:trHeight w:val="13" w:hRule="atLeast"/>
              </w:trPr>
              <w:tc>
                <w:tcPr>
                  <w:tcW w:w="437" w:type="dxa"/>
                  <w:tcMar>
                    <w:top w:w="57" w:type="dxa"/>
                    <w:left w:w="28" w:type="dxa"/>
                    <w:bottom w:w="57" w:type="dxa"/>
                    <w:right w:w="28" w:type="dxa"/>
                  </w:tcMar>
                  <w:vAlign w:val="center"/>
                </w:tcPr>
                <w:p>
                  <w:pPr>
                    <w:spacing w:line="280" w:lineRule="exact"/>
                    <w:jc w:val="center"/>
                    <w:rPr>
                      <w:rFonts w:eastAsiaTheme="minorEastAsia"/>
                      <w:bCs/>
                      <w:szCs w:val="21"/>
                    </w:rPr>
                  </w:pPr>
                  <w:r>
                    <w:rPr>
                      <w:rFonts w:eastAsiaTheme="minorEastAsia"/>
                      <w:bCs/>
                      <w:szCs w:val="21"/>
                    </w:rPr>
                    <w:t>1</w:t>
                  </w:r>
                </w:p>
              </w:tc>
              <w:tc>
                <w:tcPr>
                  <w:tcW w:w="821" w:type="dxa"/>
                  <w:tcMar>
                    <w:top w:w="57" w:type="dxa"/>
                    <w:left w:w="28" w:type="dxa"/>
                    <w:bottom w:w="57" w:type="dxa"/>
                    <w:right w:w="28" w:type="dxa"/>
                  </w:tcMar>
                  <w:vAlign w:val="center"/>
                </w:tcPr>
                <w:p>
                  <w:pPr>
                    <w:spacing w:line="280" w:lineRule="exact"/>
                    <w:jc w:val="center"/>
                    <w:rPr>
                      <w:rFonts w:eastAsiaTheme="minorEastAsia"/>
                      <w:bCs/>
                      <w:szCs w:val="21"/>
                    </w:rPr>
                  </w:pPr>
                  <w:r>
                    <w:rPr>
                      <w:rFonts w:eastAsiaTheme="minorEastAsia"/>
                      <w:bCs/>
                      <w:szCs w:val="21"/>
                    </w:rPr>
                    <w:t>DA001</w:t>
                  </w:r>
                </w:p>
              </w:tc>
              <w:tc>
                <w:tcPr>
                  <w:tcW w:w="977" w:type="dxa"/>
                  <w:tcMar>
                    <w:top w:w="57" w:type="dxa"/>
                    <w:left w:w="28" w:type="dxa"/>
                    <w:bottom w:w="57" w:type="dxa"/>
                    <w:right w:w="28" w:type="dxa"/>
                  </w:tcMar>
                  <w:vAlign w:val="center"/>
                </w:tcPr>
                <w:p>
                  <w:pPr>
                    <w:snapToGrid w:val="0"/>
                    <w:spacing w:line="280" w:lineRule="exact"/>
                    <w:jc w:val="center"/>
                    <w:rPr>
                      <w:rFonts w:eastAsiaTheme="minorEastAsia"/>
                      <w:snapToGrid w:val="0"/>
                      <w:kern w:val="0"/>
                      <w:szCs w:val="21"/>
                    </w:rPr>
                  </w:pPr>
                  <w:r>
                    <w:rPr>
                      <w:rFonts w:eastAsiaTheme="minorEastAsia"/>
                      <w:snapToGrid w:val="0"/>
                      <w:kern w:val="0"/>
                      <w:szCs w:val="21"/>
                    </w:rPr>
                    <w:t>原料料仓废气</w:t>
                  </w:r>
                </w:p>
              </w:tc>
              <w:tc>
                <w:tcPr>
                  <w:tcW w:w="835" w:type="dxa"/>
                  <w:tcMar>
                    <w:top w:w="57" w:type="dxa"/>
                    <w:left w:w="28" w:type="dxa"/>
                    <w:bottom w:w="57" w:type="dxa"/>
                    <w:right w:w="28" w:type="dxa"/>
                  </w:tcMar>
                  <w:vAlign w:val="center"/>
                </w:tcPr>
                <w:p>
                  <w:pPr>
                    <w:spacing w:line="280" w:lineRule="exact"/>
                    <w:jc w:val="center"/>
                    <w:rPr>
                      <w:rFonts w:eastAsiaTheme="minorEastAsia"/>
                      <w:bCs/>
                      <w:szCs w:val="21"/>
                    </w:rPr>
                  </w:pPr>
                  <w:r>
                    <w:rPr>
                      <w:rFonts w:hint="eastAsia" w:eastAsiaTheme="minorEastAsia"/>
                      <w:bCs/>
                      <w:szCs w:val="21"/>
                    </w:rPr>
                    <w:t>颗粒物</w:t>
                  </w:r>
                </w:p>
              </w:tc>
              <w:tc>
                <w:tcPr>
                  <w:tcW w:w="1011" w:type="dxa"/>
                  <w:vMerge w:val="restart"/>
                  <w:tcMar>
                    <w:top w:w="57" w:type="dxa"/>
                    <w:left w:w="28" w:type="dxa"/>
                    <w:bottom w:w="57" w:type="dxa"/>
                    <w:right w:w="28" w:type="dxa"/>
                  </w:tcMar>
                  <w:vAlign w:val="center"/>
                </w:tcPr>
                <w:p>
                  <w:pPr>
                    <w:spacing w:line="280" w:lineRule="exact"/>
                    <w:jc w:val="center"/>
                    <w:rPr>
                      <w:rFonts w:eastAsiaTheme="minorEastAsia"/>
                      <w:bCs/>
                      <w:szCs w:val="21"/>
                    </w:rPr>
                  </w:pPr>
                  <w:r>
                    <w:rPr>
                      <w:rFonts w:eastAsiaTheme="minorEastAsia"/>
                      <w:kern w:val="0"/>
                      <w:szCs w:val="21"/>
                    </w:rPr>
                    <w:t>《大气污染物综合排放标准》（GB16297-1996）表2二级标准</w:t>
                  </w:r>
                </w:p>
              </w:tc>
              <w:tc>
                <w:tcPr>
                  <w:tcW w:w="1088" w:type="dxa"/>
                  <w:tcMar>
                    <w:left w:w="28" w:type="dxa"/>
                    <w:right w:w="28" w:type="dxa"/>
                  </w:tcMar>
                  <w:vAlign w:val="center"/>
                </w:tcPr>
                <w:p>
                  <w:pPr>
                    <w:spacing w:line="280" w:lineRule="exact"/>
                    <w:jc w:val="center"/>
                    <w:rPr>
                      <w:rFonts w:eastAsiaTheme="minorEastAsia"/>
                      <w:bCs/>
                      <w:szCs w:val="21"/>
                    </w:rPr>
                  </w:pPr>
                  <w:r>
                    <w:rPr>
                      <w:rFonts w:eastAsiaTheme="minorEastAsia"/>
                      <w:bCs/>
                      <w:szCs w:val="21"/>
                    </w:rPr>
                    <w:t>120</w:t>
                  </w:r>
                  <w:r>
                    <w:rPr>
                      <w:rFonts w:eastAsiaTheme="minorEastAsia"/>
                      <w:kern w:val="0"/>
                      <w:szCs w:val="21"/>
                    </w:rPr>
                    <w:t>mg/m</w:t>
                  </w:r>
                  <w:r>
                    <w:rPr>
                      <w:rFonts w:eastAsiaTheme="minorEastAsia"/>
                      <w:kern w:val="0"/>
                      <w:szCs w:val="21"/>
                      <w:vertAlign w:val="superscript"/>
                    </w:rPr>
                    <w:t>3</w:t>
                  </w:r>
                </w:p>
              </w:tc>
              <w:tc>
                <w:tcPr>
                  <w:tcW w:w="1605" w:type="dxa"/>
                  <w:tcMar>
                    <w:left w:w="28" w:type="dxa"/>
                    <w:right w:w="28" w:type="dxa"/>
                  </w:tcMar>
                  <w:vAlign w:val="center"/>
                </w:tcPr>
                <w:p>
                  <w:pPr>
                    <w:spacing w:line="280" w:lineRule="exact"/>
                    <w:contextualSpacing/>
                    <w:jc w:val="center"/>
                    <w:rPr>
                      <w:rFonts w:eastAsiaTheme="minorEastAsia"/>
                      <w:szCs w:val="21"/>
                    </w:rPr>
                  </w:pPr>
                  <w:r>
                    <w:rPr>
                      <w:rFonts w:eastAsiaTheme="minorEastAsia"/>
                      <w:szCs w:val="21"/>
                    </w:rPr>
                    <w:t>19m高排气筒</w:t>
                  </w:r>
                </w:p>
                <w:p>
                  <w:pPr>
                    <w:spacing w:line="280" w:lineRule="exact"/>
                    <w:jc w:val="center"/>
                    <w:rPr>
                      <w:rFonts w:eastAsiaTheme="minorEastAsia"/>
                      <w:bCs/>
                      <w:szCs w:val="21"/>
                    </w:rPr>
                  </w:pPr>
                  <w:r>
                    <w:rPr>
                      <w:rFonts w:eastAsiaTheme="minorEastAsia"/>
                      <w:szCs w:val="21"/>
                    </w:rPr>
                    <w:t>排放速率4.02kg/h</w:t>
                  </w:r>
                </w:p>
              </w:tc>
              <w:tc>
                <w:tcPr>
                  <w:tcW w:w="1134" w:type="dxa"/>
                  <w:vMerge w:val="continue"/>
                  <w:vAlign w:val="center"/>
                </w:tcPr>
                <w:p>
                  <w:pPr>
                    <w:spacing w:line="280" w:lineRule="exact"/>
                    <w:jc w:val="center"/>
                    <w:rPr>
                      <w:rFonts w:eastAsiaTheme="minorEastAsia"/>
                      <w:bCs/>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11" w:type="dxa"/>
                  <w:bottom w:w="28" w:type="dxa"/>
                  <w:right w:w="11" w:type="dxa"/>
                </w:tblCellMar>
              </w:tblPrEx>
              <w:trPr>
                <w:trHeight w:val="286" w:hRule="atLeast"/>
              </w:trPr>
              <w:tc>
                <w:tcPr>
                  <w:tcW w:w="437" w:type="dxa"/>
                  <w:tcMar>
                    <w:top w:w="57" w:type="dxa"/>
                    <w:left w:w="28" w:type="dxa"/>
                    <w:bottom w:w="57" w:type="dxa"/>
                    <w:right w:w="28" w:type="dxa"/>
                  </w:tcMar>
                  <w:vAlign w:val="center"/>
                </w:tcPr>
                <w:p>
                  <w:pPr>
                    <w:spacing w:line="280" w:lineRule="exact"/>
                    <w:jc w:val="center"/>
                    <w:rPr>
                      <w:rFonts w:eastAsiaTheme="minorEastAsia"/>
                      <w:bCs/>
                      <w:szCs w:val="21"/>
                    </w:rPr>
                  </w:pPr>
                  <w:r>
                    <w:rPr>
                      <w:rFonts w:eastAsiaTheme="minorEastAsia"/>
                      <w:bCs/>
                      <w:szCs w:val="21"/>
                    </w:rPr>
                    <w:t>2</w:t>
                  </w:r>
                </w:p>
              </w:tc>
              <w:tc>
                <w:tcPr>
                  <w:tcW w:w="821" w:type="dxa"/>
                  <w:tcMar>
                    <w:top w:w="57" w:type="dxa"/>
                    <w:left w:w="28" w:type="dxa"/>
                    <w:bottom w:w="57" w:type="dxa"/>
                    <w:right w:w="28" w:type="dxa"/>
                  </w:tcMar>
                  <w:vAlign w:val="center"/>
                </w:tcPr>
                <w:p>
                  <w:pPr>
                    <w:spacing w:line="280" w:lineRule="exact"/>
                    <w:jc w:val="center"/>
                    <w:rPr>
                      <w:rFonts w:eastAsiaTheme="minorEastAsia"/>
                      <w:bCs/>
                      <w:szCs w:val="21"/>
                    </w:rPr>
                  </w:pPr>
                  <w:r>
                    <w:rPr>
                      <w:rFonts w:eastAsiaTheme="minorEastAsia"/>
                      <w:bCs/>
                      <w:szCs w:val="21"/>
                    </w:rPr>
                    <w:t>DA002</w:t>
                  </w:r>
                </w:p>
              </w:tc>
              <w:tc>
                <w:tcPr>
                  <w:tcW w:w="977" w:type="dxa"/>
                  <w:tcMar>
                    <w:top w:w="57" w:type="dxa"/>
                    <w:left w:w="28" w:type="dxa"/>
                    <w:bottom w:w="57" w:type="dxa"/>
                    <w:right w:w="28" w:type="dxa"/>
                  </w:tcMar>
                  <w:vAlign w:val="center"/>
                </w:tcPr>
                <w:p>
                  <w:pPr>
                    <w:pStyle w:val="63"/>
                    <w:kinsoku w:val="0"/>
                    <w:overflowPunct w:val="0"/>
                    <w:snapToGrid w:val="0"/>
                    <w:spacing w:line="280" w:lineRule="exact"/>
                    <w:jc w:val="center"/>
                    <w:rPr>
                      <w:rFonts w:eastAsiaTheme="minorEastAsia"/>
                      <w:kern w:val="2"/>
                      <w:sz w:val="21"/>
                      <w:szCs w:val="21"/>
                    </w:rPr>
                  </w:pPr>
                  <w:r>
                    <w:rPr>
                      <w:rFonts w:eastAsiaTheme="minorEastAsia"/>
                      <w:kern w:val="2"/>
                      <w:sz w:val="21"/>
                      <w:szCs w:val="21"/>
                    </w:rPr>
                    <w:t>粉磨废气</w:t>
                  </w:r>
                </w:p>
              </w:tc>
              <w:tc>
                <w:tcPr>
                  <w:tcW w:w="835" w:type="dxa"/>
                  <w:tcMar>
                    <w:top w:w="57" w:type="dxa"/>
                    <w:left w:w="28" w:type="dxa"/>
                    <w:bottom w:w="57" w:type="dxa"/>
                    <w:right w:w="28" w:type="dxa"/>
                  </w:tcMar>
                  <w:vAlign w:val="center"/>
                </w:tcPr>
                <w:p>
                  <w:pPr>
                    <w:spacing w:line="280" w:lineRule="exact"/>
                    <w:jc w:val="center"/>
                    <w:rPr>
                      <w:rFonts w:eastAsiaTheme="minorEastAsia"/>
                      <w:bCs/>
                      <w:szCs w:val="21"/>
                    </w:rPr>
                  </w:pPr>
                  <w:r>
                    <w:rPr>
                      <w:rFonts w:hint="eastAsia" w:eastAsiaTheme="minorEastAsia"/>
                      <w:bCs/>
                      <w:szCs w:val="21"/>
                    </w:rPr>
                    <w:t>颗粒物</w:t>
                  </w:r>
                </w:p>
              </w:tc>
              <w:tc>
                <w:tcPr>
                  <w:tcW w:w="1011" w:type="dxa"/>
                  <w:vMerge w:val="continue"/>
                  <w:tcMar>
                    <w:top w:w="57" w:type="dxa"/>
                    <w:left w:w="28" w:type="dxa"/>
                    <w:bottom w:w="57" w:type="dxa"/>
                    <w:right w:w="28" w:type="dxa"/>
                  </w:tcMar>
                  <w:vAlign w:val="center"/>
                </w:tcPr>
                <w:p>
                  <w:pPr>
                    <w:spacing w:line="280" w:lineRule="exact"/>
                    <w:jc w:val="center"/>
                    <w:rPr>
                      <w:rFonts w:eastAsiaTheme="minorEastAsia"/>
                      <w:szCs w:val="21"/>
                    </w:rPr>
                  </w:pPr>
                </w:p>
              </w:tc>
              <w:tc>
                <w:tcPr>
                  <w:tcW w:w="1088" w:type="dxa"/>
                  <w:tcMar>
                    <w:left w:w="28" w:type="dxa"/>
                    <w:right w:w="28" w:type="dxa"/>
                  </w:tcMar>
                  <w:vAlign w:val="center"/>
                </w:tcPr>
                <w:p>
                  <w:pPr>
                    <w:spacing w:line="280" w:lineRule="exact"/>
                    <w:rPr>
                      <w:szCs w:val="21"/>
                    </w:rPr>
                  </w:pPr>
                  <w:r>
                    <w:rPr>
                      <w:rFonts w:eastAsiaTheme="minorEastAsia"/>
                      <w:bCs/>
                      <w:szCs w:val="21"/>
                    </w:rPr>
                    <w:t>120</w:t>
                  </w:r>
                  <w:r>
                    <w:rPr>
                      <w:rFonts w:eastAsiaTheme="minorEastAsia"/>
                      <w:kern w:val="0"/>
                      <w:szCs w:val="21"/>
                    </w:rPr>
                    <w:t>mg/m</w:t>
                  </w:r>
                  <w:r>
                    <w:rPr>
                      <w:rFonts w:eastAsiaTheme="minorEastAsia"/>
                      <w:kern w:val="0"/>
                      <w:szCs w:val="21"/>
                      <w:vertAlign w:val="superscript"/>
                    </w:rPr>
                    <w:t>3</w:t>
                  </w:r>
                </w:p>
              </w:tc>
              <w:tc>
                <w:tcPr>
                  <w:tcW w:w="1605" w:type="dxa"/>
                  <w:tcMar>
                    <w:left w:w="28" w:type="dxa"/>
                    <w:right w:w="28" w:type="dxa"/>
                  </w:tcMar>
                  <w:vAlign w:val="center"/>
                </w:tcPr>
                <w:p>
                  <w:pPr>
                    <w:spacing w:line="280" w:lineRule="exact"/>
                    <w:contextualSpacing/>
                    <w:jc w:val="center"/>
                    <w:rPr>
                      <w:rFonts w:eastAsiaTheme="minorEastAsia"/>
                      <w:szCs w:val="21"/>
                    </w:rPr>
                  </w:pPr>
                  <w:r>
                    <w:rPr>
                      <w:rFonts w:eastAsiaTheme="minorEastAsia"/>
                      <w:szCs w:val="21"/>
                    </w:rPr>
                    <w:t>15m高排气筒</w:t>
                  </w:r>
                </w:p>
                <w:p>
                  <w:pPr>
                    <w:spacing w:line="280" w:lineRule="exact"/>
                    <w:jc w:val="center"/>
                    <w:rPr>
                      <w:rFonts w:eastAsiaTheme="minorEastAsia"/>
                      <w:bCs/>
                      <w:szCs w:val="21"/>
                    </w:rPr>
                  </w:pPr>
                  <w:r>
                    <w:rPr>
                      <w:rFonts w:eastAsiaTheme="minorEastAsia"/>
                      <w:szCs w:val="21"/>
                    </w:rPr>
                    <w:t>排放速率3.5kg/h</w:t>
                  </w:r>
                </w:p>
              </w:tc>
              <w:tc>
                <w:tcPr>
                  <w:tcW w:w="1134" w:type="dxa"/>
                  <w:vMerge w:val="continue"/>
                  <w:vAlign w:val="center"/>
                </w:tcPr>
                <w:p>
                  <w:pPr>
                    <w:spacing w:line="280" w:lineRule="exact"/>
                    <w:jc w:val="center"/>
                    <w:rPr>
                      <w:rFonts w:eastAsiaTheme="minorEastAsia"/>
                      <w:bCs/>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11" w:type="dxa"/>
                  <w:bottom w:w="28" w:type="dxa"/>
                  <w:right w:w="11" w:type="dxa"/>
                </w:tblCellMar>
              </w:tblPrEx>
              <w:trPr>
                <w:trHeight w:val="286" w:hRule="atLeast"/>
              </w:trPr>
              <w:tc>
                <w:tcPr>
                  <w:tcW w:w="437" w:type="dxa"/>
                  <w:tcMar>
                    <w:top w:w="57" w:type="dxa"/>
                    <w:left w:w="28" w:type="dxa"/>
                    <w:bottom w:w="57" w:type="dxa"/>
                    <w:right w:w="28" w:type="dxa"/>
                  </w:tcMar>
                  <w:vAlign w:val="center"/>
                </w:tcPr>
                <w:p>
                  <w:pPr>
                    <w:spacing w:line="280" w:lineRule="exact"/>
                    <w:jc w:val="center"/>
                    <w:rPr>
                      <w:rFonts w:eastAsiaTheme="minorEastAsia"/>
                      <w:bCs/>
                      <w:szCs w:val="21"/>
                    </w:rPr>
                  </w:pPr>
                  <w:r>
                    <w:rPr>
                      <w:rFonts w:eastAsiaTheme="minorEastAsia"/>
                      <w:bCs/>
                      <w:szCs w:val="21"/>
                    </w:rPr>
                    <w:t>3</w:t>
                  </w:r>
                </w:p>
              </w:tc>
              <w:tc>
                <w:tcPr>
                  <w:tcW w:w="821" w:type="dxa"/>
                  <w:tcMar>
                    <w:top w:w="57" w:type="dxa"/>
                    <w:left w:w="28" w:type="dxa"/>
                    <w:bottom w:w="57" w:type="dxa"/>
                    <w:right w:w="28" w:type="dxa"/>
                  </w:tcMar>
                  <w:vAlign w:val="center"/>
                </w:tcPr>
                <w:p>
                  <w:pPr>
                    <w:spacing w:line="280" w:lineRule="exact"/>
                    <w:jc w:val="center"/>
                    <w:rPr>
                      <w:rFonts w:eastAsiaTheme="minorEastAsia"/>
                      <w:szCs w:val="21"/>
                    </w:rPr>
                  </w:pPr>
                  <w:r>
                    <w:rPr>
                      <w:rFonts w:eastAsiaTheme="minorEastAsia"/>
                      <w:szCs w:val="21"/>
                    </w:rPr>
                    <w:t>DA003</w:t>
                  </w:r>
                </w:p>
              </w:tc>
              <w:tc>
                <w:tcPr>
                  <w:tcW w:w="977" w:type="dxa"/>
                  <w:tcMar>
                    <w:top w:w="57" w:type="dxa"/>
                    <w:left w:w="28" w:type="dxa"/>
                    <w:bottom w:w="57" w:type="dxa"/>
                    <w:right w:w="28" w:type="dxa"/>
                  </w:tcMar>
                  <w:vAlign w:val="center"/>
                </w:tcPr>
                <w:p>
                  <w:pPr>
                    <w:pStyle w:val="63"/>
                    <w:kinsoku w:val="0"/>
                    <w:overflowPunct w:val="0"/>
                    <w:snapToGrid w:val="0"/>
                    <w:spacing w:line="280" w:lineRule="exact"/>
                    <w:jc w:val="center"/>
                    <w:rPr>
                      <w:rFonts w:eastAsiaTheme="minorEastAsia"/>
                      <w:kern w:val="2"/>
                      <w:sz w:val="21"/>
                      <w:szCs w:val="21"/>
                    </w:rPr>
                  </w:pPr>
                  <w:r>
                    <w:rPr>
                      <w:rFonts w:eastAsiaTheme="minorEastAsia"/>
                      <w:kern w:val="2"/>
                      <w:sz w:val="21"/>
                      <w:szCs w:val="21"/>
                    </w:rPr>
                    <w:t>提升机废气</w:t>
                  </w:r>
                </w:p>
              </w:tc>
              <w:tc>
                <w:tcPr>
                  <w:tcW w:w="835" w:type="dxa"/>
                  <w:tcMar>
                    <w:top w:w="57" w:type="dxa"/>
                    <w:left w:w="28" w:type="dxa"/>
                    <w:bottom w:w="57" w:type="dxa"/>
                    <w:right w:w="28" w:type="dxa"/>
                  </w:tcMar>
                  <w:vAlign w:val="center"/>
                </w:tcPr>
                <w:p>
                  <w:pPr>
                    <w:spacing w:line="280" w:lineRule="exact"/>
                    <w:jc w:val="center"/>
                    <w:rPr>
                      <w:rFonts w:eastAsiaTheme="minorEastAsia"/>
                      <w:szCs w:val="21"/>
                    </w:rPr>
                  </w:pPr>
                  <w:r>
                    <w:rPr>
                      <w:rFonts w:hint="eastAsia" w:eastAsiaTheme="minorEastAsia"/>
                      <w:bCs/>
                      <w:szCs w:val="21"/>
                    </w:rPr>
                    <w:t>颗粒物</w:t>
                  </w:r>
                </w:p>
              </w:tc>
              <w:tc>
                <w:tcPr>
                  <w:tcW w:w="1011" w:type="dxa"/>
                  <w:vMerge w:val="continue"/>
                  <w:tcMar>
                    <w:top w:w="57" w:type="dxa"/>
                    <w:left w:w="28" w:type="dxa"/>
                    <w:bottom w:w="57" w:type="dxa"/>
                    <w:right w:w="28" w:type="dxa"/>
                  </w:tcMar>
                  <w:vAlign w:val="center"/>
                </w:tcPr>
                <w:p>
                  <w:pPr>
                    <w:spacing w:line="280" w:lineRule="exact"/>
                    <w:jc w:val="center"/>
                    <w:rPr>
                      <w:rFonts w:eastAsiaTheme="minorEastAsia"/>
                      <w:kern w:val="0"/>
                      <w:szCs w:val="21"/>
                    </w:rPr>
                  </w:pPr>
                </w:p>
              </w:tc>
              <w:tc>
                <w:tcPr>
                  <w:tcW w:w="1088" w:type="dxa"/>
                  <w:tcMar>
                    <w:left w:w="28" w:type="dxa"/>
                    <w:right w:w="28" w:type="dxa"/>
                  </w:tcMar>
                  <w:vAlign w:val="center"/>
                </w:tcPr>
                <w:p>
                  <w:pPr>
                    <w:spacing w:line="280" w:lineRule="exact"/>
                    <w:rPr>
                      <w:szCs w:val="21"/>
                    </w:rPr>
                  </w:pPr>
                  <w:r>
                    <w:rPr>
                      <w:rFonts w:eastAsiaTheme="minorEastAsia"/>
                      <w:bCs/>
                      <w:szCs w:val="21"/>
                    </w:rPr>
                    <w:t>120</w:t>
                  </w:r>
                  <w:r>
                    <w:rPr>
                      <w:rFonts w:eastAsiaTheme="minorEastAsia"/>
                      <w:kern w:val="0"/>
                      <w:szCs w:val="21"/>
                    </w:rPr>
                    <w:t>mg/m</w:t>
                  </w:r>
                  <w:r>
                    <w:rPr>
                      <w:rFonts w:eastAsiaTheme="minorEastAsia"/>
                      <w:kern w:val="0"/>
                      <w:szCs w:val="21"/>
                      <w:vertAlign w:val="superscript"/>
                    </w:rPr>
                    <w:t>3</w:t>
                  </w:r>
                </w:p>
              </w:tc>
              <w:tc>
                <w:tcPr>
                  <w:tcW w:w="1605" w:type="dxa"/>
                  <w:tcMar>
                    <w:left w:w="28" w:type="dxa"/>
                    <w:right w:w="28" w:type="dxa"/>
                  </w:tcMar>
                  <w:vAlign w:val="center"/>
                </w:tcPr>
                <w:p>
                  <w:pPr>
                    <w:spacing w:line="280" w:lineRule="exact"/>
                    <w:contextualSpacing/>
                    <w:jc w:val="center"/>
                    <w:rPr>
                      <w:rFonts w:eastAsiaTheme="minorEastAsia"/>
                      <w:szCs w:val="21"/>
                    </w:rPr>
                  </w:pPr>
                  <w:r>
                    <w:rPr>
                      <w:rFonts w:eastAsiaTheme="minorEastAsia"/>
                      <w:szCs w:val="21"/>
                    </w:rPr>
                    <w:t>15m高排气筒</w:t>
                  </w:r>
                </w:p>
                <w:p>
                  <w:pPr>
                    <w:spacing w:line="280" w:lineRule="exact"/>
                    <w:jc w:val="center"/>
                    <w:rPr>
                      <w:rFonts w:eastAsiaTheme="minorEastAsia"/>
                      <w:bCs/>
                      <w:szCs w:val="21"/>
                    </w:rPr>
                  </w:pPr>
                  <w:r>
                    <w:rPr>
                      <w:rFonts w:eastAsiaTheme="minorEastAsia"/>
                      <w:szCs w:val="21"/>
                    </w:rPr>
                    <w:t>排放速率3.5kg/h</w:t>
                  </w:r>
                </w:p>
              </w:tc>
              <w:tc>
                <w:tcPr>
                  <w:tcW w:w="1134" w:type="dxa"/>
                  <w:vMerge w:val="continue"/>
                  <w:vAlign w:val="center"/>
                </w:tcPr>
                <w:p>
                  <w:pPr>
                    <w:spacing w:line="280" w:lineRule="exact"/>
                    <w:jc w:val="center"/>
                    <w:rPr>
                      <w:rFonts w:eastAsiaTheme="minorEastAsia"/>
                      <w:bCs/>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11" w:type="dxa"/>
                  <w:bottom w:w="28" w:type="dxa"/>
                  <w:right w:w="11" w:type="dxa"/>
                </w:tblCellMar>
              </w:tblPrEx>
              <w:trPr>
                <w:trHeight w:val="286" w:hRule="atLeast"/>
              </w:trPr>
              <w:tc>
                <w:tcPr>
                  <w:tcW w:w="437" w:type="dxa"/>
                  <w:tcMar>
                    <w:top w:w="57" w:type="dxa"/>
                    <w:left w:w="28" w:type="dxa"/>
                    <w:bottom w:w="57" w:type="dxa"/>
                    <w:right w:w="28" w:type="dxa"/>
                  </w:tcMar>
                  <w:vAlign w:val="center"/>
                </w:tcPr>
                <w:p>
                  <w:pPr>
                    <w:spacing w:line="280" w:lineRule="exact"/>
                    <w:jc w:val="center"/>
                    <w:rPr>
                      <w:rFonts w:eastAsiaTheme="minorEastAsia"/>
                      <w:bCs/>
                      <w:szCs w:val="21"/>
                    </w:rPr>
                  </w:pPr>
                  <w:r>
                    <w:rPr>
                      <w:rFonts w:hint="eastAsia" w:eastAsiaTheme="minorEastAsia"/>
                      <w:bCs/>
                      <w:szCs w:val="21"/>
                    </w:rPr>
                    <w:t>4</w:t>
                  </w:r>
                </w:p>
              </w:tc>
              <w:tc>
                <w:tcPr>
                  <w:tcW w:w="821" w:type="dxa"/>
                  <w:tcMar>
                    <w:top w:w="57" w:type="dxa"/>
                    <w:left w:w="28" w:type="dxa"/>
                    <w:bottom w:w="57" w:type="dxa"/>
                    <w:right w:w="28" w:type="dxa"/>
                  </w:tcMar>
                  <w:vAlign w:val="center"/>
                </w:tcPr>
                <w:p>
                  <w:pPr>
                    <w:spacing w:line="280" w:lineRule="exact"/>
                    <w:jc w:val="center"/>
                    <w:rPr>
                      <w:rFonts w:eastAsiaTheme="minorEastAsia"/>
                      <w:szCs w:val="21"/>
                    </w:rPr>
                  </w:pPr>
                  <w:r>
                    <w:rPr>
                      <w:rFonts w:eastAsiaTheme="minorEastAsia"/>
                      <w:bCs/>
                      <w:szCs w:val="21"/>
                    </w:rPr>
                    <w:t>DA004</w:t>
                  </w:r>
                </w:p>
              </w:tc>
              <w:tc>
                <w:tcPr>
                  <w:tcW w:w="977" w:type="dxa"/>
                  <w:tcMar>
                    <w:top w:w="57" w:type="dxa"/>
                    <w:left w:w="28" w:type="dxa"/>
                    <w:bottom w:w="57" w:type="dxa"/>
                    <w:right w:w="28" w:type="dxa"/>
                  </w:tcMar>
                  <w:vAlign w:val="center"/>
                </w:tcPr>
                <w:p>
                  <w:pPr>
                    <w:pStyle w:val="63"/>
                    <w:kinsoku w:val="0"/>
                    <w:overflowPunct w:val="0"/>
                    <w:snapToGrid w:val="0"/>
                    <w:spacing w:line="280" w:lineRule="exact"/>
                    <w:jc w:val="center"/>
                    <w:rPr>
                      <w:rFonts w:eastAsiaTheme="minorEastAsia"/>
                      <w:kern w:val="2"/>
                      <w:sz w:val="21"/>
                      <w:szCs w:val="21"/>
                    </w:rPr>
                  </w:pPr>
                  <w:r>
                    <w:rPr>
                      <w:rFonts w:eastAsiaTheme="minorEastAsia"/>
                      <w:kern w:val="2"/>
                      <w:sz w:val="21"/>
                      <w:szCs w:val="21"/>
                    </w:rPr>
                    <w:t>成品料仓废气</w:t>
                  </w:r>
                </w:p>
              </w:tc>
              <w:tc>
                <w:tcPr>
                  <w:tcW w:w="835" w:type="dxa"/>
                  <w:tcMar>
                    <w:top w:w="57" w:type="dxa"/>
                    <w:left w:w="28" w:type="dxa"/>
                    <w:bottom w:w="57" w:type="dxa"/>
                    <w:right w:w="28" w:type="dxa"/>
                  </w:tcMar>
                  <w:vAlign w:val="center"/>
                </w:tcPr>
                <w:p>
                  <w:pPr>
                    <w:spacing w:line="280" w:lineRule="exact"/>
                    <w:jc w:val="center"/>
                    <w:rPr>
                      <w:rFonts w:eastAsiaTheme="minorEastAsia"/>
                      <w:szCs w:val="21"/>
                    </w:rPr>
                  </w:pPr>
                  <w:r>
                    <w:rPr>
                      <w:rFonts w:hint="eastAsia" w:eastAsiaTheme="minorEastAsia"/>
                      <w:bCs/>
                      <w:szCs w:val="21"/>
                    </w:rPr>
                    <w:t>颗粒物</w:t>
                  </w:r>
                </w:p>
              </w:tc>
              <w:tc>
                <w:tcPr>
                  <w:tcW w:w="1011" w:type="dxa"/>
                  <w:vMerge w:val="continue"/>
                  <w:tcMar>
                    <w:top w:w="57" w:type="dxa"/>
                    <w:left w:w="28" w:type="dxa"/>
                    <w:bottom w:w="57" w:type="dxa"/>
                    <w:right w:w="28" w:type="dxa"/>
                  </w:tcMar>
                  <w:vAlign w:val="center"/>
                </w:tcPr>
                <w:p>
                  <w:pPr>
                    <w:spacing w:line="280" w:lineRule="exact"/>
                    <w:jc w:val="center"/>
                    <w:rPr>
                      <w:rFonts w:eastAsiaTheme="minorEastAsia"/>
                      <w:kern w:val="0"/>
                      <w:szCs w:val="21"/>
                    </w:rPr>
                  </w:pPr>
                </w:p>
              </w:tc>
              <w:tc>
                <w:tcPr>
                  <w:tcW w:w="1088" w:type="dxa"/>
                  <w:tcMar>
                    <w:left w:w="28" w:type="dxa"/>
                    <w:right w:w="28" w:type="dxa"/>
                  </w:tcMar>
                  <w:vAlign w:val="center"/>
                </w:tcPr>
                <w:p>
                  <w:pPr>
                    <w:spacing w:line="280" w:lineRule="exact"/>
                    <w:rPr>
                      <w:szCs w:val="21"/>
                    </w:rPr>
                  </w:pPr>
                  <w:r>
                    <w:rPr>
                      <w:rFonts w:eastAsiaTheme="minorEastAsia"/>
                      <w:bCs/>
                      <w:szCs w:val="21"/>
                    </w:rPr>
                    <w:t>120</w:t>
                  </w:r>
                  <w:r>
                    <w:rPr>
                      <w:rFonts w:eastAsiaTheme="minorEastAsia"/>
                      <w:kern w:val="0"/>
                      <w:szCs w:val="21"/>
                    </w:rPr>
                    <w:t>mg/m</w:t>
                  </w:r>
                  <w:r>
                    <w:rPr>
                      <w:rFonts w:eastAsiaTheme="minorEastAsia"/>
                      <w:kern w:val="0"/>
                      <w:szCs w:val="21"/>
                      <w:vertAlign w:val="superscript"/>
                    </w:rPr>
                    <w:t>3</w:t>
                  </w:r>
                </w:p>
              </w:tc>
              <w:tc>
                <w:tcPr>
                  <w:tcW w:w="1605" w:type="dxa"/>
                  <w:tcMar>
                    <w:left w:w="28" w:type="dxa"/>
                    <w:right w:w="28" w:type="dxa"/>
                  </w:tcMar>
                  <w:vAlign w:val="center"/>
                </w:tcPr>
                <w:p>
                  <w:pPr>
                    <w:spacing w:line="280" w:lineRule="exact"/>
                    <w:contextualSpacing/>
                    <w:jc w:val="center"/>
                    <w:rPr>
                      <w:rFonts w:eastAsiaTheme="minorEastAsia"/>
                      <w:szCs w:val="21"/>
                    </w:rPr>
                  </w:pPr>
                  <w:r>
                    <w:rPr>
                      <w:rFonts w:eastAsiaTheme="minorEastAsia"/>
                      <w:szCs w:val="21"/>
                    </w:rPr>
                    <w:t>21m高排气筒</w:t>
                  </w:r>
                </w:p>
                <w:p>
                  <w:pPr>
                    <w:spacing w:line="280" w:lineRule="exact"/>
                    <w:jc w:val="center"/>
                    <w:rPr>
                      <w:rFonts w:eastAsiaTheme="minorEastAsia"/>
                      <w:bCs/>
                      <w:szCs w:val="21"/>
                    </w:rPr>
                  </w:pPr>
                  <w:r>
                    <w:rPr>
                      <w:rFonts w:eastAsiaTheme="minorEastAsia"/>
                      <w:szCs w:val="21"/>
                    </w:rPr>
                    <w:t>排放速率7.61kg/h</w:t>
                  </w:r>
                </w:p>
              </w:tc>
              <w:tc>
                <w:tcPr>
                  <w:tcW w:w="1134" w:type="dxa"/>
                  <w:vMerge w:val="continue"/>
                  <w:vAlign w:val="center"/>
                </w:tcPr>
                <w:p>
                  <w:pPr>
                    <w:spacing w:line="280" w:lineRule="exact"/>
                    <w:jc w:val="center"/>
                    <w:rPr>
                      <w:rFonts w:eastAsiaTheme="minorEastAsia"/>
                      <w:bCs/>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11" w:type="dxa"/>
                  <w:bottom w:w="28" w:type="dxa"/>
                  <w:right w:w="11" w:type="dxa"/>
                </w:tblCellMar>
              </w:tblPrEx>
              <w:trPr>
                <w:trHeight w:val="286" w:hRule="atLeast"/>
              </w:trPr>
              <w:tc>
                <w:tcPr>
                  <w:tcW w:w="437" w:type="dxa"/>
                  <w:tcMar>
                    <w:top w:w="57" w:type="dxa"/>
                    <w:left w:w="28" w:type="dxa"/>
                    <w:bottom w:w="57" w:type="dxa"/>
                    <w:right w:w="28" w:type="dxa"/>
                  </w:tcMar>
                  <w:vAlign w:val="center"/>
                </w:tcPr>
                <w:p>
                  <w:pPr>
                    <w:spacing w:line="280" w:lineRule="exact"/>
                    <w:jc w:val="center"/>
                    <w:rPr>
                      <w:rFonts w:eastAsiaTheme="minorEastAsia"/>
                      <w:bCs/>
                      <w:szCs w:val="21"/>
                    </w:rPr>
                  </w:pPr>
                  <w:r>
                    <w:rPr>
                      <w:rFonts w:hint="eastAsia" w:eastAsiaTheme="minorEastAsia"/>
                      <w:bCs/>
                      <w:szCs w:val="21"/>
                    </w:rPr>
                    <w:t>5</w:t>
                  </w:r>
                </w:p>
              </w:tc>
              <w:tc>
                <w:tcPr>
                  <w:tcW w:w="821" w:type="dxa"/>
                  <w:tcMar>
                    <w:top w:w="57" w:type="dxa"/>
                    <w:left w:w="28" w:type="dxa"/>
                    <w:bottom w:w="57" w:type="dxa"/>
                    <w:right w:w="28" w:type="dxa"/>
                  </w:tcMar>
                  <w:vAlign w:val="center"/>
                </w:tcPr>
                <w:p>
                  <w:pPr>
                    <w:spacing w:line="280" w:lineRule="exact"/>
                    <w:jc w:val="center"/>
                    <w:rPr>
                      <w:rFonts w:eastAsiaTheme="minorEastAsia"/>
                      <w:szCs w:val="21"/>
                    </w:rPr>
                  </w:pPr>
                  <w:r>
                    <w:rPr>
                      <w:rFonts w:eastAsiaTheme="minorEastAsia"/>
                      <w:bCs/>
                      <w:szCs w:val="21"/>
                    </w:rPr>
                    <w:t>DA005</w:t>
                  </w:r>
                </w:p>
              </w:tc>
              <w:tc>
                <w:tcPr>
                  <w:tcW w:w="977" w:type="dxa"/>
                  <w:tcMar>
                    <w:top w:w="57" w:type="dxa"/>
                    <w:left w:w="28" w:type="dxa"/>
                    <w:bottom w:w="57" w:type="dxa"/>
                    <w:right w:w="28" w:type="dxa"/>
                  </w:tcMar>
                  <w:vAlign w:val="center"/>
                </w:tcPr>
                <w:p>
                  <w:pPr>
                    <w:pStyle w:val="63"/>
                    <w:kinsoku w:val="0"/>
                    <w:overflowPunct w:val="0"/>
                    <w:snapToGrid w:val="0"/>
                    <w:spacing w:line="280" w:lineRule="exact"/>
                    <w:jc w:val="center"/>
                    <w:rPr>
                      <w:rFonts w:eastAsiaTheme="minorEastAsia"/>
                      <w:kern w:val="2"/>
                      <w:sz w:val="21"/>
                      <w:szCs w:val="21"/>
                    </w:rPr>
                  </w:pPr>
                  <w:r>
                    <w:rPr>
                      <w:rFonts w:eastAsiaTheme="minorEastAsia"/>
                      <w:kern w:val="2"/>
                      <w:sz w:val="21"/>
                      <w:szCs w:val="21"/>
                    </w:rPr>
                    <w:t>散装机废气</w:t>
                  </w:r>
                </w:p>
              </w:tc>
              <w:tc>
                <w:tcPr>
                  <w:tcW w:w="835" w:type="dxa"/>
                  <w:tcMar>
                    <w:top w:w="57" w:type="dxa"/>
                    <w:left w:w="28" w:type="dxa"/>
                    <w:bottom w:w="57" w:type="dxa"/>
                    <w:right w:w="28" w:type="dxa"/>
                  </w:tcMar>
                  <w:vAlign w:val="center"/>
                </w:tcPr>
                <w:p>
                  <w:pPr>
                    <w:spacing w:line="280" w:lineRule="exact"/>
                    <w:jc w:val="center"/>
                    <w:rPr>
                      <w:rFonts w:eastAsiaTheme="minorEastAsia"/>
                      <w:szCs w:val="21"/>
                    </w:rPr>
                  </w:pPr>
                  <w:r>
                    <w:rPr>
                      <w:rFonts w:hint="eastAsia" w:eastAsiaTheme="minorEastAsia"/>
                      <w:bCs/>
                      <w:szCs w:val="21"/>
                    </w:rPr>
                    <w:t>颗粒物</w:t>
                  </w:r>
                </w:p>
              </w:tc>
              <w:tc>
                <w:tcPr>
                  <w:tcW w:w="1011" w:type="dxa"/>
                  <w:vMerge w:val="continue"/>
                  <w:tcMar>
                    <w:top w:w="57" w:type="dxa"/>
                    <w:left w:w="28" w:type="dxa"/>
                    <w:bottom w:w="57" w:type="dxa"/>
                    <w:right w:w="28" w:type="dxa"/>
                  </w:tcMar>
                  <w:vAlign w:val="center"/>
                </w:tcPr>
                <w:p>
                  <w:pPr>
                    <w:spacing w:line="280" w:lineRule="exact"/>
                    <w:jc w:val="center"/>
                    <w:rPr>
                      <w:rFonts w:eastAsiaTheme="minorEastAsia"/>
                      <w:kern w:val="0"/>
                      <w:szCs w:val="21"/>
                    </w:rPr>
                  </w:pPr>
                </w:p>
              </w:tc>
              <w:tc>
                <w:tcPr>
                  <w:tcW w:w="1088" w:type="dxa"/>
                  <w:tcMar>
                    <w:left w:w="28" w:type="dxa"/>
                    <w:right w:w="28" w:type="dxa"/>
                  </w:tcMar>
                  <w:vAlign w:val="center"/>
                </w:tcPr>
                <w:p>
                  <w:pPr>
                    <w:spacing w:line="280" w:lineRule="exact"/>
                    <w:rPr>
                      <w:szCs w:val="21"/>
                    </w:rPr>
                  </w:pPr>
                  <w:r>
                    <w:rPr>
                      <w:rFonts w:eastAsiaTheme="minorEastAsia"/>
                      <w:bCs/>
                      <w:szCs w:val="21"/>
                    </w:rPr>
                    <w:t>120</w:t>
                  </w:r>
                  <w:r>
                    <w:rPr>
                      <w:rFonts w:eastAsiaTheme="minorEastAsia"/>
                      <w:kern w:val="0"/>
                      <w:szCs w:val="21"/>
                    </w:rPr>
                    <w:t>mg/m</w:t>
                  </w:r>
                  <w:r>
                    <w:rPr>
                      <w:rFonts w:eastAsiaTheme="minorEastAsia"/>
                      <w:kern w:val="0"/>
                      <w:szCs w:val="21"/>
                      <w:vertAlign w:val="superscript"/>
                    </w:rPr>
                    <w:t>3</w:t>
                  </w:r>
                </w:p>
              </w:tc>
              <w:tc>
                <w:tcPr>
                  <w:tcW w:w="1605" w:type="dxa"/>
                  <w:tcMar>
                    <w:left w:w="28" w:type="dxa"/>
                    <w:right w:w="28" w:type="dxa"/>
                  </w:tcMar>
                  <w:vAlign w:val="center"/>
                </w:tcPr>
                <w:p>
                  <w:pPr>
                    <w:spacing w:line="280" w:lineRule="exact"/>
                    <w:contextualSpacing/>
                    <w:jc w:val="center"/>
                    <w:rPr>
                      <w:rFonts w:eastAsiaTheme="minorEastAsia"/>
                      <w:szCs w:val="21"/>
                    </w:rPr>
                  </w:pPr>
                  <w:r>
                    <w:rPr>
                      <w:rFonts w:eastAsiaTheme="minorEastAsia"/>
                      <w:szCs w:val="21"/>
                    </w:rPr>
                    <w:t>15m高排气筒</w:t>
                  </w:r>
                </w:p>
                <w:p>
                  <w:pPr>
                    <w:spacing w:line="280" w:lineRule="exact"/>
                    <w:jc w:val="center"/>
                    <w:rPr>
                      <w:rFonts w:eastAsiaTheme="minorEastAsia"/>
                      <w:bCs/>
                      <w:szCs w:val="21"/>
                    </w:rPr>
                  </w:pPr>
                  <w:r>
                    <w:rPr>
                      <w:rFonts w:eastAsiaTheme="minorEastAsia"/>
                      <w:szCs w:val="21"/>
                    </w:rPr>
                    <w:t>排放速率3.5kg/h</w:t>
                  </w:r>
                </w:p>
              </w:tc>
              <w:tc>
                <w:tcPr>
                  <w:tcW w:w="1134" w:type="dxa"/>
                  <w:vMerge w:val="continue"/>
                  <w:vAlign w:val="center"/>
                </w:tcPr>
                <w:p>
                  <w:pPr>
                    <w:spacing w:line="280" w:lineRule="exact"/>
                    <w:jc w:val="center"/>
                    <w:rPr>
                      <w:rFonts w:eastAsiaTheme="minorEastAsia"/>
                      <w:bCs/>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11" w:type="dxa"/>
                  <w:bottom w:w="28" w:type="dxa"/>
                  <w:right w:w="11" w:type="dxa"/>
                </w:tblCellMar>
              </w:tblPrEx>
              <w:trPr>
                <w:trHeight w:val="286" w:hRule="atLeast"/>
              </w:trPr>
              <w:tc>
                <w:tcPr>
                  <w:tcW w:w="437" w:type="dxa"/>
                  <w:tcMar>
                    <w:top w:w="57" w:type="dxa"/>
                    <w:left w:w="28" w:type="dxa"/>
                    <w:bottom w:w="57" w:type="dxa"/>
                    <w:right w:w="28" w:type="dxa"/>
                  </w:tcMar>
                  <w:vAlign w:val="center"/>
                </w:tcPr>
                <w:p>
                  <w:pPr>
                    <w:spacing w:line="280" w:lineRule="exact"/>
                    <w:jc w:val="center"/>
                    <w:rPr>
                      <w:rFonts w:eastAsiaTheme="minorEastAsia"/>
                      <w:bCs/>
                      <w:szCs w:val="21"/>
                    </w:rPr>
                  </w:pPr>
                  <w:r>
                    <w:rPr>
                      <w:rFonts w:eastAsiaTheme="minorEastAsia"/>
                      <w:bCs/>
                      <w:szCs w:val="21"/>
                    </w:rPr>
                    <w:t>6</w:t>
                  </w:r>
                </w:p>
              </w:tc>
              <w:tc>
                <w:tcPr>
                  <w:tcW w:w="821" w:type="dxa"/>
                  <w:tcMar>
                    <w:top w:w="57" w:type="dxa"/>
                    <w:left w:w="28" w:type="dxa"/>
                    <w:bottom w:w="57" w:type="dxa"/>
                    <w:right w:w="28" w:type="dxa"/>
                  </w:tcMar>
                  <w:vAlign w:val="center"/>
                </w:tcPr>
                <w:p>
                  <w:pPr>
                    <w:spacing w:line="280" w:lineRule="exact"/>
                    <w:jc w:val="center"/>
                    <w:rPr>
                      <w:rFonts w:eastAsiaTheme="minorEastAsia"/>
                      <w:bCs/>
                      <w:szCs w:val="21"/>
                    </w:rPr>
                  </w:pPr>
                  <w:r>
                    <w:rPr>
                      <w:rFonts w:hint="eastAsia" w:eastAsiaTheme="minorEastAsia"/>
                      <w:bCs/>
                      <w:szCs w:val="21"/>
                    </w:rPr>
                    <w:t>/</w:t>
                  </w:r>
                </w:p>
              </w:tc>
              <w:tc>
                <w:tcPr>
                  <w:tcW w:w="977" w:type="dxa"/>
                  <w:tcMar>
                    <w:top w:w="57" w:type="dxa"/>
                    <w:left w:w="28" w:type="dxa"/>
                    <w:bottom w:w="57" w:type="dxa"/>
                    <w:right w:w="28" w:type="dxa"/>
                  </w:tcMar>
                  <w:vAlign w:val="center"/>
                </w:tcPr>
                <w:p>
                  <w:pPr>
                    <w:pStyle w:val="63"/>
                    <w:kinsoku w:val="0"/>
                    <w:overflowPunct w:val="0"/>
                    <w:snapToGrid w:val="0"/>
                    <w:spacing w:line="280" w:lineRule="exact"/>
                    <w:jc w:val="center"/>
                    <w:rPr>
                      <w:rFonts w:eastAsiaTheme="minorEastAsia"/>
                      <w:kern w:val="2"/>
                      <w:sz w:val="21"/>
                      <w:szCs w:val="21"/>
                    </w:rPr>
                  </w:pPr>
                  <w:r>
                    <w:rPr>
                      <w:rFonts w:hint="eastAsia"/>
                      <w:bCs/>
                      <w:sz w:val="21"/>
                      <w:szCs w:val="21"/>
                    </w:rPr>
                    <w:t>无</w:t>
                  </w:r>
                  <w:r>
                    <w:rPr>
                      <w:bCs/>
                      <w:sz w:val="21"/>
                      <w:szCs w:val="21"/>
                    </w:rPr>
                    <w:t>组织废气</w:t>
                  </w:r>
                </w:p>
              </w:tc>
              <w:tc>
                <w:tcPr>
                  <w:tcW w:w="835" w:type="dxa"/>
                  <w:tcMar>
                    <w:top w:w="57" w:type="dxa"/>
                    <w:left w:w="28" w:type="dxa"/>
                    <w:bottom w:w="57" w:type="dxa"/>
                    <w:right w:w="28" w:type="dxa"/>
                  </w:tcMar>
                  <w:vAlign w:val="center"/>
                </w:tcPr>
                <w:p>
                  <w:pPr>
                    <w:spacing w:line="280" w:lineRule="exact"/>
                    <w:jc w:val="center"/>
                    <w:rPr>
                      <w:rFonts w:eastAsiaTheme="minorEastAsia"/>
                      <w:bCs/>
                      <w:szCs w:val="21"/>
                    </w:rPr>
                  </w:pPr>
                  <w:r>
                    <w:rPr>
                      <w:rFonts w:hint="eastAsia" w:eastAsiaTheme="minorEastAsia"/>
                      <w:bCs/>
                      <w:szCs w:val="21"/>
                    </w:rPr>
                    <w:t>颗粒物</w:t>
                  </w:r>
                </w:p>
              </w:tc>
              <w:tc>
                <w:tcPr>
                  <w:tcW w:w="1011" w:type="dxa"/>
                  <w:vMerge w:val="continue"/>
                  <w:tcMar>
                    <w:top w:w="57" w:type="dxa"/>
                    <w:left w:w="28" w:type="dxa"/>
                    <w:bottom w:w="57" w:type="dxa"/>
                    <w:right w:w="28" w:type="dxa"/>
                  </w:tcMar>
                  <w:vAlign w:val="center"/>
                </w:tcPr>
                <w:p>
                  <w:pPr>
                    <w:spacing w:line="280" w:lineRule="exact"/>
                    <w:jc w:val="center"/>
                    <w:rPr>
                      <w:rFonts w:eastAsiaTheme="minorEastAsia"/>
                      <w:kern w:val="0"/>
                      <w:szCs w:val="21"/>
                    </w:rPr>
                  </w:pPr>
                </w:p>
              </w:tc>
              <w:tc>
                <w:tcPr>
                  <w:tcW w:w="2693" w:type="dxa"/>
                  <w:gridSpan w:val="2"/>
                  <w:tcMar>
                    <w:left w:w="28" w:type="dxa"/>
                    <w:right w:w="28" w:type="dxa"/>
                  </w:tcMar>
                  <w:vAlign w:val="center"/>
                </w:tcPr>
                <w:p>
                  <w:pPr>
                    <w:spacing w:line="280" w:lineRule="exact"/>
                    <w:contextualSpacing/>
                    <w:jc w:val="center"/>
                    <w:rPr>
                      <w:rFonts w:eastAsiaTheme="minorEastAsia"/>
                      <w:szCs w:val="21"/>
                    </w:rPr>
                  </w:pPr>
                  <w:r>
                    <w:rPr>
                      <w:spacing w:val="-6"/>
                      <w:kern w:val="0"/>
                      <w:szCs w:val="21"/>
                    </w:rPr>
                    <w:t>周界外最高允许浓度</w:t>
                  </w:r>
                  <w:r>
                    <w:rPr>
                      <w:kern w:val="0"/>
                      <w:szCs w:val="21"/>
                    </w:rPr>
                    <w:t>1.0mg/m</w:t>
                  </w:r>
                  <w:r>
                    <w:rPr>
                      <w:kern w:val="0"/>
                      <w:szCs w:val="21"/>
                      <w:vertAlign w:val="superscript"/>
                    </w:rPr>
                    <w:t>3</w:t>
                  </w:r>
                </w:p>
              </w:tc>
              <w:tc>
                <w:tcPr>
                  <w:tcW w:w="1134" w:type="dxa"/>
                  <w:vMerge w:val="continue"/>
                  <w:vAlign w:val="center"/>
                </w:tcPr>
                <w:p>
                  <w:pPr>
                    <w:spacing w:line="280" w:lineRule="exact"/>
                    <w:contextualSpacing/>
                    <w:jc w:val="center"/>
                    <w:rPr>
                      <w:rFonts w:eastAsiaTheme="minorEastAsia"/>
                      <w:szCs w:val="21"/>
                    </w:rPr>
                  </w:pPr>
                </w:p>
              </w:tc>
            </w:tr>
          </w:tbl>
          <w:p>
            <w:pPr>
              <w:spacing w:before="120" w:beforeLines="50" w:line="440" w:lineRule="exact"/>
              <w:ind w:firstLine="482" w:firstLineChars="200"/>
              <w:rPr>
                <w:b/>
                <w:bCs/>
                <w:snapToGrid w:val="0"/>
                <w:kern w:val="0"/>
                <w:sz w:val="24"/>
              </w:rPr>
            </w:pPr>
            <w:r>
              <w:rPr>
                <w:rFonts w:hint="eastAsia"/>
                <w:b/>
                <w:bCs/>
                <w:snapToGrid w:val="0"/>
                <w:kern w:val="0"/>
                <w:sz w:val="24"/>
              </w:rPr>
              <w:t>1.4废气自行监测计划</w:t>
            </w:r>
          </w:p>
          <w:p>
            <w:pPr>
              <w:pStyle w:val="4"/>
              <w:spacing w:before="0" w:after="0" w:line="520" w:lineRule="exact"/>
              <w:ind w:firstLine="482"/>
              <w:rPr>
                <w:rFonts w:ascii="Times New Roman" w:hAnsi="Times New Roman"/>
                <w:b w:val="0"/>
                <w:bCs w:val="0"/>
                <w:sz w:val="24"/>
                <w:szCs w:val="24"/>
              </w:rPr>
            </w:pPr>
            <w:r>
              <w:rPr>
                <w:rFonts w:hint="eastAsia" w:ascii="Times New Roman" w:hAnsi="Times New Roman"/>
                <w:b w:val="0"/>
                <w:bCs w:val="0"/>
                <w:sz w:val="24"/>
                <w:szCs w:val="24"/>
              </w:rPr>
              <w:t>本项目</w:t>
            </w:r>
            <w:r>
              <w:rPr>
                <w:rFonts w:ascii="Times New Roman" w:hAnsi="Times New Roman"/>
                <w:b w:val="0"/>
                <w:bCs w:val="0"/>
                <w:sz w:val="24"/>
                <w:szCs w:val="24"/>
              </w:rPr>
              <w:t>属于</w:t>
            </w:r>
            <w:r>
              <w:rPr>
                <w:rFonts w:hint="eastAsia" w:ascii="Times New Roman" w:hAnsi="Times New Roman"/>
                <w:b w:val="0"/>
                <w:bCs w:val="0"/>
                <w:sz w:val="24"/>
                <w:szCs w:val="24"/>
              </w:rPr>
              <w:t>废弃</w:t>
            </w:r>
            <w:r>
              <w:rPr>
                <w:rFonts w:ascii="Times New Roman" w:hAnsi="Times New Roman"/>
                <w:b w:val="0"/>
                <w:bCs w:val="0"/>
                <w:sz w:val="24"/>
                <w:szCs w:val="24"/>
              </w:rPr>
              <w:t>资源加工制造建筑</w:t>
            </w:r>
            <w:r>
              <w:rPr>
                <w:rFonts w:hint="eastAsia" w:ascii="Times New Roman" w:hAnsi="Times New Roman"/>
                <w:b w:val="0"/>
                <w:bCs w:val="0"/>
                <w:sz w:val="24"/>
                <w:szCs w:val="24"/>
              </w:rPr>
              <w:t>排污</w:t>
            </w:r>
            <w:r>
              <w:rPr>
                <w:rFonts w:ascii="Times New Roman" w:hAnsi="Times New Roman"/>
                <w:b w:val="0"/>
                <w:bCs w:val="0"/>
                <w:sz w:val="24"/>
                <w:szCs w:val="24"/>
              </w:rPr>
              <w:t>单位，根据</w:t>
            </w:r>
            <w:r>
              <w:rPr>
                <w:rFonts w:hint="eastAsia" w:ascii="Times New Roman" w:hAnsi="Times New Roman"/>
                <w:b w:val="0"/>
                <w:bCs w:val="0"/>
                <w:sz w:val="24"/>
                <w:szCs w:val="24"/>
              </w:rPr>
              <w:t>相关要求</w:t>
            </w:r>
            <w:r>
              <w:rPr>
                <w:rFonts w:ascii="Times New Roman" w:hAnsi="Times New Roman"/>
                <w:b w:val="0"/>
                <w:bCs w:val="0"/>
                <w:sz w:val="24"/>
                <w:szCs w:val="24"/>
              </w:rPr>
              <w:t>，项目适用于《</w:t>
            </w:r>
            <w:r>
              <w:rPr>
                <w:rFonts w:hint="eastAsia" w:ascii="Times New Roman" w:hAnsi="Times New Roman"/>
                <w:b w:val="0"/>
                <w:bCs w:val="0"/>
                <w:sz w:val="24"/>
                <w:szCs w:val="24"/>
              </w:rPr>
              <w:t>排污许可证</w:t>
            </w:r>
            <w:r>
              <w:rPr>
                <w:rFonts w:ascii="Times New Roman" w:hAnsi="Times New Roman"/>
                <w:b w:val="0"/>
                <w:bCs w:val="0"/>
                <w:sz w:val="24"/>
                <w:szCs w:val="24"/>
              </w:rPr>
              <w:t>申请与核发技术规范</w:t>
            </w:r>
            <w:r>
              <w:rPr>
                <w:rFonts w:hint="eastAsia" w:ascii="Times New Roman" w:hAnsi="Times New Roman"/>
                <w:b w:val="0"/>
                <w:bCs w:val="0"/>
                <w:sz w:val="24"/>
                <w:szCs w:val="24"/>
              </w:rPr>
              <w:t xml:space="preserve"> 水泥</w:t>
            </w:r>
            <w:r>
              <w:rPr>
                <w:rFonts w:ascii="Times New Roman" w:hAnsi="Times New Roman"/>
                <w:b w:val="0"/>
                <w:bCs w:val="0"/>
                <w:sz w:val="24"/>
                <w:szCs w:val="24"/>
              </w:rPr>
              <w:t>工业》（HJ847-2017），</w:t>
            </w:r>
            <w:r>
              <w:rPr>
                <w:rFonts w:hint="eastAsia" w:ascii="Times New Roman" w:hAnsi="Times New Roman"/>
                <w:b w:val="0"/>
                <w:bCs w:val="0"/>
                <w:sz w:val="24"/>
                <w:szCs w:val="24"/>
              </w:rPr>
              <w:t>同时</w:t>
            </w:r>
            <w:r>
              <w:rPr>
                <w:rFonts w:ascii="Times New Roman" w:hAnsi="Times New Roman"/>
                <w:b w:val="0"/>
                <w:bCs w:val="0"/>
                <w:sz w:val="24"/>
                <w:szCs w:val="24"/>
              </w:rPr>
              <w:t>结合工程周围环境实际情况，</w:t>
            </w:r>
            <w:r>
              <w:rPr>
                <w:rFonts w:hint="eastAsia" w:ascii="Times New Roman" w:hAnsi="Times New Roman"/>
                <w:b w:val="0"/>
                <w:bCs w:val="0"/>
                <w:sz w:val="24"/>
                <w:szCs w:val="24"/>
              </w:rPr>
              <w:t>本</w:t>
            </w:r>
            <w:r>
              <w:rPr>
                <w:rFonts w:ascii="Times New Roman" w:hAnsi="Times New Roman"/>
                <w:b w:val="0"/>
                <w:bCs w:val="0"/>
                <w:sz w:val="24"/>
                <w:szCs w:val="24"/>
              </w:rPr>
              <w:t>项目废气自行监测计划见表23。</w:t>
            </w:r>
          </w:p>
          <w:p>
            <w:pPr>
              <w:autoSpaceDE w:val="0"/>
              <w:autoSpaceDN w:val="0"/>
              <w:adjustRightInd w:val="0"/>
              <w:snapToGrid w:val="0"/>
              <w:spacing w:line="480" w:lineRule="exact"/>
              <w:ind w:firstLine="720" w:firstLineChars="300"/>
              <w:rPr>
                <w:rFonts w:eastAsia="黑体"/>
                <w:bCs/>
              </w:rPr>
            </w:pPr>
            <w:r>
              <w:rPr>
                <w:rFonts w:eastAsia="黑体"/>
                <w:sz w:val="24"/>
                <w:szCs w:val="22"/>
              </w:rPr>
              <w:t>表23              废气污染源监测计划</w:t>
            </w:r>
          </w:p>
          <w:tbl>
            <w:tblPr>
              <w:tblStyle w:val="22"/>
              <w:tblW w:w="7877" w:type="dxa"/>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28" w:type="dxa"/>
                <w:left w:w="28" w:type="dxa"/>
                <w:bottom w:w="28" w:type="dxa"/>
                <w:right w:w="28" w:type="dxa"/>
              </w:tblCellMar>
            </w:tblPr>
            <w:tblGrid>
              <w:gridCol w:w="519"/>
              <w:gridCol w:w="1211"/>
              <w:gridCol w:w="992"/>
              <w:gridCol w:w="3260"/>
              <w:gridCol w:w="694"/>
              <w:gridCol w:w="1201"/>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28" w:type="dxa"/>
                  <w:bottom w:w="28" w:type="dxa"/>
                  <w:right w:w="28" w:type="dxa"/>
                </w:tblCellMar>
              </w:tblPrEx>
              <w:trPr>
                <w:trHeight w:val="193" w:hRule="atLeast"/>
              </w:trPr>
              <w:tc>
                <w:tcPr>
                  <w:tcW w:w="519" w:type="dxa"/>
                  <w:vAlign w:val="center"/>
                </w:tcPr>
                <w:p>
                  <w:pPr>
                    <w:spacing w:line="240" w:lineRule="exact"/>
                    <w:jc w:val="center"/>
                    <w:rPr>
                      <w:szCs w:val="21"/>
                    </w:rPr>
                  </w:pPr>
                  <w:r>
                    <w:rPr>
                      <w:szCs w:val="21"/>
                    </w:rPr>
                    <w:t>类别</w:t>
                  </w:r>
                </w:p>
              </w:tc>
              <w:tc>
                <w:tcPr>
                  <w:tcW w:w="1211" w:type="dxa"/>
                  <w:vAlign w:val="center"/>
                </w:tcPr>
                <w:p>
                  <w:pPr>
                    <w:spacing w:line="240" w:lineRule="exact"/>
                    <w:jc w:val="center"/>
                    <w:rPr>
                      <w:szCs w:val="21"/>
                    </w:rPr>
                  </w:pPr>
                  <w:r>
                    <w:rPr>
                      <w:szCs w:val="21"/>
                    </w:rPr>
                    <w:t>项目</w:t>
                  </w:r>
                </w:p>
              </w:tc>
              <w:tc>
                <w:tcPr>
                  <w:tcW w:w="992" w:type="dxa"/>
                  <w:vAlign w:val="center"/>
                </w:tcPr>
                <w:p>
                  <w:pPr>
                    <w:spacing w:line="240" w:lineRule="exact"/>
                    <w:jc w:val="center"/>
                    <w:rPr>
                      <w:szCs w:val="21"/>
                    </w:rPr>
                  </w:pPr>
                  <w:r>
                    <w:rPr>
                      <w:szCs w:val="21"/>
                    </w:rPr>
                    <w:t>监测因子</w:t>
                  </w:r>
                </w:p>
              </w:tc>
              <w:tc>
                <w:tcPr>
                  <w:tcW w:w="3260" w:type="dxa"/>
                  <w:vAlign w:val="center"/>
                </w:tcPr>
                <w:p>
                  <w:pPr>
                    <w:spacing w:line="240" w:lineRule="exact"/>
                    <w:jc w:val="center"/>
                    <w:rPr>
                      <w:szCs w:val="21"/>
                    </w:rPr>
                  </w:pPr>
                  <w:r>
                    <w:rPr>
                      <w:szCs w:val="21"/>
                    </w:rPr>
                    <w:t>监测点位</w:t>
                  </w:r>
                </w:p>
              </w:tc>
              <w:tc>
                <w:tcPr>
                  <w:tcW w:w="694" w:type="dxa"/>
                </w:tcPr>
                <w:p>
                  <w:pPr>
                    <w:spacing w:line="240" w:lineRule="exact"/>
                    <w:jc w:val="center"/>
                    <w:rPr>
                      <w:szCs w:val="21"/>
                    </w:rPr>
                  </w:pPr>
                  <w:r>
                    <w:rPr>
                      <w:szCs w:val="21"/>
                    </w:rPr>
                    <w:t>监测设施</w:t>
                  </w:r>
                </w:p>
              </w:tc>
              <w:tc>
                <w:tcPr>
                  <w:tcW w:w="1201" w:type="dxa"/>
                  <w:vAlign w:val="center"/>
                </w:tcPr>
                <w:p>
                  <w:pPr>
                    <w:spacing w:line="240" w:lineRule="exact"/>
                    <w:jc w:val="center"/>
                    <w:rPr>
                      <w:szCs w:val="21"/>
                    </w:rPr>
                  </w:pPr>
                  <w:r>
                    <w:rPr>
                      <w:szCs w:val="21"/>
                    </w:rPr>
                    <w:t>监测频率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28" w:type="dxa"/>
                  <w:bottom w:w="28" w:type="dxa"/>
                  <w:right w:w="28" w:type="dxa"/>
                </w:tblCellMar>
              </w:tblPrEx>
              <w:trPr>
                <w:trHeight w:val="193" w:hRule="atLeast"/>
              </w:trPr>
              <w:tc>
                <w:tcPr>
                  <w:tcW w:w="519" w:type="dxa"/>
                  <w:vMerge w:val="restart"/>
                  <w:vAlign w:val="center"/>
                </w:tcPr>
                <w:p>
                  <w:pPr>
                    <w:pStyle w:val="10"/>
                    <w:spacing w:line="240" w:lineRule="exact"/>
                    <w:jc w:val="center"/>
                    <w:rPr>
                      <w:szCs w:val="21"/>
                    </w:rPr>
                  </w:pPr>
                  <w:r>
                    <w:rPr>
                      <w:rFonts w:hint="eastAsia"/>
                      <w:sz w:val="21"/>
                      <w:szCs w:val="21"/>
                    </w:rPr>
                    <w:t>废气</w:t>
                  </w:r>
                </w:p>
              </w:tc>
              <w:tc>
                <w:tcPr>
                  <w:tcW w:w="1211" w:type="dxa"/>
                  <w:vMerge w:val="restart"/>
                  <w:vAlign w:val="center"/>
                </w:tcPr>
                <w:p>
                  <w:pPr>
                    <w:spacing w:line="260" w:lineRule="exact"/>
                    <w:jc w:val="center"/>
                    <w:rPr>
                      <w:szCs w:val="21"/>
                    </w:rPr>
                  </w:pPr>
                  <w:r>
                    <w:rPr>
                      <w:rFonts w:hint="eastAsia" w:eastAsiaTheme="minorEastAsia"/>
                      <w:snapToGrid w:val="0"/>
                      <w:kern w:val="0"/>
                      <w:szCs w:val="21"/>
                    </w:rPr>
                    <w:t>生产废气</w:t>
                  </w:r>
                </w:p>
              </w:tc>
              <w:tc>
                <w:tcPr>
                  <w:tcW w:w="992" w:type="dxa"/>
                  <w:vMerge w:val="restart"/>
                  <w:vAlign w:val="center"/>
                </w:tcPr>
                <w:p>
                  <w:pPr>
                    <w:adjustRightInd w:val="0"/>
                    <w:snapToGrid w:val="0"/>
                    <w:spacing w:before="60" w:beforeLines="25" w:after="36" w:afterLines="15" w:line="300" w:lineRule="exact"/>
                    <w:jc w:val="center"/>
                    <w:rPr>
                      <w:szCs w:val="21"/>
                    </w:rPr>
                  </w:pPr>
                  <w:r>
                    <w:rPr>
                      <w:rFonts w:hint="eastAsia"/>
                      <w:kern w:val="0"/>
                      <w:szCs w:val="21"/>
                    </w:rPr>
                    <w:t>颗粒物</w:t>
                  </w:r>
                </w:p>
              </w:tc>
              <w:tc>
                <w:tcPr>
                  <w:tcW w:w="3260" w:type="dxa"/>
                  <w:vAlign w:val="center"/>
                </w:tcPr>
                <w:p>
                  <w:pPr>
                    <w:spacing w:line="240" w:lineRule="exact"/>
                    <w:jc w:val="center"/>
                    <w:rPr>
                      <w:szCs w:val="21"/>
                    </w:rPr>
                  </w:pPr>
                  <w:r>
                    <w:rPr>
                      <w:rFonts w:eastAsiaTheme="minorEastAsia"/>
                      <w:szCs w:val="21"/>
                    </w:rPr>
                    <w:t>粉磨废气</w:t>
                  </w:r>
                  <w:r>
                    <w:rPr>
                      <w:rFonts w:hint="eastAsia"/>
                      <w:szCs w:val="21"/>
                    </w:rPr>
                    <w:t>排放</w:t>
                  </w:r>
                  <w:r>
                    <w:rPr>
                      <w:szCs w:val="21"/>
                    </w:rPr>
                    <w:t>口</w:t>
                  </w:r>
                  <w:r>
                    <w:rPr>
                      <w:rFonts w:hint="eastAsia"/>
                      <w:szCs w:val="21"/>
                    </w:rPr>
                    <w:t>（</w:t>
                  </w:r>
                  <w:r>
                    <w:rPr>
                      <w:szCs w:val="21"/>
                    </w:rPr>
                    <w:t>D</w:t>
                  </w:r>
                  <w:r>
                    <w:rPr>
                      <w:rFonts w:hint="eastAsia"/>
                      <w:szCs w:val="21"/>
                    </w:rPr>
                    <w:t>A</w:t>
                  </w:r>
                  <w:r>
                    <w:rPr>
                      <w:szCs w:val="21"/>
                    </w:rPr>
                    <w:t>002</w:t>
                  </w:r>
                  <w:r>
                    <w:rPr>
                      <w:rFonts w:hint="eastAsia"/>
                      <w:szCs w:val="21"/>
                    </w:rPr>
                    <w:t>）</w:t>
                  </w:r>
                  <w:r>
                    <w:rPr>
                      <w:rFonts w:hint="eastAsia" w:eastAsiaTheme="minorEastAsia"/>
                      <w:szCs w:val="21"/>
                    </w:rPr>
                    <w:t>、</w:t>
                  </w:r>
                  <w:r>
                    <w:rPr>
                      <w:rFonts w:eastAsiaTheme="minorEastAsia"/>
                      <w:szCs w:val="21"/>
                    </w:rPr>
                    <w:t>散装机废气</w:t>
                  </w:r>
                  <w:r>
                    <w:rPr>
                      <w:rFonts w:hint="eastAsia"/>
                      <w:szCs w:val="21"/>
                    </w:rPr>
                    <w:t>排放</w:t>
                  </w:r>
                  <w:r>
                    <w:rPr>
                      <w:szCs w:val="21"/>
                    </w:rPr>
                    <w:t>口</w:t>
                  </w:r>
                  <w:r>
                    <w:rPr>
                      <w:rFonts w:hint="eastAsia" w:eastAsiaTheme="minorEastAsia"/>
                      <w:szCs w:val="21"/>
                    </w:rPr>
                    <w:t>（</w:t>
                  </w:r>
                  <w:r>
                    <w:rPr>
                      <w:szCs w:val="21"/>
                    </w:rPr>
                    <w:t>D</w:t>
                  </w:r>
                  <w:r>
                    <w:rPr>
                      <w:rFonts w:hint="eastAsia"/>
                      <w:szCs w:val="21"/>
                    </w:rPr>
                    <w:t>A</w:t>
                  </w:r>
                  <w:r>
                    <w:rPr>
                      <w:szCs w:val="21"/>
                    </w:rPr>
                    <w:t>005</w:t>
                  </w:r>
                  <w:r>
                    <w:rPr>
                      <w:rFonts w:hint="eastAsia" w:eastAsiaTheme="minorEastAsia"/>
                      <w:szCs w:val="21"/>
                    </w:rPr>
                    <w:t>）</w:t>
                  </w:r>
                </w:p>
              </w:tc>
              <w:tc>
                <w:tcPr>
                  <w:tcW w:w="694" w:type="dxa"/>
                  <w:vAlign w:val="center"/>
                </w:tcPr>
                <w:p>
                  <w:pPr>
                    <w:spacing w:line="240" w:lineRule="exact"/>
                    <w:jc w:val="center"/>
                    <w:rPr>
                      <w:szCs w:val="21"/>
                    </w:rPr>
                  </w:pPr>
                  <w:r>
                    <w:rPr>
                      <w:szCs w:val="21"/>
                    </w:rPr>
                    <w:t>手工</w:t>
                  </w:r>
                </w:p>
              </w:tc>
              <w:tc>
                <w:tcPr>
                  <w:tcW w:w="1201" w:type="dxa"/>
                  <w:vAlign w:val="center"/>
                </w:tcPr>
                <w:p>
                  <w:pPr>
                    <w:spacing w:line="240" w:lineRule="exact"/>
                    <w:jc w:val="center"/>
                    <w:rPr>
                      <w:szCs w:val="21"/>
                    </w:rPr>
                  </w:pPr>
                  <w:r>
                    <w:rPr>
                      <w:szCs w:val="21"/>
                    </w:rPr>
                    <w:t>1</w:t>
                  </w:r>
                  <w:r>
                    <w:rPr>
                      <w:rFonts w:hint="eastAsia"/>
                      <w:szCs w:val="21"/>
                    </w:rPr>
                    <w:t>次</w:t>
                  </w:r>
                  <w:r>
                    <w:rPr>
                      <w:szCs w:val="21"/>
                    </w:rPr>
                    <w:t>/</w:t>
                  </w:r>
                  <w:r>
                    <w:rPr>
                      <w:rFonts w:hint="eastAsia"/>
                      <w:szCs w:val="21"/>
                    </w:rPr>
                    <w:t>季度</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28" w:type="dxa"/>
                  <w:bottom w:w="28" w:type="dxa"/>
                  <w:right w:w="28" w:type="dxa"/>
                </w:tblCellMar>
              </w:tblPrEx>
              <w:trPr>
                <w:trHeight w:val="1452" w:hRule="atLeast"/>
              </w:trPr>
              <w:tc>
                <w:tcPr>
                  <w:tcW w:w="519" w:type="dxa"/>
                  <w:vMerge w:val="continue"/>
                  <w:vAlign w:val="center"/>
                </w:tcPr>
                <w:p>
                  <w:pPr>
                    <w:pStyle w:val="10"/>
                    <w:spacing w:line="240" w:lineRule="exact"/>
                    <w:jc w:val="center"/>
                    <w:rPr>
                      <w:sz w:val="21"/>
                      <w:szCs w:val="21"/>
                    </w:rPr>
                  </w:pPr>
                </w:p>
              </w:tc>
              <w:tc>
                <w:tcPr>
                  <w:tcW w:w="1211" w:type="dxa"/>
                  <w:vMerge w:val="continue"/>
                  <w:vAlign w:val="center"/>
                </w:tcPr>
                <w:p>
                  <w:pPr>
                    <w:widowControl/>
                    <w:spacing w:line="260" w:lineRule="exact"/>
                    <w:jc w:val="center"/>
                    <w:rPr>
                      <w:szCs w:val="21"/>
                    </w:rPr>
                  </w:pPr>
                </w:p>
              </w:tc>
              <w:tc>
                <w:tcPr>
                  <w:tcW w:w="992" w:type="dxa"/>
                  <w:vMerge w:val="continue"/>
                  <w:vAlign w:val="center"/>
                </w:tcPr>
                <w:p>
                  <w:pPr>
                    <w:adjustRightInd w:val="0"/>
                    <w:snapToGrid w:val="0"/>
                    <w:spacing w:before="60" w:beforeLines="25" w:after="36" w:afterLines="15" w:line="300" w:lineRule="exact"/>
                    <w:jc w:val="center"/>
                    <w:rPr>
                      <w:kern w:val="0"/>
                      <w:szCs w:val="21"/>
                    </w:rPr>
                  </w:pPr>
                </w:p>
              </w:tc>
              <w:tc>
                <w:tcPr>
                  <w:tcW w:w="3260" w:type="dxa"/>
                  <w:vAlign w:val="center"/>
                </w:tcPr>
                <w:p>
                  <w:pPr>
                    <w:spacing w:line="240" w:lineRule="exact"/>
                    <w:jc w:val="left"/>
                    <w:rPr>
                      <w:szCs w:val="21"/>
                    </w:rPr>
                  </w:pPr>
                  <w:r>
                    <w:rPr>
                      <w:rFonts w:eastAsiaTheme="minorEastAsia"/>
                      <w:snapToGrid w:val="0"/>
                      <w:kern w:val="0"/>
                      <w:szCs w:val="21"/>
                    </w:rPr>
                    <w:t>原料料仓</w:t>
                  </w:r>
                  <w:r>
                    <w:rPr>
                      <w:rFonts w:hint="eastAsia"/>
                      <w:szCs w:val="21"/>
                    </w:rPr>
                    <w:t>废气排放</w:t>
                  </w:r>
                  <w:r>
                    <w:rPr>
                      <w:szCs w:val="21"/>
                    </w:rPr>
                    <w:t>口</w:t>
                  </w:r>
                  <w:r>
                    <w:rPr>
                      <w:rFonts w:hint="eastAsia"/>
                      <w:szCs w:val="21"/>
                    </w:rPr>
                    <w:t>（</w:t>
                  </w:r>
                  <w:r>
                    <w:rPr>
                      <w:szCs w:val="21"/>
                    </w:rPr>
                    <w:t>D</w:t>
                  </w:r>
                  <w:r>
                    <w:rPr>
                      <w:rFonts w:hint="eastAsia"/>
                      <w:szCs w:val="21"/>
                    </w:rPr>
                    <w:t>A</w:t>
                  </w:r>
                  <w:r>
                    <w:rPr>
                      <w:szCs w:val="21"/>
                    </w:rPr>
                    <w:t>001</w:t>
                  </w:r>
                  <w:r>
                    <w:rPr>
                      <w:rFonts w:hint="eastAsia"/>
                      <w:szCs w:val="21"/>
                    </w:rPr>
                    <w:t>）、</w:t>
                  </w:r>
                  <w:r>
                    <w:rPr>
                      <w:rFonts w:eastAsiaTheme="minorEastAsia"/>
                      <w:szCs w:val="21"/>
                    </w:rPr>
                    <w:t>提升机废气</w:t>
                  </w:r>
                  <w:r>
                    <w:rPr>
                      <w:rFonts w:hint="eastAsia"/>
                      <w:szCs w:val="21"/>
                    </w:rPr>
                    <w:t>排放</w:t>
                  </w:r>
                  <w:r>
                    <w:rPr>
                      <w:szCs w:val="21"/>
                    </w:rPr>
                    <w:t>口</w:t>
                  </w:r>
                  <w:r>
                    <w:rPr>
                      <w:rFonts w:hint="eastAsia" w:eastAsiaTheme="minorEastAsia"/>
                      <w:szCs w:val="21"/>
                    </w:rPr>
                    <w:t>（</w:t>
                  </w:r>
                  <w:r>
                    <w:rPr>
                      <w:szCs w:val="21"/>
                    </w:rPr>
                    <w:t>D</w:t>
                  </w:r>
                  <w:r>
                    <w:rPr>
                      <w:rFonts w:hint="eastAsia"/>
                      <w:szCs w:val="21"/>
                    </w:rPr>
                    <w:t>A</w:t>
                  </w:r>
                  <w:r>
                    <w:rPr>
                      <w:szCs w:val="21"/>
                    </w:rPr>
                    <w:t>003</w:t>
                  </w:r>
                  <w:r>
                    <w:rPr>
                      <w:rFonts w:hint="eastAsia" w:eastAsiaTheme="minorEastAsia"/>
                      <w:szCs w:val="21"/>
                    </w:rPr>
                    <w:t>）、</w:t>
                  </w:r>
                  <w:r>
                    <w:rPr>
                      <w:rFonts w:eastAsiaTheme="minorEastAsia"/>
                      <w:szCs w:val="21"/>
                    </w:rPr>
                    <w:t>成品料仓废气</w:t>
                  </w:r>
                  <w:r>
                    <w:rPr>
                      <w:rFonts w:hint="eastAsia"/>
                      <w:szCs w:val="21"/>
                    </w:rPr>
                    <w:t>排放</w:t>
                  </w:r>
                  <w:r>
                    <w:rPr>
                      <w:szCs w:val="21"/>
                    </w:rPr>
                    <w:t>口</w:t>
                  </w:r>
                  <w:r>
                    <w:rPr>
                      <w:rFonts w:hint="eastAsia" w:eastAsiaTheme="minorEastAsia"/>
                      <w:szCs w:val="21"/>
                    </w:rPr>
                    <w:t>（</w:t>
                  </w:r>
                  <w:r>
                    <w:rPr>
                      <w:szCs w:val="21"/>
                    </w:rPr>
                    <w:t>D</w:t>
                  </w:r>
                  <w:r>
                    <w:rPr>
                      <w:rFonts w:hint="eastAsia"/>
                      <w:szCs w:val="21"/>
                    </w:rPr>
                    <w:t>A</w:t>
                  </w:r>
                  <w:r>
                    <w:rPr>
                      <w:szCs w:val="21"/>
                    </w:rPr>
                    <w:t>004</w:t>
                  </w:r>
                  <w:r>
                    <w:rPr>
                      <w:rFonts w:hint="eastAsia" w:eastAsiaTheme="minorEastAsia"/>
                      <w:szCs w:val="21"/>
                    </w:rPr>
                    <w:t>）</w:t>
                  </w:r>
                </w:p>
              </w:tc>
              <w:tc>
                <w:tcPr>
                  <w:tcW w:w="694" w:type="dxa"/>
                  <w:vAlign w:val="center"/>
                </w:tcPr>
                <w:p>
                  <w:pPr>
                    <w:spacing w:line="240" w:lineRule="exact"/>
                    <w:jc w:val="center"/>
                    <w:rPr>
                      <w:szCs w:val="21"/>
                    </w:rPr>
                  </w:pPr>
                  <w:r>
                    <w:rPr>
                      <w:szCs w:val="21"/>
                    </w:rPr>
                    <w:t>手工</w:t>
                  </w:r>
                </w:p>
              </w:tc>
              <w:tc>
                <w:tcPr>
                  <w:tcW w:w="1201" w:type="dxa"/>
                  <w:vAlign w:val="center"/>
                </w:tcPr>
                <w:p>
                  <w:pPr>
                    <w:spacing w:line="240" w:lineRule="exact"/>
                    <w:jc w:val="center"/>
                    <w:rPr>
                      <w:szCs w:val="21"/>
                    </w:rPr>
                  </w:pPr>
                  <w:r>
                    <w:rPr>
                      <w:szCs w:val="21"/>
                    </w:rPr>
                    <w:t>1</w:t>
                  </w:r>
                  <w:r>
                    <w:rPr>
                      <w:rFonts w:hint="eastAsia"/>
                      <w:szCs w:val="21"/>
                    </w:rPr>
                    <w:t>次</w:t>
                  </w:r>
                  <w:r>
                    <w:rPr>
                      <w:szCs w:val="21"/>
                    </w:rPr>
                    <w:t>/</w:t>
                  </w:r>
                  <w:r>
                    <w:rPr>
                      <w:rFonts w:hint="eastAsia"/>
                      <w:szCs w:val="21"/>
                    </w:rPr>
                    <w:t>两年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28" w:type="dxa"/>
                  <w:bottom w:w="28" w:type="dxa"/>
                  <w:right w:w="28" w:type="dxa"/>
                </w:tblCellMar>
              </w:tblPrEx>
              <w:trPr>
                <w:trHeight w:val="193" w:hRule="atLeast"/>
              </w:trPr>
              <w:tc>
                <w:tcPr>
                  <w:tcW w:w="519" w:type="dxa"/>
                  <w:vMerge w:val="continue"/>
                  <w:vAlign w:val="center"/>
                </w:tcPr>
                <w:p>
                  <w:pPr>
                    <w:pStyle w:val="10"/>
                    <w:spacing w:line="240" w:lineRule="exact"/>
                    <w:jc w:val="center"/>
                    <w:rPr>
                      <w:sz w:val="21"/>
                      <w:szCs w:val="21"/>
                    </w:rPr>
                  </w:pPr>
                </w:p>
              </w:tc>
              <w:tc>
                <w:tcPr>
                  <w:tcW w:w="1211" w:type="dxa"/>
                  <w:vAlign w:val="center"/>
                </w:tcPr>
                <w:p>
                  <w:pPr>
                    <w:pStyle w:val="77"/>
                    <w:spacing w:line="280" w:lineRule="exact"/>
                    <w:rPr>
                      <w:rFonts w:ascii="Times New Roman" w:hAnsi="Times New Roman"/>
                    </w:rPr>
                  </w:pPr>
                  <w:r>
                    <w:rPr>
                      <w:rFonts w:ascii="Times New Roman" w:hAnsi="Times New Roman"/>
                      <w:szCs w:val="21"/>
                      <w:lang w:val="zh-CN"/>
                    </w:rPr>
                    <w:t>无组织</w:t>
                  </w:r>
                  <w:r>
                    <w:rPr>
                      <w:rFonts w:hint="eastAsia" w:ascii="Times New Roman" w:hAnsi="Times New Roman"/>
                      <w:szCs w:val="21"/>
                      <w:lang w:val="zh-CN"/>
                    </w:rPr>
                    <w:t>废气</w:t>
                  </w:r>
                </w:p>
              </w:tc>
              <w:tc>
                <w:tcPr>
                  <w:tcW w:w="992" w:type="dxa"/>
                  <w:vAlign w:val="center"/>
                </w:tcPr>
                <w:p>
                  <w:pPr>
                    <w:adjustRightInd w:val="0"/>
                    <w:snapToGrid w:val="0"/>
                    <w:spacing w:before="60" w:beforeLines="25" w:after="36" w:afterLines="15" w:line="300" w:lineRule="exact"/>
                    <w:jc w:val="center"/>
                    <w:rPr>
                      <w:szCs w:val="21"/>
                    </w:rPr>
                  </w:pPr>
                  <w:r>
                    <w:rPr>
                      <w:rFonts w:hint="eastAsia"/>
                      <w:szCs w:val="21"/>
                    </w:rPr>
                    <w:t>颗粒物</w:t>
                  </w:r>
                </w:p>
              </w:tc>
              <w:tc>
                <w:tcPr>
                  <w:tcW w:w="3260" w:type="dxa"/>
                  <w:vAlign w:val="center"/>
                </w:tcPr>
                <w:p>
                  <w:pPr>
                    <w:spacing w:line="240" w:lineRule="exact"/>
                    <w:jc w:val="center"/>
                    <w:rPr>
                      <w:szCs w:val="21"/>
                    </w:rPr>
                  </w:pPr>
                  <w:r>
                    <w:rPr>
                      <w:rFonts w:hint="eastAsia"/>
                      <w:szCs w:val="21"/>
                    </w:rPr>
                    <w:t>四周</w:t>
                  </w:r>
                  <w:r>
                    <w:rPr>
                      <w:szCs w:val="21"/>
                    </w:rPr>
                    <w:t>厂界</w:t>
                  </w:r>
                </w:p>
              </w:tc>
              <w:tc>
                <w:tcPr>
                  <w:tcW w:w="694" w:type="dxa"/>
                  <w:vAlign w:val="center"/>
                </w:tcPr>
                <w:p>
                  <w:pPr>
                    <w:spacing w:line="240" w:lineRule="exact"/>
                    <w:jc w:val="center"/>
                    <w:rPr>
                      <w:szCs w:val="21"/>
                    </w:rPr>
                  </w:pPr>
                  <w:r>
                    <w:rPr>
                      <w:rFonts w:hint="eastAsia"/>
                      <w:szCs w:val="21"/>
                    </w:rPr>
                    <w:t>手工</w:t>
                  </w:r>
                </w:p>
              </w:tc>
              <w:tc>
                <w:tcPr>
                  <w:tcW w:w="1201" w:type="dxa"/>
                  <w:vAlign w:val="center"/>
                </w:tcPr>
                <w:p>
                  <w:pPr>
                    <w:spacing w:line="240" w:lineRule="exact"/>
                    <w:jc w:val="center"/>
                    <w:rPr>
                      <w:szCs w:val="21"/>
                    </w:rPr>
                  </w:pPr>
                  <w:r>
                    <w:rPr>
                      <w:szCs w:val="21"/>
                    </w:rPr>
                    <w:t>1次/</w:t>
                  </w:r>
                  <w:r>
                    <w:rPr>
                      <w:rFonts w:hint="eastAsia"/>
                      <w:szCs w:val="21"/>
                    </w:rPr>
                    <w:t>季度</w:t>
                  </w:r>
                </w:p>
              </w:tc>
            </w:tr>
          </w:tbl>
          <w:p>
            <w:pPr>
              <w:pStyle w:val="44"/>
              <w:spacing w:line="120" w:lineRule="exact"/>
              <w:ind w:firstLine="602" w:firstLineChars="250"/>
              <w:jc w:val="both"/>
              <w:rPr>
                <w:rFonts w:eastAsia="宋体"/>
                <w:bCs/>
                <w:sz w:val="24"/>
                <w:szCs w:val="24"/>
                <w:u w:val="single"/>
              </w:rPr>
            </w:pPr>
          </w:p>
          <w:p>
            <w:pPr>
              <w:spacing w:line="520" w:lineRule="exact"/>
              <w:ind w:firstLine="482" w:firstLineChars="200"/>
              <w:rPr>
                <w:rFonts w:eastAsiaTheme="majorEastAsia"/>
                <w:b/>
                <w:bCs/>
                <w:snapToGrid w:val="0"/>
                <w:kern w:val="0"/>
                <w:sz w:val="24"/>
              </w:rPr>
            </w:pPr>
            <w:r>
              <w:rPr>
                <w:rFonts w:eastAsiaTheme="majorEastAsia"/>
                <w:b/>
                <w:bCs/>
                <w:snapToGrid w:val="0"/>
                <w:kern w:val="0"/>
                <w:sz w:val="24"/>
              </w:rPr>
              <w:t>1.5废气处理措施可行性及大气环境影响分析</w:t>
            </w:r>
          </w:p>
          <w:p>
            <w:pPr>
              <w:spacing w:line="520" w:lineRule="exact"/>
              <w:ind w:firstLine="482" w:firstLineChars="200"/>
              <w:rPr>
                <w:rFonts w:eastAsiaTheme="majorEastAsia"/>
                <w:b/>
                <w:snapToGrid w:val="0"/>
                <w:kern w:val="0"/>
                <w:sz w:val="24"/>
                <w:u w:val="single"/>
              </w:rPr>
            </w:pPr>
            <w:r>
              <w:rPr>
                <w:rFonts w:eastAsiaTheme="majorEastAsia"/>
                <w:b/>
                <w:snapToGrid w:val="0"/>
                <w:kern w:val="0"/>
                <w:sz w:val="24"/>
                <w:u w:val="single"/>
              </w:rPr>
              <w:t>本项目产生的废气主要为原料仓</w:t>
            </w:r>
            <w:r>
              <w:rPr>
                <w:rFonts w:eastAsiaTheme="majorEastAsia"/>
                <w:b/>
                <w:sz w:val="24"/>
                <w:u w:val="single"/>
              </w:rPr>
              <w:t>废气、粉磨废气、提升机废气、成品料仓废气、散装机废气，污染物为颗粒物，按照工艺流程及产排污情况，在采取脉冲袋式除尘器处理后</w:t>
            </w:r>
            <w:r>
              <w:rPr>
                <w:rFonts w:eastAsiaTheme="majorEastAsia"/>
                <w:b/>
                <w:snapToGrid w:val="0"/>
                <w:kern w:val="0"/>
                <w:sz w:val="24"/>
                <w:u w:val="single"/>
              </w:rPr>
              <w:t>，颗粒物排放浓度可满足《大气污染物综合排放标准》（GB16297-1996）表2排放限值要求。</w:t>
            </w:r>
          </w:p>
          <w:p>
            <w:pPr>
              <w:spacing w:line="520" w:lineRule="exact"/>
              <w:ind w:firstLine="482" w:firstLineChars="200"/>
              <w:rPr>
                <w:rFonts w:eastAsiaTheme="majorEastAsia"/>
                <w:b/>
                <w:sz w:val="24"/>
                <w:u w:val="single"/>
              </w:rPr>
            </w:pPr>
            <w:r>
              <w:rPr>
                <w:rFonts w:hint="eastAsia"/>
                <w:b/>
                <w:bCs/>
                <w:sz w:val="24"/>
                <w:u w:val="single"/>
              </w:rPr>
              <w:t>本项目</w:t>
            </w:r>
            <w:r>
              <w:rPr>
                <w:b/>
                <w:bCs/>
                <w:sz w:val="24"/>
                <w:u w:val="single"/>
              </w:rPr>
              <w:t>属于</w:t>
            </w:r>
            <w:r>
              <w:rPr>
                <w:rFonts w:hint="eastAsia"/>
                <w:b/>
                <w:bCs/>
                <w:sz w:val="24"/>
                <w:u w:val="single"/>
              </w:rPr>
              <w:t>废弃</w:t>
            </w:r>
            <w:r>
              <w:rPr>
                <w:b/>
                <w:bCs/>
                <w:sz w:val="24"/>
                <w:u w:val="single"/>
              </w:rPr>
              <w:t>资源加工制造建筑</w:t>
            </w:r>
            <w:r>
              <w:rPr>
                <w:rFonts w:hint="eastAsia"/>
                <w:b/>
                <w:bCs/>
                <w:sz w:val="24"/>
                <w:u w:val="single"/>
              </w:rPr>
              <w:t>排污</w:t>
            </w:r>
            <w:r>
              <w:rPr>
                <w:b/>
                <w:bCs/>
                <w:sz w:val="24"/>
                <w:u w:val="single"/>
              </w:rPr>
              <w:t>单位，项目适用于《</w:t>
            </w:r>
            <w:r>
              <w:rPr>
                <w:rFonts w:hint="eastAsia"/>
                <w:b/>
                <w:bCs/>
                <w:sz w:val="24"/>
                <w:u w:val="single"/>
              </w:rPr>
              <w:t>排污许可证</w:t>
            </w:r>
            <w:r>
              <w:rPr>
                <w:b/>
                <w:bCs/>
                <w:sz w:val="24"/>
                <w:u w:val="single"/>
              </w:rPr>
              <w:t>申请与核发技术规范</w:t>
            </w:r>
            <w:r>
              <w:rPr>
                <w:rFonts w:hint="eastAsia"/>
                <w:b/>
                <w:bCs/>
                <w:sz w:val="24"/>
                <w:u w:val="single"/>
              </w:rPr>
              <w:t xml:space="preserve"> 水泥</w:t>
            </w:r>
            <w:r>
              <w:rPr>
                <w:b/>
                <w:bCs/>
                <w:sz w:val="24"/>
                <w:u w:val="single"/>
              </w:rPr>
              <w:t>工业》（HJ847-2017）</w:t>
            </w:r>
            <w:r>
              <w:rPr>
                <w:rFonts w:hint="eastAsia" w:eastAsiaTheme="majorEastAsia"/>
                <w:b/>
                <w:sz w:val="24"/>
                <w:u w:val="single"/>
              </w:rPr>
              <w:t>。</w:t>
            </w:r>
            <w:r>
              <w:rPr>
                <w:rFonts w:eastAsiaTheme="majorEastAsia"/>
                <w:b/>
                <w:sz w:val="24"/>
                <w:u w:val="single"/>
              </w:rPr>
              <w:t>根据</w:t>
            </w:r>
            <w:r>
              <w:rPr>
                <w:rFonts w:hint="eastAsia" w:eastAsiaTheme="majorEastAsia"/>
                <w:b/>
                <w:sz w:val="24"/>
                <w:u w:val="single"/>
              </w:rPr>
              <w:t>H</w:t>
            </w:r>
            <w:r>
              <w:rPr>
                <w:rFonts w:eastAsiaTheme="majorEastAsia"/>
                <w:b/>
                <w:sz w:val="24"/>
                <w:u w:val="single"/>
              </w:rPr>
              <w:t>J847-2017</w:t>
            </w:r>
            <w:r>
              <w:rPr>
                <w:rFonts w:hint="eastAsia" w:eastAsiaTheme="majorEastAsia"/>
                <w:b/>
                <w:sz w:val="24"/>
                <w:u w:val="single"/>
              </w:rPr>
              <w:t>废气</w:t>
            </w:r>
            <w:r>
              <w:rPr>
                <w:rFonts w:eastAsiaTheme="majorEastAsia"/>
                <w:b/>
                <w:sz w:val="24"/>
                <w:u w:val="single"/>
              </w:rPr>
              <w:t>可行技术方面，</w:t>
            </w:r>
            <w:r>
              <w:rPr>
                <w:rFonts w:hint="eastAsia" w:eastAsiaTheme="majorEastAsia"/>
                <w:b/>
                <w:sz w:val="24"/>
                <w:u w:val="single"/>
              </w:rPr>
              <w:t>生产</w:t>
            </w:r>
            <w:r>
              <w:rPr>
                <w:rFonts w:eastAsiaTheme="majorEastAsia"/>
                <w:b/>
                <w:sz w:val="24"/>
                <w:u w:val="single"/>
              </w:rPr>
              <w:t>过程中产生的有组织排放颗粒物一般</w:t>
            </w:r>
            <w:r>
              <w:rPr>
                <w:rFonts w:hint="eastAsia" w:eastAsiaTheme="majorEastAsia"/>
                <w:b/>
                <w:sz w:val="24"/>
                <w:u w:val="single"/>
              </w:rPr>
              <w:t>采用</w:t>
            </w:r>
            <w:r>
              <w:rPr>
                <w:rFonts w:eastAsiaTheme="majorEastAsia"/>
                <w:b/>
                <w:sz w:val="24"/>
                <w:u w:val="single"/>
              </w:rPr>
              <w:t>袋式除尘器、电除尘器、电袋复合除尘器。袋式除尘器主要进行小粒径除尘，本项目颗粒物属于小粒径，采用袋式除尘器进行颗粒物处理可行</w:t>
            </w:r>
            <w:r>
              <w:rPr>
                <w:rFonts w:hint="eastAsia" w:eastAsiaTheme="majorEastAsia"/>
                <w:b/>
                <w:sz w:val="24"/>
                <w:u w:val="single"/>
              </w:rPr>
              <w:t>，</w:t>
            </w:r>
            <w:r>
              <w:rPr>
                <w:rFonts w:eastAsiaTheme="majorEastAsia"/>
                <w:b/>
                <w:sz w:val="24"/>
                <w:u w:val="single"/>
              </w:rPr>
              <w:t>可实现达标排放</w:t>
            </w:r>
            <w:r>
              <w:rPr>
                <w:rFonts w:hint="eastAsia" w:eastAsiaTheme="majorEastAsia"/>
                <w:b/>
                <w:sz w:val="24"/>
                <w:u w:val="single"/>
              </w:rPr>
              <w:t>。</w:t>
            </w:r>
          </w:p>
          <w:p>
            <w:pPr>
              <w:pStyle w:val="61"/>
              <w:spacing w:line="520" w:lineRule="exact"/>
              <w:ind w:firstLine="482" w:firstLineChars="200"/>
              <w:rPr>
                <w:rFonts w:eastAsiaTheme="majorEastAsia"/>
                <w:b/>
                <w:szCs w:val="24"/>
                <w:u w:val="single"/>
              </w:rPr>
            </w:pPr>
            <w:r>
              <w:rPr>
                <w:rFonts w:hint="eastAsia" w:eastAsiaTheme="majorEastAsia"/>
                <w:b/>
                <w:szCs w:val="24"/>
                <w:u w:val="single"/>
              </w:rPr>
              <w:t>在</w:t>
            </w:r>
            <w:r>
              <w:rPr>
                <w:rFonts w:eastAsiaTheme="majorEastAsia"/>
                <w:b/>
                <w:szCs w:val="24"/>
                <w:u w:val="single"/>
              </w:rPr>
              <w:t>无组织方面，项目</w:t>
            </w:r>
            <w:r>
              <w:rPr>
                <w:rFonts w:hint="eastAsia" w:eastAsiaTheme="majorEastAsia"/>
                <w:b/>
                <w:szCs w:val="24"/>
                <w:u w:val="single"/>
              </w:rPr>
              <w:t>原料</w:t>
            </w:r>
            <w:r>
              <w:rPr>
                <w:rFonts w:eastAsiaTheme="majorEastAsia"/>
                <w:b/>
                <w:szCs w:val="24"/>
                <w:u w:val="single"/>
              </w:rPr>
              <w:t>及</w:t>
            </w:r>
            <w:r>
              <w:rPr>
                <w:rFonts w:hint="eastAsia" w:eastAsiaTheme="majorEastAsia"/>
                <w:b/>
                <w:szCs w:val="24"/>
                <w:u w:val="single"/>
              </w:rPr>
              <w:t>成品库</w:t>
            </w:r>
            <w:r>
              <w:rPr>
                <w:rFonts w:eastAsiaTheme="majorEastAsia"/>
                <w:b/>
                <w:szCs w:val="24"/>
                <w:u w:val="single"/>
              </w:rPr>
              <w:t>采用密闭</w:t>
            </w:r>
            <w:r>
              <w:rPr>
                <w:rFonts w:hint="eastAsia" w:eastAsiaTheme="majorEastAsia"/>
                <w:b/>
                <w:szCs w:val="24"/>
                <w:u w:val="single"/>
              </w:rPr>
              <w:t>储</w:t>
            </w:r>
            <w:r>
              <w:rPr>
                <w:rFonts w:eastAsiaTheme="majorEastAsia"/>
                <w:b/>
                <w:szCs w:val="24"/>
                <w:u w:val="single"/>
              </w:rPr>
              <w:t>仓，</w:t>
            </w:r>
            <w:r>
              <w:rPr>
                <w:rFonts w:hint="eastAsia" w:eastAsiaTheme="majorEastAsia"/>
                <w:b/>
                <w:szCs w:val="24"/>
                <w:u w:val="single"/>
              </w:rPr>
              <w:t>库顶</w:t>
            </w:r>
            <w:r>
              <w:rPr>
                <w:rFonts w:eastAsiaTheme="majorEastAsia"/>
                <w:b/>
                <w:szCs w:val="24"/>
                <w:u w:val="single"/>
              </w:rPr>
              <w:t>泄压口配备袋式除尘器</w:t>
            </w:r>
            <w:r>
              <w:rPr>
                <w:rFonts w:hint="eastAsia" w:eastAsiaTheme="majorEastAsia"/>
                <w:b/>
                <w:szCs w:val="24"/>
                <w:u w:val="single"/>
              </w:rPr>
              <w:t>；原料</w:t>
            </w:r>
            <w:r>
              <w:rPr>
                <w:rFonts w:eastAsiaTheme="majorEastAsia"/>
                <w:b/>
                <w:szCs w:val="24"/>
                <w:u w:val="single"/>
              </w:rPr>
              <w:t>及产品</w:t>
            </w:r>
            <w:r>
              <w:rPr>
                <w:rFonts w:hint="eastAsia" w:eastAsiaTheme="majorEastAsia"/>
                <w:b/>
                <w:szCs w:val="24"/>
                <w:u w:val="single"/>
              </w:rPr>
              <w:t>均</w:t>
            </w:r>
            <w:r>
              <w:rPr>
                <w:rFonts w:eastAsiaTheme="majorEastAsia"/>
                <w:b/>
                <w:szCs w:val="24"/>
                <w:u w:val="single"/>
              </w:rPr>
              <w:t>采用密闭罐车运输，</w:t>
            </w:r>
            <w:r>
              <w:rPr>
                <w:rFonts w:hint="eastAsia" w:eastAsiaTheme="majorEastAsia"/>
                <w:b/>
                <w:szCs w:val="24"/>
                <w:u w:val="single"/>
              </w:rPr>
              <w:t>成品</w:t>
            </w:r>
            <w:r>
              <w:rPr>
                <w:rFonts w:eastAsiaTheme="majorEastAsia"/>
                <w:b/>
                <w:szCs w:val="24"/>
                <w:u w:val="single"/>
              </w:rPr>
              <w:t>散装机</w:t>
            </w:r>
            <w:r>
              <w:rPr>
                <w:rFonts w:hint="eastAsia" w:eastAsiaTheme="majorEastAsia"/>
                <w:b/>
                <w:szCs w:val="24"/>
                <w:u w:val="single"/>
              </w:rPr>
              <w:t>采用</w:t>
            </w:r>
            <w:r>
              <w:rPr>
                <w:rFonts w:eastAsiaTheme="majorEastAsia"/>
                <w:b/>
                <w:szCs w:val="24"/>
                <w:u w:val="single"/>
              </w:rPr>
              <w:t>带抽风口的散装卸料装置，</w:t>
            </w:r>
            <w:r>
              <w:rPr>
                <w:rFonts w:hint="eastAsia" w:eastAsiaTheme="majorEastAsia"/>
                <w:b/>
                <w:szCs w:val="24"/>
                <w:u w:val="single"/>
              </w:rPr>
              <w:t>并</w:t>
            </w:r>
            <w:r>
              <w:rPr>
                <w:rFonts w:eastAsiaTheme="majorEastAsia"/>
                <w:b/>
                <w:szCs w:val="24"/>
                <w:u w:val="single"/>
              </w:rPr>
              <w:t>配备袋式除尘器，满足</w:t>
            </w:r>
            <w:r>
              <w:rPr>
                <w:rFonts w:hint="eastAsia" w:eastAsiaTheme="majorEastAsia"/>
                <w:b/>
                <w:u w:val="single"/>
              </w:rPr>
              <w:t>H</w:t>
            </w:r>
            <w:r>
              <w:rPr>
                <w:rFonts w:eastAsiaTheme="majorEastAsia"/>
                <w:b/>
                <w:u w:val="single"/>
              </w:rPr>
              <w:t>J847-2017</w:t>
            </w:r>
            <w:r>
              <w:rPr>
                <w:rFonts w:hint="eastAsia" w:eastAsiaTheme="majorEastAsia"/>
                <w:b/>
                <w:u w:val="single"/>
              </w:rPr>
              <w:t>中</w:t>
            </w:r>
            <w:r>
              <w:rPr>
                <w:rFonts w:eastAsiaTheme="majorEastAsia"/>
                <w:b/>
                <w:u w:val="single"/>
              </w:rPr>
              <w:t>对无组织排放控制要求。</w:t>
            </w:r>
          </w:p>
          <w:p>
            <w:pPr>
              <w:pStyle w:val="61"/>
              <w:spacing w:line="520" w:lineRule="exact"/>
              <w:ind w:firstLine="482" w:firstLineChars="200"/>
              <w:rPr>
                <w:rFonts w:eastAsiaTheme="majorEastAsia"/>
                <w:b/>
                <w:szCs w:val="24"/>
                <w:u w:val="single"/>
              </w:rPr>
            </w:pPr>
            <w:r>
              <w:rPr>
                <w:rFonts w:eastAsiaTheme="majorEastAsia"/>
                <w:b/>
                <w:szCs w:val="24"/>
                <w:u w:val="single"/>
              </w:rPr>
              <w:t>综上，本项目废气产生量较小，经处理后各污染物浓度和排放量均可以做到达标排放，项目周边最近的敏感点为</w:t>
            </w:r>
            <w:r>
              <w:rPr>
                <w:rFonts w:hint="eastAsia" w:eastAsiaTheme="majorEastAsia"/>
                <w:b/>
                <w:szCs w:val="24"/>
                <w:u w:val="single"/>
              </w:rPr>
              <w:t>东南</w:t>
            </w:r>
            <w:r>
              <w:rPr>
                <w:rFonts w:eastAsiaTheme="majorEastAsia"/>
                <w:b/>
                <w:szCs w:val="24"/>
                <w:u w:val="single"/>
              </w:rPr>
              <w:t>380m的</w:t>
            </w:r>
            <w:r>
              <w:rPr>
                <w:rFonts w:hint="eastAsia" w:eastAsiaTheme="majorEastAsia"/>
                <w:b/>
                <w:szCs w:val="24"/>
                <w:u w:val="single"/>
              </w:rPr>
              <w:t>新孙</w:t>
            </w:r>
            <w:r>
              <w:rPr>
                <w:rFonts w:eastAsiaTheme="majorEastAsia"/>
                <w:b/>
                <w:szCs w:val="24"/>
                <w:u w:val="single"/>
              </w:rPr>
              <w:t>庄，在采取密闭厂房、采取相应的治理措施后，项目废气排放对周边敏感点的影响较小。</w:t>
            </w:r>
          </w:p>
          <w:p>
            <w:pPr>
              <w:adjustRightInd w:val="0"/>
              <w:snapToGrid w:val="0"/>
              <w:spacing w:line="520" w:lineRule="exact"/>
              <w:ind w:firstLine="482" w:firstLineChars="200"/>
              <w:jc w:val="left"/>
              <w:rPr>
                <w:rFonts w:eastAsiaTheme="majorEastAsia"/>
                <w:b/>
                <w:bCs/>
                <w:sz w:val="24"/>
              </w:rPr>
            </w:pPr>
            <w:r>
              <w:rPr>
                <w:rFonts w:hint="eastAsia" w:eastAsiaTheme="majorEastAsia"/>
                <w:b/>
                <w:bCs/>
                <w:sz w:val="24"/>
              </w:rPr>
              <w:t>2、</w:t>
            </w:r>
            <w:r>
              <w:rPr>
                <w:rFonts w:eastAsiaTheme="majorEastAsia"/>
                <w:b/>
                <w:bCs/>
                <w:sz w:val="24"/>
              </w:rPr>
              <w:t>废</w:t>
            </w:r>
            <w:r>
              <w:rPr>
                <w:rFonts w:hint="eastAsia" w:eastAsiaTheme="majorEastAsia"/>
                <w:b/>
                <w:bCs/>
                <w:sz w:val="24"/>
              </w:rPr>
              <w:t>水</w:t>
            </w:r>
          </w:p>
          <w:p>
            <w:pPr>
              <w:adjustRightInd w:val="0"/>
              <w:snapToGrid w:val="0"/>
              <w:spacing w:line="520" w:lineRule="exact"/>
              <w:ind w:firstLine="482" w:firstLineChars="200"/>
              <w:jc w:val="left"/>
              <w:rPr>
                <w:b/>
                <w:snapToGrid w:val="0"/>
                <w:kern w:val="0"/>
                <w:sz w:val="24"/>
              </w:rPr>
            </w:pPr>
            <w:r>
              <w:rPr>
                <w:rFonts w:hint="eastAsia"/>
                <w:b/>
                <w:snapToGrid w:val="0"/>
                <w:kern w:val="0"/>
                <w:sz w:val="24"/>
              </w:rPr>
              <w:t>2.1</w:t>
            </w:r>
            <w:r>
              <w:rPr>
                <w:b/>
                <w:snapToGrid w:val="0"/>
                <w:kern w:val="0"/>
                <w:sz w:val="24"/>
              </w:rPr>
              <w:t>项目废水产生及排放情况</w:t>
            </w:r>
          </w:p>
          <w:p>
            <w:pPr>
              <w:adjustRightInd w:val="0"/>
              <w:snapToGrid w:val="0"/>
              <w:spacing w:line="520" w:lineRule="exact"/>
              <w:ind w:firstLine="480" w:firstLineChars="200"/>
              <w:rPr>
                <w:rFonts w:eastAsiaTheme="majorEastAsia"/>
                <w:sz w:val="24"/>
              </w:rPr>
            </w:pPr>
            <w:r>
              <w:rPr>
                <w:rFonts w:hint="eastAsia" w:eastAsiaTheme="majorEastAsia"/>
                <w:sz w:val="24"/>
              </w:rPr>
              <w:t>本项目生产过程中，洒水抑尘、</w:t>
            </w:r>
            <w:r>
              <w:rPr>
                <w:rFonts w:eastAsiaTheme="majorEastAsia"/>
                <w:sz w:val="24"/>
              </w:rPr>
              <w:t>干雾抑尘</w:t>
            </w:r>
            <w:r>
              <w:rPr>
                <w:rFonts w:hint="eastAsia" w:eastAsiaTheme="majorEastAsia"/>
                <w:sz w:val="24"/>
              </w:rPr>
              <w:t>过程中无废水产生，废水主要为运输车辆冲洗废水和生活污水。</w:t>
            </w:r>
          </w:p>
          <w:p>
            <w:pPr>
              <w:adjustRightInd w:val="0"/>
              <w:snapToGrid w:val="0"/>
              <w:spacing w:line="520" w:lineRule="exact"/>
              <w:ind w:firstLine="480" w:firstLineChars="200"/>
              <w:jc w:val="left"/>
              <w:rPr>
                <w:snapToGrid w:val="0"/>
                <w:kern w:val="0"/>
                <w:sz w:val="24"/>
              </w:rPr>
            </w:pPr>
            <w:r>
              <w:rPr>
                <w:snapToGrid w:val="0"/>
                <w:kern w:val="0"/>
                <w:sz w:val="24"/>
              </w:rPr>
              <w:t>2.1.1生产废水</w:t>
            </w:r>
          </w:p>
          <w:p>
            <w:pPr>
              <w:spacing w:line="520" w:lineRule="exact"/>
              <w:ind w:firstLine="480" w:firstLineChars="200"/>
              <w:rPr>
                <w:snapToGrid w:val="0"/>
                <w:kern w:val="0"/>
                <w:sz w:val="24"/>
              </w:rPr>
            </w:pPr>
            <w:r>
              <w:rPr>
                <w:snapToGrid w:val="0"/>
                <w:kern w:val="0"/>
                <w:sz w:val="24"/>
              </w:rPr>
              <w:t>（1）运输车辆冲洗废水</w:t>
            </w:r>
          </w:p>
          <w:p>
            <w:pPr>
              <w:adjustRightInd w:val="0"/>
              <w:snapToGrid w:val="0"/>
              <w:spacing w:line="520" w:lineRule="exact"/>
              <w:ind w:firstLine="480" w:firstLineChars="200"/>
              <w:jc w:val="left"/>
              <w:rPr>
                <w:snapToGrid w:val="0"/>
                <w:kern w:val="0"/>
                <w:sz w:val="24"/>
              </w:rPr>
            </w:pPr>
            <w:r>
              <w:rPr>
                <w:snapToGrid w:val="0"/>
                <w:kern w:val="0"/>
                <w:sz w:val="24"/>
              </w:rPr>
              <w:t>项目原料运输采用载重汽车，车辆轮胎会粘带泥沙，</w:t>
            </w:r>
            <w:r>
              <w:rPr>
                <w:bCs/>
                <w:snapToGrid w:val="0"/>
                <w:kern w:val="0"/>
                <w:sz w:val="24"/>
              </w:rPr>
              <w:t>采用感应式全车自动冲洗装置</w:t>
            </w:r>
            <w:r>
              <w:rPr>
                <w:sz w:val="24"/>
              </w:rPr>
              <w:t>全方位对车辆轮胎和车身进行冲洗</w:t>
            </w:r>
            <w:r>
              <w:rPr>
                <w:bCs/>
                <w:snapToGrid w:val="0"/>
                <w:kern w:val="0"/>
                <w:sz w:val="24"/>
              </w:rPr>
              <w:t>，以降低运输道路扬尘对沿线环境的污染影响。</w:t>
            </w:r>
            <w:r>
              <w:rPr>
                <w:snapToGrid w:val="0"/>
                <w:kern w:val="0"/>
                <w:sz w:val="24"/>
              </w:rPr>
              <w:t>项目原料、产品运输车辆共约2000辆/a，</w:t>
            </w:r>
            <w:r>
              <w:rPr>
                <w:spacing w:val="-6"/>
                <w:sz w:val="24"/>
              </w:rPr>
              <w:t>清洗装置出水量约为 0.2m</w:t>
            </w:r>
            <w:r>
              <w:rPr>
                <w:spacing w:val="-6"/>
                <w:sz w:val="24"/>
                <w:vertAlign w:val="superscript"/>
              </w:rPr>
              <w:t>3</w:t>
            </w:r>
            <w:r>
              <w:rPr>
                <w:spacing w:val="-6"/>
                <w:sz w:val="24"/>
              </w:rPr>
              <w:t>/辆车，则冲洗用水量约为1.6m</w:t>
            </w:r>
            <w:r>
              <w:rPr>
                <w:spacing w:val="-6"/>
                <w:sz w:val="24"/>
                <w:vertAlign w:val="superscript"/>
              </w:rPr>
              <w:t>3</w:t>
            </w:r>
            <w:r>
              <w:rPr>
                <w:spacing w:val="-6"/>
                <w:sz w:val="24"/>
              </w:rPr>
              <w:t>/d，即520m</w:t>
            </w:r>
            <w:r>
              <w:rPr>
                <w:spacing w:val="-6"/>
                <w:sz w:val="24"/>
                <w:vertAlign w:val="superscript"/>
              </w:rPr>
              <w:t>3</w:t>
            </w:r>
            <w:r>
              <w:rPr>
                <w:spacing w:val="-6"/>
                <w:sz w:val="24"/>
              </w:rPr>
              <w:t>/a</w:t>
            </w:r>
            <w:r>
              <w:rPr>
                <w:snapToGrid w:val="0"/>
                <w:kern w:val="0"/>
                <w:sz w:val="24"/>
              </w:rPr>
              <w:t>。</w:t>
            </w:r>
          </w:p>
          <w:p>
            <w:pPr>
              <w:adjustRightInd w:val="0"/>
              <w:snapToGrid w:val="0"/>
              <w:spacing w:line="520" w:lineRule="exact"/>
              <w:ind w:firstLine="480" w:firstLineChars="200"/>
              <w:jc w:val="left"/>
              <w:rPr>
                <w:iCs/>
                <w:sz w:val="24"/>
              </w:rPr>
            </w:pPr>
            <w:r>
              <w:rPr>
                <w:iCs/>
                <w:sz w:val="24"/>
              </w:rPr>
              <w:t>本项目在项目厂区出口处建设车辆冲洗装置，配套建设一座沉淀池（</w:t>
            </w:r>
            <w:r>
              <w:rPr>
                <w:rFonts w:hint="eastAsia"/>
                <w:iCs/>
                <w:sz w:val="24"/>
              </w:rPr>
              <w:t>三级沉淀池</w:t>
            </w:r>
            <w:r>
              <w:rPr>
                <w:iCs/>
                <w:sz w:val="24"/>
              </w:rPr>
              <w:t>，约18m</w:t>
            </w:r>
            <w:r>
              <w:rPr>
                <w:iCs/>
                <w:sz w:val="24"/>
                <w:vertAlign w:val="superscript"/>
              </w:rPr>
              <w:t>3</w:t>
            </w:r>
            <w:r>
              <w:rPr>
                <w:iCs/>
                <w:sz w:val="24"/>
              </w:rPr>
              <w:t>）。冲洗车辆废水主要污染因子为SS，经类比，其浓度约为3000mg/L，该部分废水经沉淀池沉淀后循环使用，不外排，仅定期补充，经核算定期补充量为0.16m</w:t>
            </w:r>
            <w:r>
              <w:rPr>
                <w:iCs/>
                <w:sz w:val="24"/>
                <w:vertAlign w:val="superscript"/>
              </w:rPr>
              <w:t>3</w:t>
            </w:r>
            <w:r>
              <w:rPr>
                <w:iCs/>
                <w:sz w:val="24"/>
              </w:rPr>
              <w:t>/d（合40m</w:t>
            </w:r>
            <w:r>
              <w:rPr>
                <w:iCs/>
                <w:sz w:val="24"/>
                <w:vertAlign w:val="superscript"/>
              </w:rPr>
              <w:t>3</w:t>
            </w:r>
            <w:r>
              <w:rPr>
                <w:iCs/>
                <w:sz w:val="24"/>
              </w:rPr>
              <w:t>/a）。</w:t>
            </w:r>
          </w:p>
          <w:p>
            <w:pPr>
              <w:adjustRightInd w:val="0"/>
              <w:snapToGrid w:val="0"/>
              <w:spacing w:line="520" w:lineRule="exact"/>
              <w:ind w:firstLine="480" w:firstLineChars="200"/>
              <w:jc w:val="left"/>
              <w:rPr>
                <w:snapToGrid w:val="0"/>
                <w:kern w:val="0"/>
                <w:sz w:val="24"/>
              </w:rPr>
            </w:pPr>
            <w:r>
              <w:rPr>
                <w:rFonts w:hint="eastAsia"/>
                <w:snapToGrid w:val="0"/>
                <w:kern w:val="0"/>
                <w:sz w:val="24"/>
              </w:rPr>
              <w:t>2.</w:t>
            </w:r>
            <w:r>
              <w:rPr>
                <w:snapToGrid w:val="0"/>
                <w:kern w:val="0"/>
                <w:sz w:val="24"/>
              </w:rPr>
              <w:t>1.</w:t>
            </w:r>
            <w:r>
              <w:rPr>
                <w:rFonts w:hint="eastAsia"/>
                <w:snapToGrid w:val="0"/>
                <w:kern w:val="0"/>
                <w:sz w:val="24"/>
              </w:rPr>
              <w:t>2生活废水</w:t>
            </w:r>
          </w:p>
          <w:p>
            <w:pPr>
              <w:widowControl/>
              <w:tabs>
                <w:tab w:val="left" w:pos="463"/>
              </w:tabs>
              <w:spacing w:line="520" w:lineRule="exact"/>
              <w:ind w:firstLine="480" w:firstLineChars="200"/>
              <w:jc w:val="left"/>
              <w:rPr>
                <w:sz w:val="24"/>
              </w:rPr>
            </w:pPr>
            <w:r>
              <w:rPr>
                <w:sz w:val="24"/>
              </w:rPr>
              <w:t>（1）生活污水产排情况</w:t>
            </w:r>
          </w:p>
          <w:p>
            <w:pPr>
              <w:widowControl/>
              <w:tabs>
                <w:tab w:val="left" w:pos="463"/>
              </w:tabs>
              <w:spacing w:line="520" w:lineRule="exact"/>
              <w:ind w:firstLine="480" w:firstLineChars="200"/>
              <w:jc w:val="left"/>
              <w:rPr>
                <w:sz w:val="24"/>
                <w:shd w:val="clear" w:color="auto" w:fill="FFFFFF"/>
              </w:rPr>
            </w:pPr>
            <w:r>
              <w:rPr>
                <w:sz w:val="24"/>
              </w:rPr>
              <w:t>本项目预计员工人数为4人，全部不在厂区住宿，厂区设置旱厕。结合河南省地方标准《工业与城镇生活用水定额》（DB41/T385-2020），本次</w:t>
            </w:r>
            <w:r>
              <w:rPr>
                <w:snapToGrid w:val="0"/>
                <w:kern w:val="0"/>
                <w:sz w:val="24"/>
              </w:rPr>
              <w:t>不食宿生活污水定额按40</w:t>
            </w:r>
            <w:r>
              <w:rPr>
                <w:sz w:val="24"/>
              </w:rPr>
              <w:t>L/人·d，</w:t>
            </w:r>
            <w:r>
              <w:rPr>
                <w:snapToGrid w:val="0"/>
                <w:kern w:val="0"/>
                <w:sz w:val="24"/>
              </w:rPr>
              <w:t>项目</w:t>
            </w:r>
            <w:r>
              <w:rPr>
                <w:sz w:val="24"/>
              </w:rPr>
              <w:t>生活用水量为0.16m</w:t>
            </w:r>
            <w:r>
              <w:rPr>
                <w:sz w:val="24"/>
                <w:vertAlign w:val="superscript"/>
              </w:rPr>
              <w:t>3</w:t>
            </w:r>
            <w:r>
              <w:rPr>
                <w:sz w:val="24"/>
              </w:rPr>
              <w:t>/d（合计40m</w:t>
            </w:r>
            <w:r>
              <w:rPr>
                <w:sz w:val="24"/>
                <w:vertAlign w:val="superscript"/>
              </w:rPr>
              <w:t>3</w:t>
            </w:r>
            <w:r>
              <w:rPr>
                <w:sz w:val="24"/>
              </w:rPr>
              <w:t>/a），按排污系数以0.8计，则生活污水排放量为0.13m</w:t>
            </w:r>
            <w:r>
              <w:rPr>
                <w:sz w:val="24"/>
                <w:vertAlign w:val="superscript"/>
              </w:rPr>
              <w:t>3</w:t>
            </w:r>
            <w:r>
              <w:rPr>
                <w:sz w:val="24"/>
              </w:rPr>
              <w:t>/d（合计32.5m</w:t>
            </w:r>
            <w:r>
              <w:rPr>
                <w:sz w:val="24"/>
                <w:vertAlign w:val="superscript"/>
              </w:rPr>
              <w:t>3</w:t>
            </w:r>
            <w:r>
              <w:rPr>
                <w:sz w:val="24"/>
              </w:rPr>
              <w:t>/a），废水中含有COD、BOD</w:t>
            </w:r>
            <w:r>
              <w:rPr>
                <w:sz w:val="24"/>
                <w:vertAlign w:val="subscript"/>
              </w:rPr>
              <w:t>5</w:t>
            </w:r>
            <w:r>
              <w:rPr>
                <w:sz w:val="24"/>
              </w:rPr>
              <w:t>、NH</w:t>
            </w:r>
            <w:r>
              <w:rPr>
                <w:sz w:val="24"/>
                <w:vertAlign w:val="subscript"/>
              </w:rPr>
              <w:t>3</w:t>
            </w:r>
            <w:r>
              <w:rPr>
                <w:sz w:val="24"/>
              </w:rPr>
              <w:t>-N、SS，</w:t>
            </w:r>
            <w:r>
              <w:rPr>
                <w:rFonts w:hint="eastAsia"/>
                <w:sz w:val="24"/>
              </w:rPr>
              <w:t>经类比</w:t>
            </w:r>
            <w:r>
              <w:rPr>
                <w:sz w:val="24"/>
              </w:rPr>
              <w:t>，污染物浓度为COD200mg/L、BOD</w:t>
            </w:r>
            <w:r>
              <w:rPr>
                <w:sz w:val="24"/>
                <w:vertAlign w:val="subscript"/>
              </w:rPr>
              <w:t>5</w:t>
            </w:r>
            <w:r>
              <w:rPr>
                <w:sz w:val="24"/>
              </w:rPr>
              <w:t>180mg/L、NH</w:t>
            </w:r>
            <w:r>
              <w:rPr>
                <w:sz w:val="24"/>
                <w:vertAlign w:val="subscript"/>
              </w:rPr>
              <w:t>3</w:t>
            </w:r>
            <w:r>
              <w:rPr>
                <w:sz w:val="24"/>
              </w:rPr>
              <w:t>-N20mg/L、SS200mg/L。项目新建旱厕并新建一座6m</w:t>
            </w:r>
            <w:r>
              <w:rPr>
                <w:sz w:val="24"/>
                <w:vertAlign w:val="superscript"/>
              </w:rPr>
              <w:t>3</w:t>
            </w:r>
            <w:r>
              <w:rPr>
                <w:sz w:val="24"/>
              </w:rPr>
              <w:t>化粪池，</w:t>
            </w:r>
            <w:r>
              <w:rPr>
                <w:sz w:val="24"/>
                <w:shd w:val="clear" w:color="auto" w:fill="FFFFFF"/>
              </w:rPr>
              <w:t>化粪池是一种利用沉淀和厌氧发酵的原理，去除生活污水中</w:t>
            </w:r>
            <w:r>
              <w:fldChar w:fldCharType="begin"/>
            </w:r>
            <w:r>
              <w:instrText xml:space="preserve"> HYPERLINK "http://www.so.com/s?q=%E6%82%AC%E6%B5%AE%E6%80%A7&amp;ie=utf-8&amp;src=internal_wenda_recommend_textn" \t "_blank" </w:instrText>
            </w:r>
            <w:r>
              <w:fldChar w:fldCharType="separate"/>
            </w:r>
            <w:r>
              <w:rPr>
                <w:rStyle w:val="26"/>
                <w:color w:val="auto"/>
                <w:sz w:val="24"/>
                <w:u w:val="none"/>
                <w:shd w:val="clear" w:color="auto" w:fill="FFFFFF"/>
              </w:rPr>
              <w:t>悬浮性</w:t>
            </w:r>
            <w:r>
              <w:rPr>
                <w:rStyle w:val="26"/>
                <w:color w:val="auto"/>
                <w:sz w:val="24"/>
                <w:u w:val="none"/>
                <w:shd w:val="clear" w:color="auto" w:fill="FFFFFF"/>
              </w:rPr>
              <w:fldChar w:fldCharType="end"/>
            </w:r>
            <w:r>
              <w:rPr>
                <w:sz w:val="24"/>
                <w:shd w:val="clear" w:color="auto" w:fill="FFFFFF"/>
              </w:rPr>
              <w:t>有机物的处理</w:t>
            </w:r>
            <w:r>
              <w:fldChar w:fldCharType="begin"/>
            </w:r>
            <w:r>
              <w:instrText xml:space="preserve"> HYPERLINK "http://www.so.com/s?q=%E8%AE%BE%E6%96%BD&amp;ie=utf-8&amp;src=internal_wenda_recommend_textn" \t "_blank" </w:instrText>
            </w:r>
            <w:r>
              <w:fldChar w:fldCharType="separate"/>
            </w:r>
            <w:r>
              <w:rPr>
                <w:rStyle w:val="26"/>
                <w:color w:val="auto"/>
                <w:sz w:val="24"/>
                <w:u w:val="none"/>
                <w:shd w:val="clear" w:color="auto" w:fill="FFFFFF"/>
              </w:rPr>
              <w:t>设施</w:t>
            </w:r>
            <w:r>
              <w:rPr>
                <w:rStyle w:val="26"/>
                <w:color w:val="auto"/>
                <w:sz w:val="24"/>
                <w:u w:val="none"/>
                <w:shd w:val="clear" w:color="auto" w:fill="FFFFFF"/>
              </w:rPr>
              <w:fldChar w:fldCharType="end"/>
            </w:r>
            <w:r>
              <w:rPr>
                <w:rFonts w:hint="eastAsia"/>
                <w:sz w:val="24"/>
                <w:shd w:val="clear" w:color="auto" w:fill="FFFFFF"/>
              </w:rPr>
              <w:t>。项目</w:t>
            </w:r>
            <w:r>
              <w:rPr>
                <w:sz w:val="24"/>
                <w:shd w:val="clear" w:color="auto" w:fill="FFFFFF"/>
              </w:rPr>
              <w:t>产生的</w:t>
            </w:r>
            <w:r>
              <w:rPr>
                <w:sz w:val="24"/>
              </w:rPr>
              <w:t>粪污水</w:t>
            </w:r>
            <w:r>
              <w:rPr>
                <w:kern w:val="0"/>
                <w:sz w:val="24"/>
                <w:lang w:bidi="ar"/>
              </w:rPr>
              <w:t>经化粪池沉淀后定期清掏，用作周边农田肥田，不外排。</w:t>
            </w:r>
          </w:p>
          <w:p>
            <w:pPr>
              <w:adjustRightInd w:val="0"/>
              <w:snapToGrid w:val="0"/>
              <w:spacing w:line="520" w:lineRule="exact"/>
              <w:ind w:firstLine="482" w:firstLineChars="200"/>
              <w:jc w:val="left"/>
              <w:rPr>
                <w:b/>
                <w:snapToGrid w:val="0"/>
                <w:kern w:val="0"/>
                <w:sz w:val="24"/>
              </w:rPr>
            </w:pPr>
            <w:r>
              <w:rPr>
                <w:rFonts w:hint="eastAsia"/>
                <w:b/>
                <w:snapToGrid w:val="0"/>
                <w:kern w:val="0"/>
                <w:sz w:val="24"/>
              </w:rPr>
              <w:t>2.</w:t>
            </w:r>
            <w:r>
              <w:rPr>
                <w:b/>
                <w:snapToGrid w:val="0"/>
                <w:kern w:val="0"/>
                <w:sz w:val="24"/>
              </w:rPr>
              <w:t>2建设项目水污染物排放信息</w:t>
            </w:r>
          </w:p>
          <w:p>
            <w:pPr>
              <w:spacing w:line="520" w:lineRule="exact"/>
              <w:ind w:firstLine="480" w:firstLineChars="200"/>
              <w:rPr>
                <w:iCs/>
                <w:sz w:val="24"/>
              </w:rPr>
            </w:pPr>
            <w:r>
              <w:rPr>
                <w:rFonts w:hint="eastAsia"/>
                <w:iCs/>
                <w:sz w:val="24"/>
              </w:rPr>
              <w:t>项目无废水外排，</w:t>
            </w:r>
            <w:r>
              <w:rPr>
                <w:iCs/>
                <w:sz w:val="24"/>
              </w:rPr>
              <w:t>废水类别、污染物及污染治理设施信息见</w:t>
            </w:r>
            <w:r>
              <w:rPr>
                <w:rFonts w:hint="eastAsia"/>
                <w:iCs/>
                <w:sz w:val="24"/>
              </w:rPr>
              <w:t>下</w:t>
            </w:r>
            <w:r>
              <w:rPr>
                <w:iCs/>
                <w:sz w:val="24"/>
              </w:rPr>
              <w:t>表。</w:t>
            </w:r>
          </w:p>
          <w:p>
            <w:pPr>
              <w:autoSpaceDE w:val="0"/>
              <w:autoSpaceDN w:val="0"/>
              <w:adjustRightInd w:val="0"/>
              <w:snapToGrid w:val="0"/>
              <w:spacing w:line="480" w:lineRule="exact"/>
              <w:ind w:firstLine="720" w:firstLineChars="300"/>
              <w:rPr>
                <w:rFonts w:eastAsia="黑体"/>
                <w:sz w:val="24"/>
                <w:szCs w:val="22"/>
              </w:rPr>
            </w:pPr>
            <w:r>
              <w:rPr>
                <w:rFonts w:eastAsia="黑体"/>
                <w:sz w:val="24"/>
                <w:szCs w:val="22"/>
              </w:rPr>
              <w:t>表24        废水类别、污染物及污染治理设施信息表</w:t>
            </w:r>
          </w:p>
          <w:tbl>
            <w:tblPr>
              <w:tblStyle w:val="22"/>
              <w:tblW w:w="7779"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
            <w:tblGrid>
              <w:gridCol w:w="402"/>
              <w:gridCol w:w="926"/>
              <w:gridCol w:w="698"/>
              <w:gridCol w:w="712"/>
              <w:gridCol w:w="504"/>
              <w:gridCol w:w="519"/>
              <w:gridCol w:w="566"/>
              <w:gridCol w:w="532"/>
              <w:gridCol w:w="621"/>
              <w:gridCol w:w="608"/>
              <w:gridCol w:w="1691"/>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37" w:hRule="atLeast"/>
                <w:jc w:val="center"/>
              </w:trPr>
              <w:tc>
                <w:tcPr>
                  <w:tcW w:w="402" w:type="dxa"/>
                  <w:vMerge w:val="restart"/>
                  <w:shd w:val="clear" w:color="auto" w:fill="FFFFFF"/>
                  <w:noWrap/>
                  <w:vAlign w:val="center"/>
                </w:tcPr>
                <w:p>
                  <w:pPr>
                    <w:jc w:val="center"/>
                    <w:rPr>
                      <w:szCs w:val="21"/>
                    </w:rPr>
                  </w:pPr>
                  <w:r>
                    <w:rPr>
                      <w:rFonts w:hint="eastAsia"/>
                      <w:szCs w:val="21"/>
                    </w:rPr>
                    <w:t>序号</w:t>
                  </w:r>
                </w:p>
              </w:tc>
              <w:tc>
                <w:tcPr>
                  <w:tcW w:w="926" w:type="dxa"/>
                  <w:vMerge w:val="restart"/>
                  <w:shd w:val="clear" w:color="auto" w:fill="FFFFFF"/>
                  <w:noWrap/>
                  <w:vAlign w:val="center"/>
                </w:tcPr>
                <w:p>
                  <w:pPr>
                    <w:jc w:val="center"/>
                    <w:rPr>
                      <w:szCs w:val="21"/>
                    </w:rPr>
                  </w:pPr>
                  <w:r>
                    <w:rPr>
                      <w:szCs w:val="21"/>
                    </w:rPr>
                    <w:t>废水类别</w:t>
                  </w:r>
                </w:p>
              </w:tc>
              <w:tc>
                <w:tcPr>
                  <w:tcW w:w="698" w:type="dxa"/>
                  <w:vMerge w:val="restart"/>
                  <w:shd w:val="clear" w:color="auto" w:fill="FFFFFF"/>
                  <w:noWrap/>
                  <w:vAlign w:val="center"/>
                </w:tcPr>
                <w:p>
                  <w:pPr>
                    <w:jc w:val="center"/>
                    <w:rPr>
                      <w:szCs w:val="21"/>
                    </w:rPr>
                  </w:pPr>
                  <w:r>
                    <w:rPr>
                      <w:szCs w:val="21"/>
                    </w:rPr>
                    <w:t>污染物 种类</w:t>
                  </w:r>
                </w:p>
              </w:tc>
              <w:tc>
                <w:tcPr>
                  <w:tcW w:w="712" w:type="dxa"/>
                  <w:vMerge w:val="restart"/>
                  <w:shd w:val="clear" w:color="auto" w:fill="FFFFFF"/>
                  <w:noWrap/>
                  <w:vAlign w:val="center"/>
                </w:tcPr>
                <w:p>
                  <w:pPr>
                    <w:jc w:val="center"/>
                    <w:rPr>
                      <w:szCs w:val="21"/>
                    </w:rPr>
                  </w:pPr>
                  <w:r>
                    <w:rPr>
                      <w:szCs w:val="21"/>
                    </w:rPr>
                    <w:t>排放去向</w:t>
                  </w:r>
                </w:p>
              </w:tc>
              <w:tc>
                <w:tcPr>
                  <w:tcW w:w="504" w:type="dxa"/>
                  <w:vMerge w:val="restart"/>
                  <w:shd w:val="clear" w:color="auto" w:fill="FFFFFF"/>
                  <w:noWrap/>
                  <w:vAlign w:val="center"/>
                </w:tcPr>
                <w:p>
                  <w:pPr>
                    <w:jc w:val="center"/>
                    <w:rPr>
                      <w:szCs w:val="21"/>
                    </w:rPr>
                  </w:pPr>
                  <w:r>
                    <w:rPr>
                      <w:szCs w:val="21"/>
                    </w:rPr>
                    <w:t>排放规律</w:t>
                  </w:r>
                </w:p>
              </w:tc>
              <w:tc>
                <w:tcPr>
                  <w:tcW w:w="1617" w:type="dxa"/>
                  <w:gridSpan w:val="3"/>
                  <w:shd w:val="clear" w:color="auto" w:fill="FFFFFF"/>
                  <w:noWrap/>
                  <w:vAlign w:val="center"/>
                </w:tcPr>
                <w:p>
                  <w:pPr>
                    <w:jc w:val="center"/>
                    <w:rPr>
                      <w:szCs w:val="21"/>
                    </w:rPr>
                  </w:pPr>
                  <w:r>
                    <w:rPr>
                      <w:szCs w:val="21"/>
                    </w:rPr>
                    <w:t>污染治理设施</w:t>
                  </w:r>
                </w:p>
              </w:tc>
              <w:tc>
                <w:tcPr>
                  <w:tcW w:w="621" w:type="dxa"/>
                  <w:vMerge w:val="restart"/>
                  <w:shd w:val="clear" w:color="auto" w:fill="FFFFFF"/>
                  <w:noWrap/>
                  <w:vAlign w:val="center"/>
                </w:tcPr>
                <w:p>
                  <w:pPr>
                    <w:jc w:val="center"/>
                    <w:rPr>
                      <w:szCs w:val="21"/>
                    </w:rPr>
                  </w:pPr>
                  <w:r>
                    <w:rPr>
                      <w:szCs w:val="21"/>
                    </w:rPr>
                    <w:t>排放口编号</w:t>
                  </w:r>
                </w:p>
              </w:tc>
              <w:tc>
                <w:tcPr>
                  <w:tcW w:w="608" w:type="dxa"/>
                  <w:vMerge w:val="restart"/>
                  <w:shd w:val="clear" w:color="auto" w:fill="FFFFFF"/>
                  <w:noWrap/>
                  <w:vAlign w:val="center"/>
                </w:tcPr>
                <w:p>
                  <w:pPr>
                    <w:jc w:val="center"/>
                    <w:rPr>
                      <w:szCs w:val="21"/>
                    </w:rPr>
                  </w:pPr>
                  <w:r>
                    <w:rPr>
                      <w:szCs w:val="21"/>
                    </w:rPr>
                    <w:t>排放口设置是否符合要求</w:t>
                  </w:r>
                </w:p>
              </w:tc>
              <w:tc>
                <w:tcPr>
                  <w:tcW w:w="1691" w:type="dxa"/>
                  <w:vMerge w:val="restart"/>
                  <w:shd w:val="clear" w:color="auto" w:fill="FFFFFF"/>
                  <w:noWrap/>
                  <w:vAlign w:val="center"/>
                </w:tcPr>
                <w:p>
                  <w:pPr>
                    <w:jc w:val="center"/>
                    <w:rPr>
                      <w:szCs w:val="21"/>
                    </w:rPr>
                  </w:pPr>
                  <w:r>
                    <w:rPr>
                      <w:szCs w:val="21"/>
                    </w:rPr>
                    <w:t>排放口</w:t>
                  </w:r>
                </w:p>
                <w:p>
                  <w:pPr>
                    <w:jc w:val="center"/>
                    <w:rPr>
                      <w:szCs w:val="21"/>
                    </w:rPr>
                  </w:pPr>
                  <w:r>
                    <w:rPr>
                      <w:szCs w:val="21"/>
                    </w:rPr>
                    <w:t>类型</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498" w:hRule="atLeast"/>
                <w:jc w:val="center"/>
              </w:trPr>
              <w:tc>
                <w:tcPr>
                  <w:tcW w:w="402" w:type="dxa"/>
                  <w:vMerge w:val="continue"/>
                  <w:shd w:val="clear" w:color="auto" w:fill="FFFFFF"/>
                  <w:noWrap/>
                  <w:vAlign w:val="center"/>
                </w:tcPr>
                <w:p>
                  <w:pPr>
                    <w:ind w:firstLine="420"/>
                    <w:jc w:val="center"/>
                    <w:rPr>
                      <w:szCs w:val="21"/>
                    </w:rPr>
                  </w:pPr>
                </w:p>
              </w:tc>
              <w:tc>
                <w:tcPr>
                  <w:tcW w:w="926" w:type="dxa"/>
                  <w:vMerge w:val="continue"/>
                  <w:shd w:val="clear" w:color="auto" w:fill="FFFFFF"/>
                  <w:noWrap/>
                  <w:vAlign w:val="center"/>
                </w:tcPr>
                <w:p>
                  <w:pPr>
                    <w:ind w:firstLine="420"/>
                    <w:jc w:val="center"/>
                    <w:rPr>
                      <w:szCs w:val="21"/>
                    </w:rPr>
                  </w:pPr>
                </w:p>
              </w:tc>
              <w:tc>
                <w:tcPr>
                  <w:tcW w:w="698" w:type="dxa"/>
                  <w:vMerge w:val="continue"/>
                  <w:shd w:val="clear" w:color="auto" w:fill="FFFFFF"/>
                  <w:noWrap/>
                  <w:vAlign w:val="center"/>
                </w:tcPr>
                <w:p>
                  <w:pPr>
                    <w:ind w:firstLine="420"/>
                    <w:jc w:val="center"/>
                    <w:rPr>
                      <w:szCs w:val="21"/>
                    </w:rPr>
                  </w:pPr>
                </w:p>
              </w:tc>
              <w:tc>
                <w:tcPr>
                  <w:tcW w:w="712" w:type="dxa"/>
                  <w:vMerge w:val="continue"/>
                  <w:shd w:val="clear" w:color="auto" w:fill="FFFFFF"/>
                  <w:noWrap/>
                  <w:vAlign w:val="center"/>
                </w:tcPr>
                <w:p>
                  <w:pPr>
                    <w:ind w:firstLine="420"/>
                    <w:jc w:val="center"/>
                    <w:rPr>
                      <w:szCs w:val="21"/>
                    </w:rPr>
                  </w:pPr>
                </w:p>
              </w:tc>
              <w:tc>
                <w:tcPr>
                  <w:tcW w:w="504" w:type="dxa"/>
                  <w:vMerge w:val="continue"/>
                  <w:shd w:val="clear" w:color="auto" w:fill="FFFFFF"/>
                  <w:noWrap/>
                  <w:vAlign w:val="center"/>
                </w:tcPr>
                <w:p>
                  <w:pPr>
                    <w:ind w:firstLine="420"/>
                    <w:jc w:val="center"/>
                    <w:rPr>
                      <w:szCs w:val="21"/>
                    </w:rPr>
                  </w:pPr>
                </w:p>
              </w:tc>
              <w:tc>
                <w:tcPr>
                  <w:tcW w:w="519" w:type="dxa"/>
                  <w:shd w:val="clear" w:color="auto" w:fill="FFFFFF"/>
                  <w:noWrap/>
                  <w:vAlign w:val="center"/>
                </w:tcPr>
                <w:p>
                  <w:pPr>
                    <w:jc w:val="center"/>
                    <w:rPr>
                      <w:szCs w:val="21"/>
                    </w:rPr>
                  </w:pPr>
                  <w:r>
                    <w:rPr>
                      <w:szCs w:val="21"/>
                    </w:rPr>
                    <w:t>污染治理设施编号</w:t>
                  </w:r>
                </w:p>
              </w:tc>
              <w:tc>
                <w:tcPr>
                  <w:tcW w:w="566" w:type="dxa"/>
                  <w:shd w:val="clear" w:color="auto" w:fill="FFFFFF"/>
                  <w:noWrap/>
                  <w:vAlign w:val="center"/>
                </w:tcPr>
                <w:p>
                  <w:pPr>
                    <w:jc w:val="center"/>
                    <w:rPr>
                      <w:szCs w:val="21"/>
                    </w:rPr>
                  </w:pPr>
                  <w:r>
                    <w:rPr>
                      <w:szCs w:val="21"/>
                    </w:rPr>
                    <w:t>污染治理设施名称</w:t>
                  </w:r>
                </w:p>
              </w:tc>
              <w:tc>
                <w:tcPr>
                  <w:tcW w:w="532" w:type="dxa"/>
                  <w:shd w:val="clear" w:color="auto" w:fill="FFFFFF"/>
                  <w:noWrap/>
                  <w:vAlign w:val="center"/>
                </w:tcPr>
                <w:p>
                  <w:pPr>
                    <w:jc w:val="center"/>
                    <w:rPr>
                      <w:szCs w:val="21"/>
                    </w:rPr>
                  </w:pPr>
                  <w:r>
                    <w:rPr>
                      <w:szCs w:val="21"/>
                    </w:rPr>
                    <w:t>污染治理设施工艺</w:t>
                  </w:r>
                </w:p>
              </w:tc>
              <w:tc>
                <w:tcPr>
                  <w:tcW w:w="621" w:type="dxa"/>
                  <w:vMerge w:val="continue"/>
                  <w:shd w:val="clear" w:color="auto" w:fill="FFFFFF"/>
                  <w:noWrap/>
                  <w:vAlign w:val="center"/>
                </w:tcPr>
                <w:p>
                  <w:pPr>
                    <w:ind w:firstLine="420"/>
                    <w:jc w:val="center"/>
                    <w:rPr>
                      <w:szCs w:val="21"/>
                    </w:rPr>
                  </w:pPr>
                </w:p>
              </w:tc>
              <w:tc>
                <w:tcPr>
                  <w:tcW w:w="608" w:type="dxa"/>
                  <w:vMerge w:val="continue"/>
                  <w:shd w:val="clear" w:color="auto" w:fill="FFFFFF"/>
                  <w:noWrap/>
                  <w:vAlign w:val="center"/>
                </w:tcPr>
                <w:p>
                  <w:pPr>
                    <w:ind w:firstLine="420"/>
                    <w:jc w:val="center"/>
                    <w:rPr>
                      <w:szCs w:val="21"/>
                    </w:rPr>
                  </w:pPr>
                </w:p>
              </w:tc>
              <w:tc>
                <w:tcPr>
                  <w:tcW w:w="1691" w:type="dxa"/>
                  <w:vMerge w:val="continue"/>
                  <w:shd w:val="clear" w:color="auto" w:fill="FFFFFF"/>
                  <w:noWrap/>
                  <w:vAlign w:val="center"/>
                </w:tcPr>
                <w:p>
                  <w:pPr>
                    <w:ind w:firstLine="420"/>
                    <w:jc w:val="center"/>
                    <w:rPr>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1077" w:hRule="atLeast"/>
                <w:jc w:val="center"/>
              </w:trPr>
              <w:tc>
                <w:tcPr>
                  <w:tcW w:w="402" w:type="dxa"/>
                  <w:shd w:val="clear" w:color="auto" w:fill="FFFFFF"/>
                  <w:noWrap/>
                  <w:vAlign w:val="center"/>
                </w:tcPr>
                <w:p>
                  <w:pPr>
                    <w:jc w:val="center"/>
                    <w:rPr>
                      <w:szCs w:val="21"/>
                    </w:rPr>
                  </w:pPr>
                  <w:r>
                    <w:rPr>
                      <w:szCs w:val="21"/>
                    </w:rPr>
                    <w:t>1</w:t>
                  </w:r>
                </w:p>
              </w:tc>
              <w:tc>
                <w:tcPr>
                  <w:tcW w:w="926" w:type="dxa"/>
                  <w:shd w:val="clear" w:color="auto" w:fill="FFFFFF"/>
                  <w:noWrap/>
                  <w:vAlign w:val="center"/>
                </w:tcPr>
                <w:p>
                  <w:pPr>
                    <w:jc w:val="center"/>
                    <w:rPr>
                      <w:szCs w:val="21"/>
                    </w:rPr>
                  </w:pPr>
                  <w:r>
                    <w:rPr>
                      <w:rFonts w:hint="eastAsia"/>
                      <w:szCs w:val="21"/>
                    </w:rPr>
                    <w:t>车辆冲洗废水</w:t>
                  </w:r>
                </w:p>
              </w:tc>
              <w:tc>
                <w:tcPr>
                  <w:tcW w:w="698" w:type="dxa"/>
                  <w:shd w:val="clear" w:color="auto" w:fill="FFFFFF"/>
                  <w:noWrap/>
                  <w:vAlign w:val="center"/>
                </w:tcPr>
                <w:p>
                  <w:pPr>
                    <w:jc w:val="center"/>
                    <w:rPr>
                      <w:szCs w:val="21"/>
                    </w:rPr>
                  </w:pPr>
                  <w:r>
                    <w:rPr>
                      <w:rFonts w:hint="eastAsia"/>
                      <w:szCs w:val="21"/>
                    </w:rPr>
                    <w:t>SS</w:t>
                  </w:r>
                </w:p>
              </w:tc>
              <w:tc>
                <w:tcPr>
                  <w:tcW w:w="712" w:type="dxa"/>
                  <w:shd w:val="clear" w:color="auto" w:fill="FFFFFF"/>
                  <w:noWrap/>
                  <w:vAlign w:val="center"/>
                </w:tcPr>
                <w:p>
                  <w:pPr>
                    <w:jc w:val="center"/>
                    <w:rPr>
                      <w:szCs w:val="21"/>
                    </w:rPr>
                  </w:pPr>
                  <w:r>
                    <w:rPr>
                      <w:rFonts w:hint="eastAsia"/>
                      <w:szCs w:val="21"/>
                    </w:rPr>
                    <w:t>不外排</w:t>
                  </w:r>
                </w:p>
              </w:tc>
              <w:tc>
                <w:tcPr>
                  <w:tcW w:w="504" w:type="dxa"/>
                  <w:shd w:val="clear" w:color="auto" w:fill="FFFFFF"/>
                  <w:noWrap/>
                  <w:vAlign w:val="center"/>
                </w:tcPr>
                <w:p>
                  <w:pPr>
                    <w:jc w:val="center"/>
                    <w:rPr>
                      <w:szCs w:val="21"/>
                    </w:rPr>
                  </w:pPr>
                  <w:r>
                    <w:rPr>
                      <w:rFonts w:hint="eastAsia"/>
                      <w:szCs w:val="21"/>
                    </w:rPr>
                    <w:t>不外排</w:t>
                  </w:r>
                </w:p>
              </w:tc>
              <w:tc>
                <w:tcPr>
                  <w:tcW w:w="519" w:type="dxa"/>
                  <w:shd w:val="clear" w:color="auto" w:fill="FFFFFF"/>
                  <w:noWrap/>
                  <w:vAlign w:val="center"/>
                </w:tcPr>
                <w:p>
                  <w:pPr>
                    <w:jc w:val="center"/>
                    <w:rPr>
                      <w:szCs w:val="21"/>
                    </w:rPr>
                  </w:pPr>
                  <w:r>
                    <w:rPr>
                      <w:szCs w:val="21"/>
                    </w:rPr>
                    <w:t>TW 001</w:t>
                  </w:r>
                </w:p>
              </w:tc>
              <w:tc>
                <w:tcPr>
                  <w:tcW w:w="566" w:type="dxa"/>
                  <w:shd w:val="clear" w:color="auto" w:fill="FFFFFF"/>
                  <w:noWrap/>
                  <w:vAlign w:val="center"/>
                </w:tcPr>
                <w:p>
                  <w:pPr>
                    <w:jc w:val="center"/>
                    <w:rPr>
                      <w:szCs w:val="21"/>
                    </w:rPr>
                  </w:pPr>
                  <w:r>
                    <w:rPr>
                      <w:rFonts w:hint="eastAsia"/>
                      <w:szCs w:val="21"/>
                    </w:rPr>
                    <w:t>沉淀池</w:t>
                  </w:r>
                </w:p>
              </w:tc>
              <w:tc>
                <w:tcPr>
                  <w:tcW w:w="532" w:type="dxa"/>
                  <w:shd w:val="clear" w:color="auto" w:fill="FFFFFF"/>
                  <w:noWrap/>
                  <w:vAlign w:val="center"/>
                </w:tcPr>
                <w:p>
                  <w:pPr>
                    <w:jc w:val="center"/>
                    <w:rPr>
                      <w:szCs w:val="21"/>
                    </w:rPr>
                  </w:pPr>
                  <w:r>
                    <w:rPr>
                      <w:rFonts w:hint="eastAsia"/>
                      <w:szCs w:val="21"/>
                    </w:rPr>
                    <w:t>三级沉淀处理</w:t>
                  </w:r>
                </w:p>
              </w:tc>
              <w:tc>
                <w:tcPr>
                  <w:tcW w:w="621" w:type="dxa"/>
                  <w:shd w:val="clear" w:color="auto" w:fill="FFFFFF"/>
                  <w:noWrap/>
                  <w:vAlign w:val="center"/>
                </w:tcPr>
                <w:p>
                  <w:pPr>
                    <w:jc w:val="center"/>
                    <w:rPr>
                      <w:szCs w:val="21"/>
                    </w:rPr>
                  </w:pPr>
                  <w:r>
                    <w:rPr>
                      <w:rFonts w:hint="eastAsia"/>
                      <w:szCs w:val="21"/>
                    </w:rPr>
                    <w:t>/</w:t>
                  </w:r>
                </w:p>
              </w:tc>
              <w:tc>
                <w:tcPr>
                  <w:tcW w:w="608" w:type="dxa"/>
                  <w:shd w:val="clear" w:color="auto" w:fill="FFFFFF"/>
                  <w:noWrap/>
                  <w:vAlign w:val="center"/>
                </w:tcPr>
                <w:p>
                  <w:pPr>
                    <w:jc w:val="center"/>
                    <w:rPr>
                      <w:szCs w:val="21"/>
                    </w:rPr>
                  </w:pPr>
                  <w:r>
                    <w:rPr>
                      <w:szCs w:val="21"/>
                    </w:rPr>
                    <w:t>□是</w:t>
                  </w:r>
                </w:p>
                <w:p>
                  <w:pPr>
                    <w:jc w:val="center"/>
                    <w:rPr>
                      <w:szCs w:val="21"/>
                    </w:rPr>
                  </w:pPr>
                  <w:r>
                    <w:rPr>
                      <w:szCs w:val="21"/>
                    </w:rPr>
                    <w:t>□否</w:t>
                  </w:r>
                </w:p>
              </w:tc>
              <w:tc>
                <w:tcPr>
                  <w:tcW w:w="1691" w:type="dxa"/>
                  <w:shd w:val="clear" w:color="auto" w:fill="FFFFFF"/>
                  <w:noWrap/>
                  <w:vAlign w:val="center"/>
                </w:tcPr>
                <w:p>
                  <w:pPr>
                    <w:jc w:val="center"/>
                    <w:rPr>
                      <w:szCs w:val="21"/>
                    </w:rPr>
                  </w:pPr>
                  <w:r>
                    <w:rPr>
                      <w:szCs w:val="21"/>
                    </w:rPr>
                    <w:t>□企业总排</w:t>
                  </w:r>
                </w:p>
                <w:p>
                  <w:pPr>
                    <w:jc w:val="center"/>
                    <w:rPr>
                      <w:szCs w:val="21"/>
                    </w:rPr>
                  </w:pPr>
                  <w:r>
                    <w:rPr>
                      <w:szCs w:val="21"/>
                    </w:rPr>
                    <w:t>□雨水排放</w:t>
                  </w:r>
                </w:p>
                <w:p>
                  <w:pPr>
                    <w:jc w:val="center"/>
                    <w:rPr>
                      <w:szCs w:val="21"/>
                    </w:rPr>
                  </w:pPr>
                  <w:r>
                    <w:rPr>
                      <w:szCs w:val="21"/>
                    </w:rPr>
                    <w:t>□淸净下水雛</w:t>
                  </w:r>
                </w:p>
                <w:p>
                  <w:pPr>
                    <w:jc w:val="center"/>
                    <w:rPr>
                      <w:szCs w:val="21"/>
                    </w:rPr>
                  </w:pPr>
                  <w:r>
                    <w:rPr>
                      <w:szCs w:val="21"/>
                    </w:rPr>
                    <w:t>□温排水排放</w:t>
                  </w:r>
                </w:p>
                <w:p>
                  <w:pPr>
                    <w:jc w:val="center"/>
                    <w:rPr>
                      <w:szCs w:val="21"/>
                    </w:rPr>
                  </w:pPr>
                  <w:r>
                    <w:rPr>
                      <w:szCs w:val="21"/>
                    </w:rPr>
                    <w:t>□车间或车间处理设施排放口</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1077" w:hRule="atLeast"/>
                <w:jc w:val="center"/>
              </w:trPr>
              <w:tc>
                <w:tcPr>
                  <w:tcW w:w="402" w:type="dxa"/>
                  <w:shd w:val="clear" w:color="auto" w:fill="FFFFFF"/>
                  <w:noWrap/>
                  <w:vAlign w:val="center"/>
                </w:tcPr>
                <w:p>
                  <w:pPr>
                    <w:jc w:val="center"/>
                    <w:rPr>
                      <w:szCs w:val="21"/>
                    </w:rPr>
                  </w:pPr>
                  <w:r>
                    <w:rPr>
                      <w:rFonts w:hint="eastAsia"/>
                      <w:szCs w:val="21"/>
                    </w:rPr>
                    <w:t>2</w:t>
                  </w:r>
                </w:p>
              </w:tc>
              <w:tc>
                <w:tcPr>
                  <w:tcW w:w="926" w:type="dxa"/>
                  <w:shd w:val="clear" w:color="auto" w:fill="FFFFFF"/>
                  <w:noWrap/>
                  <w:vAlign w:val="center"/>
                </w:tcPr>
                <w:p>
                  <w:pPr>
                    <w:jc w:val="center"/>
                    <w:rPr>
                      <w:szCs w:val="21"/>
                    </w:rPr>
                  </w:pPr>
                  <w:r>
                    <w:rPr>
                      <w:rFonts w:hint="eastAsia"/>
                      <w:szCs w:val="21"/>
                    </w:rPr>
                    <w:t>生活</w:t>
                  </w:r>
                  <w:r>
                    <w:rPr>
                      <w:szCs w:val="21"/>
                    </w:rPr>
                    <w:t>污水</w:t>
                  </w:r>
                </w:p>
              </w:tc>
              <w:tc>
                <w:tcPr>
                  <w:tcW w:w="698" w:type="dxa"/>
                  <w:shd w:val="clear" w:color="auto" w:fill="FFFFFF"/>
                  <w:noWrap/>
                  <w:vAlign w:val="center"/>
                </w:tcPr>
                <w:p>
                  <w:pPr>
                    <w:jc w:val="center"/>
                    <w:rPr>
                      <w:szCs w:val="21"/>
                    </w:rPr>
                  </w:pPr>
                  <w:r>
                    <w:rPr>
                      <w:szCs w:val="21"/>
                    </w:rPr>
                    <w:t>pH、</w:t>
                  </w:r>
                  <w:r>
                    <w:rPr>
                      <w:rFonts w:hint="eastAsia"/>
                      <w:szCs w:val="21"/>
                    </w:rPr>
                    <w:t>COD</w:t>
                  </w:r>
                  <w:r>
                    <w:rPr>
                      <w:szCs w:val="21"/>
                    </w:rPr>
                    <w:t>、BOD</w:t>
                  </w:r>
                  <w:r>
                    <w:rPr>
                      <w:szCs w:val="21"/>
                      <w:vertAlign w:val="subscript"/>
                    </w:rPr>
                    <w:t>5</w:t>
                  </w:r>
                  <w:r>
                    <w:rPr>
                      <w:rFonts w:hint="eastAsia"/>
                      <w:szCs w:val="21"/>
                    </w:rPr>
                    <w:t>、</w:t>
                  </w:r>
                  <w:r>
                    <w:rPr>
                      <w:szCs w:val="21"/>
                    </w:rPr>
                    <w:t>SS、NH</w:t>
                  </w:r>
                  <w:r>
                    <w:rPr>
                      <w:szCs w:val="21"/>
                      <w:vertAlign w:val="subscript"/>
                    </w:rPr>
                    <w:t>3</w:t>
                  </w:r>
                  <w:r>
                    <w:rPr>
                      <w:szCs w:val="21"/>
                    </w:rPr>
                    <w:t>-N</w:t>
                  </w:r>
                </w:p>
              </w:tc>
              <w:tc>
                <w:tcPr>
                  <w:tcW w:w="712" w:type="dxa"/>
                  <w:shd w:val="clear" w:color="auto" w:fill="FFFFFF"/>
                  <w:noWrap/>
                  <w:vAlign w:val="center"/>
                </w:tcPr>
                <w:p>
                  <w:pPr>
                    <w:jc w:val="center"/>
                    <w:rPr>
                      <w:szCs w:val="21"/>
                    </w:rPr>
                  </w:pPr>
                  <w:r>
                    <w:rPr>
                      <w:rFonts w:hint="eastAsia"/>
                      <w:szCs w:val="21"/>
                    </w:rPr>
                    <w:t>不外排</w:t>
                  </w:r>
                </w:p>
              </w:tc>
              <w:tc>
                <w:tcPr>
                  <w:tcW w:w="504" w:type="dxa"/>
                  <w:shd w:val="clear" w:color="auto" w:fill="FFFFFF"/>
                  <w:noWrap/>
                  <w:vAlign w:val="center"/>
                </w:tcPr>
                <w:p>
                  <w:pPr>
                    <w:jc w:val="center"/>
                    <w:rPr>
                      <w:szCs w:val="21"/>
                    </w:rPr>
                  </w:pPr>
                  <w:r>
                    <w:rPr>
                      <w:rFonts w:hint="eastAsia"/>
                      <w:szCs w:val="21"/>
                    </w:rPr>
                    <w:t>不外排</w:t>
                  </w:r>
                </w:p>
              </w:tc>
              <w:tc>
                <w:tcPr>
                  <w:tcW w:w="519" w:type="dxa"/>
                  <w:shd w:val="clear" w:color="auto" w:fill="FFFFFF"/>
                  <w:noWrap/>
                  <w:vAlign w:val="center"/>
                </w:tcPr>
                <w:p>
                  <w:pPr>
                    <w:jc w:val="center"/>
                    <w:rPr>
                      <w:szCs w:val="21"/>
                    </w:rPr>
                  </w:pPr>
                  <w:r>
                    <w:rPr>
                      <w:szCs w:val="21"/>
                    </w:rPr>
                    <w:t>TW 002</w:t>
                  </w:r>
                </w:p>
              </w:tc>
              <w:tc>
                <w:tcPr>
                  <w:tcW w:w="566" w:type="dxa"/>
                  <w:shd w:val="clear" w:color="auto" w:fill="FFFFFF"/>
                  <w:noWrap/>
                  <w:vAlign w:val="center"/>
                </w:tcPr>
                <w:p>
                  <w:pPr>
                    <w:jc w:val="center"/>
                    <w:rPr>
                      <w:szCs w:val="21"/>
                    </w:rPr>
                  </w:pPr>
                  <w:r>
                    <w:rPr>
                      <w:rFonts w:hint="eastAsia"/>
                      <w:szCs w:val="21"/>
                    </w:rPr>
                    <w:t>化粪池</w:t>
                  </w:r>
                </w:p>
              </w:tc>
              <w:tc>
                <w:tcPr>
                  <w:tcW w:w="532" w:type="dxa"/>
                  <w:shd w:val="clear" w:color="auto" w:fill="FFFFFF"/>
                  <w:noWrap/>
                  <w:vAlign w:val="center"/>
                </w:tcPr>
                <w:p>
                  <w:pPr>
                    <w:jc w:val="center"/>
                    <w:rPr>
                      <w:szCs w:val="21"/>
                    </w:rPr>
                  </w:pPr>
                  <w:r>
                    <w:rPr>
                      <w:rFonts w:hint="eastAsia"/>
                      <w:szCs w:val="21"/>
                    </w:rPr>
                    <w:t>化粪池</w:t>
                  </w:r>
                </w:p>
              </w:tc>
              <w:tc>
                <w:tcPr>
                  <w:tcW w:w="621" w:type="dxa"/>
                  <w:shd w:val="clear" w:color="auto" w:fill="FFFFFF"/>
                  <w:noWrap/>
                  <w:vAlign w:val="center"/>
                </w:tcPr>
                <w:p>
                  <w:pPr>
                    <w:jc w:val="center"/>
                    <w:rPr>
                      <w:szCs w:val="21"/>
                    </w:rPr>
                  </w:pPr>
                  <w:r>
                    <w:rPr>
                      <w:rFonts w:hint="eastAsia"/>
                      <w:szCs w:val="21"/>
                    </w:rPr>
                    <w:t>/</w:t>
                  </w:r>
                </w:p>
              </w:tc>
              <w:tc>
                <w:tcPr>
                  <w:tcW w:w="608" w:type="dxa"/>
                  <w:shd w:val="clear" w:color="auto" w:fill="FFFFFF"/>
                  <w:noWrap/>
                  <w:vAlign w:val="center"/>
                </w:tcPr>
                <w:p>
                  <w:pPr>
                    <w:jc w:val="center"/>
                    <w:rPr>
                      <w:szCs w:val="21"/>
                    </w:rPr>
                  </w:pPr>
                  <w:r>
                    <w:rPr>
                      <w:szCs w:val="21"/>
                    </w:rPr>
                    <w:t>□是</w:t>
                  </w:r>
                </w:p>
                <w:p>
                  <w:pPr>
                    <w:jc w:val="center"/>
                    <w:rPr>
                      <w:szCs w:val="21"/>
                    </w:rPr>
                  </w:pPr>
                  <w:r>
                    <w:rPr>
                      <w:szCs w:val="21"/>
                    </w:rPr>
                    <w:t>□否</w:t>
                  </w:r>
                </w:p>
              </w:tc>
              <w:tc>
                <w:tcPr>
                  <w:tcW w:w="1691" w:type="dxa"/>
                  <w:shd w:val="clear" w:color="auto" w:fill="FFFFFF"/>
                  <w:noWrap/>
                  <w:vAlign w:val="center"/>
                </w:tcPr>
                <w:p>
                  <w:pPr>
                    <w:jc w:val="center"/>
                    <w:rPr>
                      <w:szCs w:val="21"/>
                    </w:rPr>
                  </w:pPr>
                  <w:r>
                    <w:rPr>
                      <w:szCs w:val="21"/>
                    </w:rPr>
                    <w:t>□企业总排</w:t>
                  </w:r>
                </w:p>
                <w:p>
                  <w:pPr>
                    <w:jc w:val="center"/>
                    <w:rPr>
                      <w:szCs w:val="21"/>
                    </w:rPr>
                  </w:pPr>
                  <w:r>
                    <w:rPr>
                      <w:szCs w:val="21"/>
                    </w:rPr>
                    <w:t>□雨水排放</w:t>
                  </w:r>
                </w:p>
                <w:p>
                  <w:pPr>
                    <w:jc w:val="center"/>
                    <w:rPr>
                      <w:szCs w:val="21"/>
                    </w:rPr>
                  </w:pPr>
                  <w:r>
                    <w:rPr>
                      <w:szCs w:val="21"/>
                    </w:rPr>
                    <w:t>□淸净下水雛</w:t>
                  </w:r>
                </w:p>
                <w:p>
                  <w:pPr>
                    <w:jc w:val="center"/>
                    <w:rPr>
                      <w:szCs w:val="21"/>
                    </w:rPr>
                  </w:pPr>
                  <w:r>
                    <w:rPr>
                      <w:szCs w:val="21"/>
                    </w:rPr>
                    <w:t>□温排水排放</w:t>
                  </w:r>
                </w:p>
                <w:p>
                  <w:pPr>
                    <w:jc w:val="center"/>
                    <w:rPr>
                      <w:szCs w:val="21"/>
                    </w:rPr>
                  </w:pPr>
                  <w:r>
                    <w:rPr>
                      <w:szCs w:val="21"/>
                    </w:rPr>
                    <w:t>□车间或车间处理设施排放口</w:t>
                  </w:r>
                </w:p>
              </w:tc>
            </w:tr>
          </w:tbl>
          <w:p>
            <w:pPr>
              <w:adjustRightInd w:val="0"/>
              <w:snapToGrid w:val="0"/>
              <w:spacing w:line="480" w:lineRule="exact"/>
              <w:ind w:firstLine="482" w:firstLineChars="200"/>
              <w:jc w:val="left"/>
              <w:rPr>
                <w:b/>
                <w:snapToGrid w:val="0"/>
                <w:kern w:val="0"/>
                <w:sz w:val="24"/>
              </w:rPr>
            </w:pPr>
            <w:r>
              <w:rPr>
                <w:rFonts w:hint="eastAsia"/>
                <w:b/>
                <w:snapToGrid w:val="0"/>
                <w:kern w:val="0"/>
                <w:sz w:val="24"/>
              </w:rPr>
              <w:t>2.</w:t>
            </w:r>
            <w:r>
              <w:rPr>
                <w:b/>
                <w:snapToGrid w:val="0"/>
                <w:kern w:val="0"/>
                <w:sz w:val="24"/>
              </w:rPr>
              <w:t>3 污水处理设施的环境可行性评价</w:t>
            </w:r>
          </w:p>
          <w:p>
            <w:pPr>
              <w:spacing w:line="480" w:lineRule="exact"/>
              <w:ind w:firstLine="480" w:firstLineChars="200"/>
              <w:rPr>
                <w:rFonts w:eastAsiaTheme="minorEastAsia"/>
                <w:sz w:val="24"/>
              </w:rPr>
            </w:pPr>
            <w:r>
              <w:rPr>
                <w:sz w:val="24"/>
              </w:rPr>
              <w:t>本项目洗车废水产生量为1.6m</w:t>
            </w:r>
            <w:r>
              <w:rPr>
                <w:sz w:val="24"/>
                <w:vertAlign w:val="superscript"/>
              </w:rPr>
              <w:t>3</w:t>
            </w:r>
            <w:r>
              <w:rPr>
                <w:sz w:val="24"/>
              </w:rPr>
              <w:t>/d，建设沉淀池一座（18m</w:t>
            </w:r>
            <w:r>
              <w:rPr>
                <w:sz w:val="24"/>
                <w:vertAlign w:val="superscript"/>
              </w:rPr>
              <w:t>3</w:t>
            </w:r>
            <w:r>
              <w:rPr>
                <w:sz w:val="24"/>
              </w:rPr>
              <w:t>），废水沉淀时间</w:t>
            </w:r>
            <w:r>
              <w:rPr>
                <w:rFonts w:eastAsiaTheme="minorEastAsia"/>
                <w:sz w:val="24"/>
              </w:rPr>
              <w:t>超过48小时，可满足废水沉淀处理需求。</w:t>
            </w:r>
          </w:p>
          <w:p>
            <w:pPr>
              <w:adjustRightInd w:val="0"/>
              <w:snapToGrid w:val="0"/>
              <w:spacing w:line="480" w:lineRule="exact"/>
              <w:ind w:firstLine="480" w:firstLineChars="200"/>
              <w:jc w:val="left"/>
              <w:rPr>
                <w:rFonts w:eastAsiaTheme="minorEastAsia"/>
                <w:sz w:val="24"/>
              </w:rPr>
            </w:pPr>
            <w:r>
              <w:rPr>
                <w:rFonts w:eastAsiaTheme="minorEastAsia"/>
                <w:sz w:val="24"/>
              </w:rPr>
              <w:t>本项目职工生活污水产生量为0.13m</w:t>
            </w:r>
            <w:r>
              <w:rPr>
                <w:rFonts w:eastAsiaTheme="minorEastAsia"/>
                <w:sz w:val="24"/>
                <w:vertAlign w:val="superscript"/>
              </w:rPr>
              <w:t>3</w:t>
            </w:r>
            <w:r>
              <w:rPr>
                <w:rFonts w:eastAsiaTheme="minorEastAsia"/>
                <w:sz w:val="24"/>
              </w:rPr>
              <w:t>/d，新建化粪池一座（6m</w:t>
            </w:r>
            <w:r>
              <w:rPr>
                <w:rFonts w:eastAsiaTheme="minorEastAsia"/>
                <w:sz w:val="24"/>
                <w:vertAlign w:val="superscript"/>
              </w:rPr>
              <w:t>3</w:t>
            </w:r>
            <w:r>
              <w:rPr>
                <w:rFonts w:eastAsiaTheme="minorEastAsia"/>
                <w:sz w:val="24"/>
              </w:rPr>
              <w:t>），可容纳46天粪污水产生量，</w:t>
            </w:r>
            <w:r>
              <w:rPr>
                <w:rFonts w:eastAsiaTheme="minorEastAsia"/>
                <w:kern w:val="0"/>
                <w:sz w:val="24"/>
                <w:lang w:bidi="ar"/>
              </w:rPr>
              <w:t>项目</w:t>
            </w:r>
            <w:r>
              <w:rPr>
                <w:rFonts w:eastAsiaTheme="minorEastAsia"/>
                <w:sz w:val="24"/>
              </w:rPr>
              <w:t>运输过程采用封闭吸污车抽吸、清运，运输清运过程不会对环境造成二次污染。同时项目所处为旱作农业区，厂区周边300m范围均为农田，农作物种类以小麦玉米种植为主，本项目粪水总量约32.5m</w:t>
            </w:r>
            <w:r>
              <w:rPr>
                <w:rFonts w:eastAsiaTheme="minorEastAsia"/>
                <w:sz w:val="24"/>
                <w:vertAlign w:val="superscript"/>
              </w:rPr>
              <w:t>3</w:t>
            </w:r>
            <w:r>
              <w:rPr>
                <w:rFonts w:eastAsiaTheme="minorEastAsia"/>
                <w:sz w:val="24"/>
              </w:rPr>
              <w:t>/a，产生量较小，周边区域农田可完全进行消纳。</w:t>
            </w:r>
          </w:p>
          <w:p>
            <w:pPr>
              <w:pStyle w:val="61"/>
              <w:ind w:firstLine="480" w:firstLineChars="200"/>
              <w:rPr>
                <w:rFonts w:eastAsiaTheme="minorEastAsia"/>
                <w:szCs w:val="24"/>
              </w:rPr>
            </w:pPr>
            <w:r>
              <w:rPr>
                <w:rFonts w:eastAsiaTheme="minorEastAsia"/>
                <w:szCs w:val="24"/>
              </w:rPr>
              <w:t>综上，本项目废水产生量较小，经处理后可综合利用不外排，措施可行，对区域地表水环境无影响。</w:t>
            </w:r>
          </w:p>
          <w:p>
            <w:pPr>
              <w:adjustRightInd w:val="0"/>
              <w:snapToGrid w:val="0"/>
              <w:spacing w:line="480" w:lineRule="exact"/>
              <w:ind w:firstLine="482" w:firstLineChars="200"/>
              <w:jc w:val="left"/>
              <w:rPr>
                <w:b/>
                <w:snapToGrid w:val="0"/>
                <w:kern w:val="0"/>
                <w:sz w:val="24"/>
              </w:rPr>
            </w:pPr>
            <w:r>
              <w:rPr>
                <w:rFonts w:hint="eastAsia"/>
                <w:b/>
                <w:snapToGrid w:val="0"/>
                <w:kern w:val="0"/>
                <w:sz w:val="24"/>
              </w:rPr>
              <w:t>3、</w:t>
            </w:r>
            <w:r>
              <w:rPr>
                <w:b/>
                <w:snapToGrid w:val="0"/>
                <w:kern w:val="0"/>
                <w:sz w:val="24"/>
              </w:rPr>
              <w:t>噪声</w:t>
            </w:r>
          </w:p>
          <w:p>
            <w:pPr>
              <w:adjustRightInd w:val="0"/>
              <w:snapToGrid w:val="0"/>
              <w:spacing w:line="480" w:lineRule="exact"/>
              <w:ind w:firstLine="482" w:firstLineChars="200"/>
              <w:jc w:val="left"/>
              <w:rPr>
                <w:b/>
                <w:snapToGrid w:val="0"/>
                <w:kern w:val="0"/>
                <w:sz w:val="24"/>
              </w:rPr>
            </w:pPr>
            <w:r>
              <w:rPr>
                <w:rFonts w:hint="eastAsia"/>
                <w:b/>
                <w:snapToGrid w:val="0"/>
                <w:kern w:val="0"/>
                <w:sz w:val="24"/>
              </w:rPr>
              <w:t>3.1 噪声源强产生情况</w:t>
            </w:r>
          </w:p>
          <w:p>
            <w:pPr>
              <w:adjustRightInd w:val="0"/>
              <w:snapToGrid w:val="0"/>
              <w:spacing w:line="480" w:lineRule="exact"/>
              <w:ind w:firstLine="480" w:firstLineChars="200"/>
              <w:rPr>
                <w:kern w:val="0"/>
                <w:sz w:val="24"/>
              </w:rPr>
            </w:pPr>
            <w:r>
              <w:rPr>
                <w:rFonts w:hint="eastAsia"/>
                <w:kern w:val="0"/>
                <w:sz w:val="24"/>
              </w:rPr>
              <w:t>本项目运营期噪声源主要是</w:t>
            </w:r>
            <w:r>
              <w:rPr>
                <w:rFonts w:hint="eastAsia" w:cs="宋体"/>
                <w:kern w:val="0"/>
                <w:sz w:val="24"/>
              </w:rPr>
              <w:t>分选机、高</w:t>
            </w:r>
            <w:r>
              <w:rPr>
                <w:rFonts w:cs="宋体"/>
                <w:kern w:val="0"/>
                <w:sz w:val="24"/>
              </w:rPr>
              <w:t>细</w:t>
            </w:r>
            <w:r>
              <w:rPr>
                <w:rFonts w:hint="eastAsia" w:cs="宋体"/>
                <w:kern w:val="0"/>
                <w:sz w:val="24"/>
              </w:rPr>
              <w:t>管</w:t>
            </w:r>
            <w:r>
              <w:rPr>
                <w:rFonts w:cs="宋体"/>
                <w:kern w:val="0"/>
                <w:sz w:val="24"/>
              </w:rPr>
              <w:t>磨机、</w:t>
            </w:r>
            <w:r>
              <w:rPr>
                <w:rFonts w:hint="eastAsia" w:cs="宋体"/>
                <w:kern w:val="0"/>
                <w:sz w:val="24"/>
              </w:rPr>
              <w:t>散装机</w:t>
            </w:r>
            <w:r>
              <w:rPr>
                <w:rFonts w:hint="eastAsia"/>
                <w:kern w:val="0"/>
                <w:sz w:val="24"/>
              </w:rPr>
              <w:t>等设备运行产生的噪声及风机运行时产生的空气动力性噪声，其声级值约为70~85dB（A）。各设备噪声源强详见表</w:t>
            </w:r>
            <w:r>
              <w:rPr>
                <w:kern w:val="0"/>
                <w:sz w:val="24"/>
              </w:rPr>
              <w:t>25</w:t>
            </w:r>
            <w:r>
              <w:rPr>
                <w:rFonts w:hint="eastAsia"/>
                <w:kern w:val="0"/>
                <w:sz w:val="24"/>
              </w:rPr>
              <w:t>。</w:t>
            </w:r>
          </w:p>
          <w:p>
            <w:pPr>
              <w:autoSpaceDE w:val="0"/>
              <w:autoSpaceDN w:val="0"/>
              <w:adjustRightInd w:val="0"/>
              <w:snapToGrid w:val="0"/>
              <w:spacing w:line="480" w:lineRule="exact"/>
              <w:ind w:firstLine="720" w:firstLineChars="300"/>
              <w:rPr>
                <w:rFonts w:eastAsia="黑体"/>
                <w:sz w:val="24"/>
                <w:szCs w:val="22"/>
              </w:rPr>
            </w:pPr>
            <w:r>
              <w:rPr>
                <w:rFonts w:hint="eastAsia" w:eastAsia="黑体"/>
                <w:sz w:val="24"/>
                <w:szCs w:val="22"/>
              </w:rPr>
              <w:t xml:space="preserve"> 表</w:t>
            </w:r>
            <w:r>
              <w:rPr>
                <w:rFonts w:eastAsia="黑体"/>
                <w:sz w:val="24"/>
                <w:szCs w:val="22"/>
              </w:rPr>
              <w:t>25</w:t>
            </w:r>
            <w:r>
              <w:rPr>
                <w:rFonts w:hint="eastAsia" w:eastAsia="黑体"/>
                <w:sz w:val="24"/>
                <w:szCs w:val="22"/>
              </w:rPr>
              <w:t xml:space="preserve">    项目各声源的源强及治理后噪声级    单位：dB（A）</w:t>
            </w:r>
          </w:p>
          <w:tbl>
            <w:tblPr>
              <w:tblStyle w:val="22"/>
              <w:tblW w:w="7936" w:type="dxa"/>
              <w:tblInd w:w="0"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28" w:type="dxa"/>
                <w:left w:w="108" w:type="dxa"/>
                <w:bottom w:w="28" w:type="dxa"/>
                <w:right w:w="108" w:type="dxa"/>
              </w:tblCellMar>
            </w:tblPr>
            <w:tblGrid>
              <w:gridCol w:w="683"/>
              <w:gridCol w:w="1562"/>
              <w:gridCol w:w="1100"/>
              <w:gridCol w:w="936"/>
              <w:gridCol w:w="2364"/>
              <w:gridCol w:w="1291"/>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PrEx>
              <w:tc>
                <w:tcPr>
                  <w:tcW w:w="683" w:type="dxa"/>
                  <w:vAlign w:val="center"/>
                </w:tcPr>
                <w:p>
                  <w:pPr>
                    <w:adjustRightInd w:val="0"/>
                    <w:snapToGrid w:val="0"/>
                    <w:jc w:val="center"/>
                    <w:rPr>
                      <w:kern w:val="0"/>
                      <w:szCs w:val="21"/>
                    </w:rPr>
                  </w:pPr>
                  <w:r>
                    <w:rPr>
                      <w:rFonts w:hint="eastAsia"/>
                      <w:kern w:val="0"/>
                      <w:szCs w:val="21"/>
                    </w:rPr>
                    <w:t>序号</w:t>
                  </w:r>
                </w:p>
              </w:tc>
              <w:tc>
                <w:tcPr>
                  <w:tcW w:w="1562" w:type="dxa"/>
                  <w:vAlign w:val="center"/>
                </w:tcPr>
                <w:p>
                  <w:pPr>
                    <w:adjustRightInd w:val="0"/>
                    <w:snapToGrid w:val="0"/>
                    <w:jc w:val="center"/>
                    <w:rPr>
                      <w:kern w:val="0"/>
                      <w:szCs w:val="21"/>
                    </w:rPr>
                  </w:pPr>
                  <w:r>
                    <w:rPr>
                      <w:rFonts w:hint="eastAsia"/>
                      <w:kern w:val="0"/>
                      <w:szCs w:val="21"/>
                    </w:rPr>
                    <w:t>设备名称</w:t>
                  </w:r>
                </w:p>
              </w:tc>
              <w:tc>
                <w:tcPr>
                  <w:tcW w:w="1100" w:type="dxa"/>
                  <w:vAlign w:val="center"/>
                </w:tcPr>
                <w:p>
                  <w:pPr>
                    <w:adjustRightInd w:val="0"/>
                    <w:snapToGrid w:val="0"/>
                    <w:jc w:val="center"/>
                    <w:rPr>
                      <w:kern w:val="0"/>
                      <w:szCs w:val="21"/>
                    </w:rPr>
                  </w:pPr>
                  <w:r>
                    <w:rPr>
                      <w:rFonts w:hint="eastAsia"/>
                      <w:kern w:val="0"/>
                      <w:szCs w:val="21"/>
                    </w:rPr>
                    <w:t>数量（台）</w:t>
                  </w:r>
                </w:p>
              </w:tc>
              <w:tc>
                <w:tcPr>
                  <w:tcW w:w="936" w:type="dxa"/>
                  <w:vAlign w:val="center"/>
                </w:tcPr>
                <w:p>
                  <w:pPr>
                    <w:adjustRightInd w:val="0"/>
                    <w:snapToGrid w:val="0"/>
                    <w:jc w:val="center"/>
                    <w:rPr>
                      <w:kern w:val="0"/>
                      <w:szCs w:val="21"/>
                    </w:rPr>
                  </w:pPr>
                  <w:r>
                    <w:rPr>
                      <w:rFonts w:hint="eastAsia"/>
                      <w:kern w:val="0"/>
                      <w:szCs w:val="21"/>
                    </w:rPr>
                    <w:t>源强</w:t>
                  </w:r>
                </w:p>
              </w:tc>
              <w:tc>
                <w:tcPr>
                  <w:tcW w:w="2364" w:type="dxa"/>
                  <w:vAlign w:val="center"/>
                </w:tcPr>
                <w:p>
                  <w:pPr>
                    <w:adjustRightInd w:val="0"/>
                    <w:snapToGrid w:val="0"/>
                    <w:jc w:val="center"/>
                    <w:rPr>
                      <w:kern w:val="0"/>
                      <w:szCs w:val="21"/>
                    </w:rPr>
                  </w:pPr>
                  <w:r>
                    <w:rPr>
                      <w:rFonts w:hint="eastAsia"/>
                      <w:kern w:val="0"/>
                      <w:szCs w:val="21"/>
                    </w:rPr>
                    <w:t>噪声防治措施</w:t>
                  </w:r>
                </w:p>
              </w:tc>
              <w:tc>
                <w:tcPr>
                  <w:tcW w:w="1291" w:type="dxa"/>
                  <w:vAlign w:val="center"/>
                </w:tcPr>
                <w:p>
                  <w:pPr>
                    <w:adjustRightInd w:val="0"/>
                    <w:snapToGrid w:val="0"/>
                    <w:jc w:val="center"/>
                    <w:rPr>
                      <w:kern w:val="0"/>
                      <w:szCs w:val="21"/>
                    </w:rPr>
                  </w:pPr>
                  <w:r>
                    <w:rPr>
                      <w:rFonts w:hint="eastAsia"/>
                      <w:kern w:val="0"/>
                      <w:szCs w:val="21"/>
                    </w:rPr>
                    <w:t>衰减后源强</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28" w:type="dxa"/>
                  <w:left w:w="108" w:type="dxa"/>
                  <w:bottom w:w="28" w:type="dxa"/>
                  <w:right w:w="108" w:type="dxa"/>
                </w:tblCellMar>
              </w:tblPrEx>
              <w:trPr>
                <w:trHeight w:val="437" w:hRule="atLeast"/>
              </w:trPr>
              <w:tc>
                <w:tcPr>
                  <w:tcW w:w="683" w:type="dxa"/>
                  <w:vAlign w:val="center"/>
                </w:tcPr>
                <w:p>
                  <w:pPr>
                    <w:adjustRightInd w:val="0"/>
                    <w:snapToGrid w:val="0"/>
                    <w:jc w:val="center"/>
                    <w:rPr>
                      <w:kern w:val="0"/>
                      <w:szCs w:val="21"/>
                    </w:rPr>
                  </w:pPr>
                  <w:r>
                    <w:rPr>
                      <w:rFonts w:hint="eastAsia"/>
                      <w:kern w:val="0"/>
                      <w:szCs w:val="21"/>
                    </w:rPr>
                    <w:t>1</w:t>
                  </w:r>
                </w:p>
              </w:tc>
              <w:tc>
                <w:tcPr>
                  <w:tcW w:w="1562" w:type="dxa"/>
                  <w:vAlign w:val="center"/>
                </w:tcPr>
                <w:p>
                  <w:pPr>
                    <w:adjustRightInd w:val="0"/>
                    <w:snapToGrid w:val="0"/>
                    <w:jc w:val="center"/>
                    <w:rPr>
                      <w:kern w:val="0"/>
                      <w:szCs w:val="21"/>
                    </w:rPr>
                  </w:pPr>
                  <w:r>
                    <w:rPr>
                      <w:rFonts w:hint="eastAsia"/>
                      <w:kern w:val="0"/>
                      <w:szCs w:val="21"/>
                    </w:rPr>
                    <w:t>分选机</w:t>
                  </w:r>
                </w:p>
              </w:tc>
              <w:tc>
                <w:tcPr>
                  <w:tcW w:w="1100" w:type="dxa"/>
                  <w:vAlign w:val="center"/>
                </w:tcPr>
                <w:p>
                  <w:pPr>
                    <w:adjustRightInd w:val="0"/>
                    <w:snapToGrid w:val="0"/>
                    <w:jc w:val="center"/>
                    <w:rPr>
                      <w:kern w:val="0"/>
                      <w:szCs w:val="21"/>
                    </w:rPr>
                  </w:pPr>
                  <w:r>
                    <w:rPr>
                      <w:kern w:val="0"/>
                      <w:szCs w:val="21"/>
                    </w:rPr>
                    <w:t>1</w:t>
                  </w:r>
                </w:p>
              </w:tc>
              <w:tc>
                <w:tcPr>
                  <w:tcW w:w="936" w:type="dxa"/>
                  <w:vAlign w:val="center"/>
                </w:tcPr>
                <w:p>
                  <w:pPr>
                    <w:adjustRightInd w:val="0"/>
                    <w:snapToGrid w:val="0"/>
                    <w:jc w:val="center"/>
                    <w:rPr>
                      <w:kern w:val="0"/>
                      <w:szCs w:val="21"/>
                    </w:rPr>
                  </w:pPr>
                  <w:r>
                    <w:rPr>
                      <w:rFonts w:hint="eastAsia"/>
                      <w:kern w:val="0"/>
                      <w:szCs w:val="21"/>
                    </w:rPr>
                    <w:t>80</w:t>
                  </w:r>
                </w:p>
              </w:tc>
              <w:tc>
                <w:tcPr>
                  <w:tcW w:w="2364" w:type="dxa"/>
                  <w:vAlign w:val="center"/>
                </w:tcPr>
                <w:p>
                  <w:pPr>
                    <w:spacing w:line="320" w:lineRule="exact"/>
                    <w:jc w:val="center"/>
                    <w:rPr>
                      <w:szCs w:val="21"/>
                    </w:rPr>
                  </w:pPr>
                  <w:r>
                    <w:rPr>
                      <w:rFonts w:hint="eastAsia"/>
                      <w:szCs w:val="21"/>
                    </w:rPr>
                    <w:t>基础减振、厂房隔声</w:t>
                  </w:r>
                </w:p>
              </w:tc>
              <w:tc>
                <w:tcPr>
                  <w:tcW w:w="1291" w:type="dxa"/>
                  <w:vAlign w:val="center"/>
                </w:tcPr>
                <w:p>
                  <w:pPr>
                    <w:adjustRightInd w:val="0"/>
                    <w:snapToGrid w:val="0"/>
                    <w:jc w:val="center"/>
                    <w:rPr>
                      <w:kern w:val="0"/>
                      <w:szCs w:val="21"/>
                    </w:rPr>
                  </w:pPr>
                  <w:r>
                    <w:rPr>
                      <w:kern w:val="0"/>
                      <w:szCs w:val="21"/>
                    </w:rPr>
                    <w:t>60</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28" w:type="dxa"/>
                  <w:left w:w="108" w:type="dxa"/>
                  <w:bottom w:w="28" w:type="dxa"/>
                  <w:right w:w="108" w:type="dxa"/>
                </w:tblCellMar>
              </w:tblPrEx>
              <w:trPr>
                <w:trHeight w:val="429" w:hRule="atLeast"/>
              </w:trPr>
              <w:tc>
                <w:tcPr>
                  <w:tcW w:w="683" w:type="dxa"/>
                  <w:vAlign w:val="center"/>
                </w:tcPr>
                <w:p>
                  <w:pPr>
                    <w:adjustRightInd w:val="0"/>
                    <w:snapToGrid w:val="0"/>
                    <w:jc w:val="center"/>
                    <w:rPr>
                      <w:kern w:val="0"/>
                      <w:szCs w:val="21"/>
                    </w:rPr>
                  </w:pPr>
                  <w:r>
                    <w:rPr>
                      <w:rFonts w:hint="eastAsia"/>
                      <w:kern w:val="0"/>
                      <w:szCs w:val="21"/>
                    </w:rPr>
                    <w:t>2</w:t>
                  </w:r>
                </w:p>
              </w:tc>
              <w:tc>
                <w:tcPr>
                  <w:tcW w:w="1562" w:type="dxa"/>
                  <w:vAlign w:val="center"/>
                </w:tcPr>
                <w:p>
                  <w:pPr>
                    <w:adjustRightInd w:val="0"/>
                    <w:snapToGrid w:val="0"/>
                    <w:jc w:val="center"/>
                    <w:rPr>
                      <w:kern w:val="0"/>
                      <w:szCs w:val="21"/>
                    </w:rPr>
                  </w:pPr>
                  <w:r>
                    <w:rPr>
                      <w:rFonts w:hint="eastAsia"/>
                      <w:kern w:val="0"/>
                      <w:szCs w:val="21"/>
                    </w:rPr>
                    <w:t>高细管磨机</w:t>
                  </w:r>
                </w:p>
              </w:tc>
              <w:tc>
                <w:tcPr>
                  <w:tcW w:w="1100" w:type="dxa"/>
                  <w:vAlign w:val="center"/>
                </w:tcPr>
                <w:p>
                  <w:pPr>
                    <w:adjustRightInd w:val="0"/>
                    <w:snapToGrid w:val="0"/>
                    <w:jc w:val="center"/>
                    <w:rPr>
                      <w:kern w:val="0"/>
                      <w:szCs w:val="21"/>
                    </w:rPr>
                  </w:pPr>
                  <w:r>
                    <w:rPr>
                      <w:kern w:val="0"/>
                      <w:szCs w:val="21"/>
                    </w:rPr>
                    <w:t>1</w:t>
                  </w:r>
                </w:p>
              </w:tc>
              <w:tc>
                <w:tcPr>
                  <w:tcW w:w="936" w:type="dxa"/>
                  <w:vAlign w:val="center"/>
                </w:tcPr>
                <w:p>
                  <w:pPr>
                    <w:adjustRightInd w:val="0"/>
                    <w:snapToGrid w:val="0"/>
                    <w:jc w:val="center"/>
                    <w:rPr>
                      <w:kern w:val="0"/>
                      <w:szCs w:val="21"/>
                    </w:rPr>
                  </w:pPr>
                  <w:r>
                    <w:rPr>
                      <w:rFonts w:hint="eastAsia"/>
                      <w:kern w:val="0"/>
                      <w:szCs w:val="21"/>
                    </w:rPr>
                    <w:t>85</w:t>
                  </w:r>
                </w:p>
              </w:tc>
              <w:tc>
                <w:tcPr>
                  <w:tcW w:w="2364" w:type="dxa"/>
                  <w:vAlign w:val="center"/>
                </w:tcPr>
                <w:p>
                  <w:pPr>
                    <w:spacing w:line="320" w:lineRule="exact"/>
                    <w:jc w:val="center"/>
                    <w:rPr>
                      <w:szCs w:val="21"/>
                    </w:rPr>
                  </w:pPr>
                  <w:r>
                    <w:rPr>
                      <w:rFonts w:hint="eastAsia"/>
                      <w:szCs w:val="21"/>
                    </w:rPr>
                    <w:t>基础减振、厂房隔声</w:t>
                  </w:r>
                </w:p>
              </w:tc>
              <w:tc>
                <w:tcPr>
                  <w:tcW w:w="1291" w:type="dxa"/>
                  <w:vAlign w:val="center"/>
                </w:tcPr>
                <w:p>
                  <w:pPr>
                    <w:adjustRightInd w:val="0"/>
                    <w:snapToGrid w:val="0"/>
                    <w:jc w:val="center"/>
                    <w:rPr>
                      <w:kern w:val="0"/>
                      <w:szCs w:val="21"/>
                    </w:rPr>
                  </w:pPr>
                  <w:r>
                    <w:rPr>
                      <w:kern w:val="0"/>
                      <w:szCs w:val="21"/>
                    </w:rPr>
                    <w:t>65</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28" w:type="dxa"/>
                  <w:left w:w="108" w:type="dxa"/>
                  <w:bottom w:w="28" w:type="dxa"/>
                  <w:right w:w="108" w:type="dxa"/>
                </w:tblCellMar>
              </w:tblPrEx>
              <w:trPr>
                <w:trHeight w:val="427" w:hRule="atLeast"/>
              </w:trPr>
              <w:tc>
                <w:tcPr>
                  <w:tcW w:w="683" w:type="dxa"/>
                  <w:vAlign w:val="center"/>
                </w:tcPr>
                <w:p>
                  <w:pPr>
                    <w:adjustRightInd w:val="0"/>
                    <w:snapToGrid w:val="0"/>
                    <w:jc w:val="center"/>
                    <w:rPr>
                      <w:kern w:val="0"/>
                      <w:szCs w:val="21"/>
                    </w:rPr>
                  </w:pPr>
                  <w:r>
                    <w:rPr>
                      <w:kern w:val="0"/>
                      <w:szCs w:val="21"/>
                    </w:rPr>
                    <w:t>3</w:t>
                  </w:r>
                </w:p>
              </w:tc>
              <w:tc>
                <w:tcPr>
                  <w:tcW w:w="1562" w:type="dxa"/>
                  <w:vAlign w:val="center"/>
                </w:tcPr>
                <w:p>
                  <w:pPr>
                    <w:adjustRightInd w:val="0"/>
                    <w:snapToGrid w:val="0"/>
                    <w:jc w:val="center"/>
                    <w:rPr>
                      <w:kern w:val="0"/>
                      <w:szCs w:val="21"/>
                    </w:rPr>
                  </w:pPr>
                  <w:r>
                    <w:rPr>
                      <w:rFonts w:hint="eastAsia"/>
                      <w:kern w:val="0"/>
                      <w:szCs w:val="21"/>
                    </w:rPr>
                    <w:t>散装机</w:t>
                  </w:r>
                </w:p>
              </w:tc>
              <w:tc>
                <w:tcPr>
                  <w:tcW w:w="1100" w:type="dxa"/>
                  <w:vAlign w:val="center"/>
                </w:tcPr>
                <w:p>
                  <w:pPr>
                    <w:adjustRightInd w:val="0"/>
                    <w:snapToGrid w:val="0"/>
                    <w:jc w:val="center"/>
                    <w:rPr>
                      <w:kern w:val="0"/>
                      <w:szCs w:val="21"/>
                    </w:rPr>
                  </w:pPr>
                  <w:r>
                    <w:rPr>
                      <w:rFonts w:hint="eastAsia"/>
                      <w:kern w:val="0"/>
                      <w:szCs w:val="21"/>
                    </w:rPr>
                    <w:t>1</w:t>
                  </w:r>
                </w:p>
              </w:tc>
              <w:tc>
                <w:tcPr>
                  <w:tcW w:w="936" w:type="dxa"/>
                  <w:vAlign w:val="center"/>
                </w:tcPr>
                <w:p>
                  <w:pPr>
                    <w:adjustRightInd w:val="0"/>
                    <w:snapToGrid w:val="0"/>
                    <w:jc w:val="center"/>
                    <w:rPr>
                      <w:kern w:val="0"/>
                      <w:szCs w:val="21"/>
                    </w:rPr>
                  </w:pPr>
                  <w:r>
                    <w:rPr>
                      <w:kern w:val="0"/>
                      <w:szCs w:val="21"/>
                    </w:rPr>
                    <w:t>75</w:t>
                  </w:r>
                </w:p>
              </w:tc>
              <w:tc>
                <w:tcPr>
                  <w:tcW w:w="2364" w:type="dxa"/>
                  <w:vAlign w:val="center"/>
                </w:tcPr>
                <w:p>
                  <w:pPr>
                    <w:spacing w:line="320" w:lineRule="exact"/>
                    <w:jc w:val="center"/>
                    <w:rPr>
                      <w:szCs w:val="21"/>
                    </w:rPr>
                  </w:pPr>
                  <w:r>
                    <w:rPr>
                      <w:rFonts w:hint="eastAsia"/>
                      <w:szCs w:val="21"/>
                    </w:rPr>
                    <w:t>基础减振</w:t>
                  </w:r>
                </w:p>
              </w:tc>
              <w:tc>
                <w:tcPr>
                  <w:tcW w:w="1291" w:type="dxa"/>
                  <w:vAlign w:val="center"/>
                </w:tcPr>
                <w:p>
                  <w:pPr>
                    <w:adjustRightInd w:val="0"/>
                    <w:snapToGrid w:val="0"/>
                    <w:jc w:val="center"/>
                    <w:rPr>
                      <w:kern w:val="0"/>
                      <w:szCs w:val="21"/>
                    </w:rPr>
                  </w:pPr>
                  <w:r>
                    <w:rPr>
                      <w:kern w:val="0"/>
                      <w:szCs w:val="21"/>
                    </w:rPr>
                    <w:t>55</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28" w:type="dxa"/>
                  <w:left w:w="108" w:type="dxa"/>
                  <w:bottom w:w="28" w:type="dxa"/>
                  <w:right w:w="108" w:type="dxa"/>
                </w:tblCellMar>
              </w:tblPrEx>
              <w:trPr>
                <w:trHeight w:val="427" w:hRule="atLeast"/>
              </w:trPr>
              <w:tc>
                <w:tcPr>
                  <w:tcW w:w="683" w:type="dxa"/>
                  <w:vAlign w:val="center"/>
                </w:tcPr>
                <w:p>
                  <w:pPr>
                    <w:adjustRightInd w:val="0"/>
                    <w:snapToGrid w:val="0"/>
                    <w:jc w:val="center"/>
                    <w:rPr>
                      <w:kern w:val="0"/>
                      <w:szCs w:val="21"/>
                    </w:rPr>
                  </w:pPr>
                  <w:r>
                    <w:rPr>
                      <w:kern w:val="0"/>
                      <w:szCs w:val="21"/>
                    </w:rPr>
                    <w:t>4</w:t>
                  </w:r>
                </w:p>
              </w:tc>
              <w:tc>
                <w:tcPr>
                  <w:tcW w:w="1562" w:type="dxa"/>
                  <w:vAlign w:val="center"/>
                </w:tcPr>
                <w:p>
                  <w:pPr>
                    <w:adjustRightInd w:val="0"/>
                    <w:snapToGrid w:val="0"/>
                    <w:jc w:val="center"/>
                    <w:rPr>
                      <w:kern w:val="0"/>
                      <w:szCs w:val="21"/>
                    </w:rPr>
                  </w:pPr>
                  <w:r>
                    <w:rPr>
                      <w:rFonts w:hint="eastAsia"/>
                      <w:kern w:val="0"/>
                      <w:szCs w:val="21"/>
                    </w:rPr>
                    <w:t>提升机</w:t>
                  </w:r>
                </w:p>
              </w:tc>
              <w:tc>
                <w:tcPr>
                  <w:tcW w:w="1100" w:type="dxa"/>
                  <w:vAlign w:val="center"/>
                </w:tcPr>
                <w:p>
                  <w:pPr>
                    <w:adjustRightInd w:val="0"/>
                    <w:snapToGrid w:val="0"/>
                    <w:jc w:val="center"/>
                    <w:rPr>
                      <w:kern w:val="0"/>
                      <w:szCs w:val="21"/>
                    </w:rPr>
                  </w:pPr>
                  <w:r>
                    <w:rPr>
                      <w:rFonts w:hint="eastAsia"/>
                      <w:kern w:val="0"/>
                      <w:szCs w:val="21"/>
                    </w:rPr>
                    <w:t>2</w:t>
                  </w:r>
                </w:p>
              </w:tc>
              <w:tc>
                <w:tcPr>
                  <w:tcW w:w="936" w:type="dxa"/>
                  <w:vAlign w:val="center"/>
                </w:tcPr>
                <w:p>
                  <w:pPr>
                    <w:adjustRightInd w:val="0"/>
                    <w:snapToGrid w:val="0"/>
                    <w:jc w:val="center"/>
                    <w:rPr>
                      <w:kern w:val="0"/>
                      <w:szCs w:val="21"/>
                    </w:rPr>
                  </w:pPr>
                  <w:r>
                    <w:rPr>
                      <w:kern w:val="0"/>
                      <w:szCs w:val="21"/>
                    </w:rPr>
                    <w:t>80</w:t>
                  </w:r>
                </w:p>
              </w:tc>
              <w:tc>
                <w:tcPr>
                  <w:tcW w:w="2364" w:type="dxa"/>
                  <w:vAlign w:val="center"/>
                </w:tcPr>
                <w:p>
                  <w:pPr>
                    <w:spacing w:line="320" w:lineRule="exact"/>
                    <w:jc w:val="center"/>
                    <w:rPr>
                      <w:szCs w:val="21"/>
                    </w:rPr>
                  </w:pPr>
                  <w:r>
                    <w:rPr>
                      <w:rFonts w:hint="eastAsia"/>
                      <w:szCs w:val="21"/>
                    </w:rPr>
                    <w:t>基础减振</w:t>
                  </w:r>
                </w:p>
              </w:tc>
              <w:tc>
                <w:tcPr>
                  <w:tcW w:w="1291" w:type="dxa"/>
                  <w:vAlign w:val="center"/>
                </w:tcPr>
                <w:p>
                  <w:pPr>
                    <w:adjustRightInd w:val="0"/>
                    <w:snapToGrid w:val="0"/>
                    <w:jc w:val="center"/>
                    <w:rPr>
                      <w:kern w:val="0"/>
                      <w:szCs w:val="21"/>
                    </w:rPr>
                  </w:pPr>
                  <w:r>
                    <w:rPr>
                      <w:kern w:val="0"/>
                      <w:szCs w:val="21"/>
                    </w:rPr>
                    <w:t>60</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28" w:type="dxa"/>
                  <w:left w:w="108" w:type="dxa"/>
                  <w:bottom w:w="28" w:type="dxa"/>
                  <w:right w:w="108" w:type="dxa"/>
                </w:tblCellMar>
              </w:tblPrEx>
              <w:trPr>
                <w:trHeight w:val="427" w:hRule="atLeast"/>
              </w:trPr>
              <w:tc>
                <w:tcPr>
                  <w:tcW w:w="683" w:type="dxa"/>
                  <w:vAlign w:val="center"/>
                </w:tcPr>
                <w:p>
                  <w:pPr>
                    <w:adjustRightInd w:val="0"/>
                    <w:snapToGrid w:val="0"/>
                    <w:jc w:val="center"/>
                    <w:rPr>
                      <w:kern w:val="0"/>
                      <w:szCs w:val="21"/>
                    </w:rPr>
                  </w:pPr>
                  <w:r>
                    <w:rPr>
                      <w:rFonts w:hint="eastAsia"/>
                      <w:kern w:val="0"/>
                      <w:szCs w:val="21"/>
                    </w:rPr>
                    <w:t>5</w:t>
                  </w:r>
                </w:p>
              </w:tc>
              <w:tc>
                <w:tcPr>
                  <w:tcW w:w="1562" w:type="dxa"/>
                  <w:vAlign w:val="center"/>
                </w:tcPr>
                <w:p>
                  <w:pPr>
                    <w:adjustRightInd w:val="0"/>
                    <w:snapToGrid w:val="0"/>
                    <w:jc w:val="center"/>
                    <w:rPr>
                      <w:kern w:val="0"/>
                      <w:szCs w:val="21"/>
                    </w:rPr>
                  </w:pPr>
                  <w:r>
                    <w:rPr>
                      <w:rFonts w:hint="eastAsia"/>
                      <w:kern w:val="0"/>
                      <w:szCs w:val="21"/>
                    </w:rPr>
                    <w:t>鼓风机</w:t>
                  </w:r>
                </w:p>
              </w:tc>
              <w:tc>
                <w:tcPr>
                  <w:tcW w:w="1100" w:type="dxa"/>
                  <w:vAlign w:val="center"/>
                </w:tcPr>
                <w:p>
                  <w:pPr>
                    <w:adjustRightInd w:val="0"/>
                    <w:snapToGrid w:val="0"/>
                    <w:jc w:val="center"/>
                    <w:rPr>
                      <w:kern w:val="0"/>
                      <w:szCs w:val="21"/>
                    </w:rPr>
                  </w:pPr>
                  <w:r>
                    <w:rPr>
                      <w:rFonts w:hint="eastAsia"/>
                      <w:kern w:val="0"/>
                      <w:szCs w:val="21"/>
                    </w:rPr>
                    <w:t>3</w:t>
                  </w:r>
                </w:p>
              </w:tc>
              <w:tc>
                <w:tcPr>
                  <w:tcW w:w="936" w:type="dxa"/>
                  <w:vAlign w:val="center"/>
                </w:tcPr>
                <w:p>
                  <w:pPr>
                    <w:adjustRightInd w:val="0"/>
                    <w:snapToGrid w:val="0"/>
                    <w:jc w:val="center"/>
                    <w:rPr>
                      <w:kern w:val="0"/>
                      <w:szCs w:val="21"/>
                    </w:rPr>
                  </w:pPr>
                  <w:r>
                    <w:rPr>
                      <w:rFonts w:hint="eastAsia"/>
                      <w:kern w:val="0"/>
                      <w:szCs w:val="21"/>
                    </w:rPr>
                    <w:t>85</w:t>
                  </w:r>
                </w:p>
              </w:tc>
              <w:tc>
                <w:tcPr>
                  <w:tcW w:w="2364" w:type="dxa"/>
                  <w:vAlign w:val="center"/>
                </w:tcPr>
                <w:p>
                  <w:pPr>
                    <w:spacing w:line="320" w:lineRule="exact"/>
                    <w:jc w:val="center"/>
                    <w:rPr>
                      <w:szCs w:val="21"/>
                    </w:rPr>
                  </w:pPr>
                  <w:r>
                    <w:rPr>
                      <w:rFonts w:hint="eastAsia"/>
                      <w:szCs w:val="21"/>
                    </w:rPr>
                    <w:t>安装消声器、阻尼减振</w:t>
                  </w:r>
                </w:p>
              </w:tc>
              <w:tc>
                <w:tcPr>
                  <w:tcW w:w="1291" w:type="dxa"/>
                  <w:vAlign w:val="center"/>
                </w:tcPr>
                <w:p>
                  <w:pPr>
                    <w:adjustRightInd w:val="0"/>
                    <w:snapToGrid w:val="0"/>
                    <w:jc w:val="center"/>
                    <w:rPr>
                      <w:kern w:val="0"/>
                      <w:szCs w:val="21"/>
                    </w:rPr>
                  </w:pPr>
                  <w:r>
                    <w:rPr>
                      <w:kern w:val="0"/>
                      <w:szCs w:val="21"/>
                    </w:rPr>
                    <w:t>65</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28" w:type="dxa"/>
                  <w:left w:w="108" w:type="dxa"/>
                  <w:bottom w:w="28" w:type="dxa"/>
                  <w:right w:w="108" w:type="dxa"/>
                </w:tblCellMar>
              </w:tblPrEx>
              <w:trPr>
                <w:trHeight w:val="427" w:hRule="atLeast"/>
              </w:trPr>
              <w:tc>
                <w:tcPr>
                  <w:tcW w:w="683" w:type="dxa"/>
                  <w:vAlign w:val="center"/>
                </w:tcPr>
                <w:p>
                  <w:pPr>
                    <w:adjustRightInd w:val="0"/>
                    <w:snapToGrid w:val="0"/>
                    <w:jc w:val="center"/>
                    <w:rPr>
                      <w:kern w:val="0"/>
                      <w:szCs w:val="21"/>
                    </w:rPr>
                  </w:pPr>
                  <w:r>
                    <w:rPr>
                      <w:kern w:val="0"/>
                      <w:szCs w:val="21"/>
                    </w:rPr>
                    <w:t>6</w:t>
                  </w:r>
                </w:p>
              </w:tc>
              <w:tc>
                <w:tcPr>
                  <w:tcW w:w="1562" w:type="dxa"/>
                  <w:vAlign w:val="center"/>
                </w:tcPr>
                <w:p>
                  <w:pPr>
                    <w:adjustRightInd w:val="0"/>
                    <w:snapToGrid w:val="0"/>
                    <w:jc w:val="center"/>
                    <w:rPr>
                      <w:kern w:val="0"/>
                      <w:szCs w:val="21"/>
                    </w:rPr>
                  </w:pPr>
                  <w:r>
                    <w:rPr>
                      <w:rFonts w:hint="eastAsia"/>
                      <w:kern w:val="0"/>
                      <w:szCs w:val="21"/>
                    </w:rPr>
                    <w:t>除尘器风机</w:t>
                  </w:r>
                </w:p>
              </w:tc>
              <w:tc>
                <w:tcPr>
                  <w:tcW w:w="1100" w:type="dxa"/>
                  <w:vAlign w:val="center"/>
                </w:tcPr>
                <w:p>
                  <w:pPr>
                    <w:adjustRightInd w:val="0"/>
                    <w:snapToGrid w:val="0"/>
                    <w:jc w:val="center"/>
                    <w:rPr>
                      <w:kern w:val="0"/>
                      <w:szCs w:val="21"/>
                    </w:rPr>
                  </w:pPr>
                  <w:r>
                    <w:rPr>
                      <w:kern w:val="0"/>
                      <w:szCs w:val="21"/>
                    </w:rPr>
                    <w:t>5</w:t>
                  </w:r>
                </w:p>
              </w:tc>
              <w:tc>
                <w:tcPr>
                  <w:tcW w:w="936" w:type="dxa"/>
                  <w:vAlign w:val="center"/>
                </w:tcPr>
                <w:p>
                  <w:pPr>
                    <w:adjustRightInd w:val="0"/>
                    <w:snapToGrid w:val="0"/>
                    <w:jc w:val="center"/>
                    <w:rPr>
                      <w:kern w:val="0"/>
                      <w:szCs w:val="21"/>
                    </w:rPr>
                  </w:pPr>
                  <w:r>
                    <w:rPr>
                      <w:kern w:val="0"/>
                      <w:szCs w:val="21"/>
                    </w:rPr>
                    <w:t>75</w:t>
                  </w:r>
                </w:p>
              </w:tc>
              <w:tc>
                <w:tcPr>
                  <w:tcW w:w="2364" w:type="dxa"/>
                  <w:vAlign w:val="center"/>
                </w:tcPr>
                <w:p>
                  <w:pPr>
                    <w:adjustRightInd w:val="0"/>
                    <w:snapToGrid w:val="0"/>
                    <w:jc w:val="left"/>
                    <w:rPr>
                      <w:kern w:val="0"/>
                      <w:szCs w:val="21"/>
                    </w:rPr>
                  </w:pPr>
                  <w:r>
                    <w:rPr>
                      <w:rFonts w:hint="eastAsia"/>
                      <w:szCs w:val="21"/>
                    </w:rPr>
                    <w:t>安装消声器、阻尼减振</w:t>
                  </w:r>
                </w:p>
              </w:tc>
              <w:tc>
                <w:tcPr>
                  <w:tcW w:w="1291" w:type="dxa"/>
                  <w:vAlign w:val="center"/>
                </w:tcPr>
                <w:p>
                  <w:pPr>
                    <w:adjustRightInd w:val="0"/>
                    <w:snapToGrid w:val="0"/>
                    <w:jc w:val="center"/>
                    <w:rPr>
                      <w:kern w:val="0"/>
                      <w:szCs w:val="21"/>
                    </w:rPr>
                  </w:pPr>
                  <w:r>
                    <w:rPr>
                      <w:kern w:val="0"/>
                      <w:szCs w:val="21"/>
                    </w:rPr>
                    <w:t>55</w:t>
                  </w:r>
                </w:p>
              </w:tc>
            </w:tr>
          </w:tbl>
          <w:p>
            <w:pPr>
              <w:adjustRightInd w:val="0"/>
              <w:snapToGrid w:val="0"/>
              <w:spacing w:before="120" w:beforeLines="50" w:line="360" w:lineRule="auto"/>
              <w:ind w:firstLine="482" w:firstLineChars="200"/>
              <w:jc w:val="left"/>
              <w:rPr>
                <w:b/>
                <w:snapToGrid w:val="0"/>
                <w:kern w:val="0"/>
                <w:sz w:val="24"/>
              </w:rPr>
            </w:pPr>
            <w:r>
              <w:rPr>
                <w:rFonts w:hint="eastAsia"/>
                <w:b/>
                <w:snapToGrid w:val="0"/>
                <w:kern w:val="0"/>
                <w:sz w:val="24"/>
              </w:rPr>
              <w:t>3.2 声环境影响分析</w:t>
            </w:r>
          </w:p>
          <w:p>
            <w:pPr>
              <w:adjustRightInd w:val="0"/>
              <w:snapToGrid w:val="0"/>
              <w:spacing w:line="360" w:lineRule="auto"/>
              <w:ind w:firstLine="480" w:firstLineChars="200"/>
              <w:rPr>
                <w:kern w:val="0"/>
                <w:sz w:val="24"/>
              </w:rPr>
            </w:pPr>
            <w:r>
              <w:rPr>
                <w:rFonts w:hint="eastAsia"/>
                <w:kern w:val="0"/>
                <w:sz w:val="24"/>
              </w:rPr>
              <w:t>本项目分选机</w:t>
            </w:r>
            <w:r>
              <w:rPr>
                <w:kern w:val="0"/>
                <w:sz w:val="24"/>
              </w:rPr>
              <w:t>、</w:t>
            </w:r>
            <w:r>
              <w:rPr>
                <w:rFonts w:hint="eastAsia"/>
                <w:kern w:val="0"/>
                <w:sz w:val="24"/>
              </w:rPr>
              <w:t>高</w:t>
            </w:r>
            <w:r>
              <w:rPr>
                <w:kern w:val="0"/>
                <w:sz w:val="24"/>
              </w:rPr>
              <w:t>细管磨机等</w:t>
            </w:r>
            <w:r>
              <w:rPr>
                <w:rFonts w:hint="eastAsia"/>
                <w:kern w:val="0"/>
                <w:sz w:val="24"/>
              </w:rPr>
              <w:t>生产设备均设置在车间内，评价要求对高噪声设备安装减振基础，对</w:t>
            </w:r>
            <w:r>
              <w:rPr>
                <w:kern w:val="0"/>
                <w:sz w:val="24"/>
              </w:rPr>
              <w:t>风机</w:t>
            </w:r>
            <w:r>
              <w:rPr>
                <w:rFonts w:hint="eastAsia"/>
                <w:kern w:val="0"/>
                <w:sz w:val="24"/>
              </w:rPr>
              <w:t>安装消声器、阻尼减振，并定期对各类设备进行日常检修，确保其处于良好的运行状态，以避免异常噪声的产生，采取以上措施后各高噪设备可降低15</w:t>
            </w:r>
            <w:r>
              <w:rPr>
                <w:kern w:val="0"/>
                <w:sz w:val="24"/>
              </w:rPr>
              <w:t>~</w:t>
            </w:r>
            <w:r>
              <w:rPr>
                <w:rFonts w:hint="eastAsia"/>
                <w:kern w:val="0"/>
                <w:sz w:val="24"/>
              </w:rPr>
              <w:t>20dB（A）以上。</w:t>
            </w:r>
          </w:p>
          <w:p>
            <w:pPr>
              <w:adjustRightInd w:val="0"/>
              <w:snapToGrid w:val="0"/>
              <w:spacing w:line="360" w:lineRule="auto"/>
              <w:ind w:firstLine="480" w:firstLineChars="200"/>
              <w:rPr>
                <w:kern w:val="0"/>
                <w:sz w:val="24"/>
              </w:rPr>
            </w:pPr>
            <w:r>
              <w:rPr>
                <w:rFonts w:hint="eastAsia"/>
                <w:kern w:val="0"/>
                <w:sz w:val="24"/>
              </w:rPr>
              <w:t>采用噪声衰减模式计算厂界四周的噪声值，并以此预测本项目厂界达标</w:t>
            </w:r>
          </w:p>
          <w:p>
            <w:pPr>
              <w:adjustRightInd w:val="0"/>
              <w:snapToGrid w:val="0"/>
              <w:spacing w:line="360" w:lineRule="auto"/>
              <w:ind w:firstLine="480" w:firstLineChars="200"/>
              <w:rPr>
                <w:kern w:val="0"/>
                <w:sz w:val="24"/>
              </w:rPr>
            </w:pPr>
          </w:p>
          <w:p>
            <w:pPr>
              <w:adjustRightInd w:val="0"/>
              <w:snapToGrid w:val="0"/>
              <w:spacing w:line="360" w:lineRule="auto"/>
              <w:rPr>
                <w:kern w:val="0"/>
                <w:sz w:val="24"/>
              </w:rPr>
            </w:pPr>
            <w:r>
              <w:rPr>
                <w:rFonts w:hint="eastAsia"/>
                <w:kern w:val="0"/>
                <w:sz w:val="24"/>
              </w:rPr>
              <w:t>情况。</w:t>
            </w:r>
          </w:p>
          <w:p>
            <w:pPr>
              <w:adjustRightInd w:val="0"/>
              <w:snapToGrid w:val="0"/>
              <w:spacing w:line="360" w:lineRule="auto"/>
              <w:ind w:firstLine="480" w:firstLineChars="200"/>
              <w:rPr>
                <w:kern w:val="0"/>
                <w:sz w:val="24"/>
              </w:rPr>
            </w:pPr>
            <w:r>
              <w:rPr>
                <w:rFonts w:hint="eastAsia"/>
                <w:kern w:val="0"/>
                <w:sz w:val="24"/>
              </w:rPr>
              <w:t>（1）点声源衰减公式：</w:t>
            </w:r>
          </w:p>
          <w:p>
            <w:pPr>
              <w:adjustRightInd w:val="0"/>
              <w:snapToGrid w:val="0"/>
              <w:spacing w:line="360" w:lineRule="auto"/>
              <w:ind w:firstLine="480" w:firstLineChars="200"/>
              <w:jc w:val="center"/>
              <w:rPr>
                <w:kern w:val="0"/>
                <w:sz w:val="24"/>
              </w:rPr>
            </w:pPr>
            <w:r>
              <w:rPr>
                <w:rFonts w:hint="eastAsia"/>
                <w:kern w:val="0"/>
                <w:sz w:val="24"/>
              </w:rPr>
              <w:t>L</w:t>
            </w:r>
            <w:r>
              <w:rPr>
                <w:rFonts w:hint="eastAsia"/>
                <w:kern w:val="0"/>
                <w:sz w:val="24"/>
                <w:vertAlign w:val="subscript"/>
              </w:rPr>
              <w:t>p2</w:t>
            </w:r>
            <w:r>
              <w:rPr>
                <w:rFonts w:hint="eastAsia"/>
                <w:kern w:val="0"/>
                <w:sz w:val="24"/>
              </w:rPr>
              <w:t>＝L</w:t>
            </w:r>
            <w:r>
              <w:rPr>
                <w:rFonts w:hint="eastAsia"/>
                <w:kern w:val="0"/>
                <w:sz w:val="24"/>
                <w:vertAlign w:val="subscript"/>
              </w:rPr>
              <w:t>p1</w:t>
            </w:r>
            <w:r>
              <w:rPr>
                <w:rFonts w:hint="eastAsia"/>
                <w:kern w:val="0"/>
                <w:sz w:val="24"/>
              </w:rPr>
              <w:t>－20Lg（r</w:t>
            </w:r>
            <w:r>
              <w:rPr>
                <w:rFonts w:hint="eastAsia"/>
                <w:kern w:val="0"/>
                <w:sz w:val="24"/>
                <w:vertAlign w:val="subscript"/>
              </w:rPr>
              <w:t>2</w:t>
            </w:r>
            <w:r>
              <w:rPr>
                <w:rFonts w:hint="eastAsia"/>
                <w:kern w:val="0"/>
                <w:sz w:val="24"/>
              </w:rPr>
              <w:t>/r</w:t>
            </w:r>
            <w:r>
              <w:rPr>
                <w:rFonts w:hint="eastAsia"/>
                <w:kern w:val="0"/>
                <w:sz w:val="24"/>
                <w:vertAlign w:val="subscript"/>
              </w:rPr>
              <w:t>1</w:t>
            </w:r>
            <w:r>
              <w:rPr>
                <w:rFonts w:hint="eastAsia"/>
                <w:kern w:val="0"/>
                <w:sz w:val="24"/>
              </w:rPr>
              <w:t>）</w:t>
            </w:r>
          </w:p>
          <w:p>
            <w:pPr>
              <w:adjustRightInd w:val="0"/>
              <w:snapToGrid w:val="0"/>
              <w:spacing w:line="360" w:lineRule="auto"/>
              <w:ind w:firstLine="480" w:firstLineChars="200"/>
              <w:rPr>
                <w:kern w:val="0"/>
                <w:sz w:val="24"/>
              </w:rPr>
            </w:pPr>
            <w:r>
              <w:rPr>
                <w:rFonts w:hint="eastAsia"/>
                <w:kern w:val="0"/>
                <w:sz w:val="24"/>
              </w:rPr>
              <w:t>其中：L</w:t>
            </w:r>
            <w:r>
              <w:rPr>
                <w:rFonts w:hint="eastAsia"/>
                <w:kern w:val="0"/>
                <w:sz w:val="24"/>
                <w:vertAlign w:val="subscript"/>
              </w:rPr>
              <w:t>p1</w:t>
            </w:r>
            <w:r>
              <w:rPr>
                <w:rFonts w:hint="eastAsia"/>
                <w:kern w:val="0"/>
                <w:sz w:val="24"/>
              </w:rPr>
              <w:t>—距声源r</w:t>
            </w:r>
            <w:r>
              <w:rPr>
                <w:rFonts w:hint="eastAsia"/>
                <w:kern w:val="0"/>
                <w:sz w:val="24"/>
                <w:vertAlign w:val="subscript"/>
              </w:rPr>
              <w:t>1</w:t>
            </w:r>
            <w:r>
              <w:rPr>
                <w:rFonts w:hint="eastAsia"/>
                <w:kern w:val="0"/>
                <w:sz w:val="24"/>
              </w:rPr>
              <w:t>米处的声压级dB（A）；</w:t>
            </w:r>
          </w:p>
          <w:p>
            <w:pPr>
              <w:adjustRightInd w:val="0"/>
              <w:snapToGrid w:val="0"/>
              <w:spacing w:line="360" w:lineRule="auto"/>
              <w:ind w:firstLine="1200" w:firstLineChars="500"/>
              <w:rPr>
                <w:kern w:val="0"/>
                <w:sz w:val="24"/>
              </w:rPr>
            </w:pPr>
            <w:r>
              <w:rPr>
                <w:rFonts w:hint="eastAsia"/>
                <w:kern w:val="0"/>
                <w:sz w:val="24"/>
              </w:rPr>
              <w:t>L</w:t>
            </w:r>
            <w:r>
              <w:rPr>
                <w:rFonts w:hint="eastAsia"/>
                <w:kern w:val="0"/>
                <w:sz w:val="24"/>
                <w:vertAlign w:val="subscript"/>
              </w:rPr>
              <w:t>p2</w:t>
            </w:r>
            <w:r>
              <w:rPr>
                <w:rFonts w:hint="eastAsia"/>
                <w:kern w:val="0"/>
                <w:sz w:val="24"/>
              </w:rPr>
              <w:t>—距声源r</w:t>
            </w:r>
            <w:r>
              <w:rPr>
                <w:rFonts w:hint="eastAsia"/>
                <w:kern w:val="0"/>
                <w:sz w:val="24"/>
                <w:vertAlign w:val="subscript"/>
              </w:rPr>
              <w:t>2</w:t>
            </w:r>
            <w:r>
              <w:rPr>
                <w:rFonts w:hint="eastAsia"/>
                <w:kern w:val="0"/>
                <w:sz w:val="24"/>
              </w:rPr>
              <w:t>米处的声压级dB（A）。</w:t>
            </w:r>
          </w:p>
          <w:p>
            <w:pPr>
              <w:adjustRightInd w:val="0"/>
              <w:snapToGrid w:val="0"/>
              <w:spacing w:line="360" w:lineRule="auto"/>
              <w:ind w:firstLine="480" w:firstLineChars="200"/>
              <w:rPr>
                <w:kern w:val="0"/>
                <w:sz w:val="24"/>
              </w:rPr>
            </w:pPr>
            <w:r>
              <w:rPr>
                <w:rFonts w:hint="eastAsia"/>
                <w:kern w:val="0"/>
                <w:sz w:val="24"/>
              </w:rPr>
              <w:t>（2）噪声级叠加公式：</w:t>
            </w:r>
          </w:p>
          <w:p>
            <w:pPr>
              <w:adjustRightInd w:val="0"/>
              <w:snapToGrid w:val="0"/>
              <w:spacing w:line="360" w:lineRule="auto"/>
              <w:ind w:firstLine="480" w:firstLineChars="200"/>
              <w:rPr>
                <w:kern w:val="0"/>
                <w:sz w:val="24"/>
              </w:rPr>
            </w:pPr>
            <w:r>
              <w:rPr>
                <w:rFonts w:hint="eastAsia"/>
                <w:kern w:val="0"/>
                <w:sz w:val="24"/>
              </w:rPr>
              <w:t>对于相距较远的两个或两个以上噪声源同时存在时，它们对于远处某点（预测点）的声级必须按量叠加，该点的总声压级可用下面的公式来计算：</w:t>
            </w:r>
          </w:p>
          <w:p>
            <w:pPr>
              <w:adjustRightInd w:val="0"/>
              <w:snapToGrid w:val="0"/>
              <w:spacing w:line="360" w:lineRule="auto"/>
              <w:ind w:firstLine="480" w:firstLineChars="200"/>
              <w:jc w:val="center"/>
              <w:rPr>
                <w:kern w:val="0"/>
                <w:sz w:val="24"/>
              </w:rPr>
            </w:pPr>
            <w:r>
              <w:rPr>
                <w:rFonts w:hint="eastAsia"/>
                <w:kern w:val="0"/>
                <w:sz w:val="24"/>
              </w:rPr>
              <w:t>L</w:t>
            </w:r>
            <w:r>
              <w:rPr>
                <w:rFonts w:hint="eastAsia"/>
                <w:kern w:val="0"/>
                <w:sz w:val="24"/>
                <w:vertAlign w:val="subscript"/>
              </w:rPr>
              <w:t>p</w:t>
            </w:r>
            <w:r>
              <w:rPr>
                <w:rFonts w:hint="eastAsia"/>
                <w:kern w:val="0"/>
                <w:sz w:val="24"/>
              </w:rPr>
              <w:t>＝10L</w:t>
            </w:r>
            <w:r>
              <w:rPr>
                <w:rFonts w:hint="eastAsia"/>
                <w:kern w:val="0"/>
                <w:sz w:val="24"/>
                <w:vertAlign w:val="subscript"/>
              </w:rPr>
              <w:t>g</w:t>
            </w:r>
            <w:r>
              <w:rPr>
                <w:rFonts w:hint="eastAsia"/>
                <w:kern w:val="0"/>
                <w:sz w:val="24"/>
              </w:rPr>
              <w:t>（10</w:t>
            </w:r>
            <w:r>
              <w:rPr>
                <w:rFonts w:hint="eastAsia"/>
                <w:kern w:val="0"/>
                <w:sz w:val="24"/>
                <w:vertAlign w:val="superscript"/>
              </w:rPr>
              <w:t>Lp11/10</w:t>
            </w:r>
            <w:r>
              <w:rPr>
                <w:rFonts w:hint="eastAsia"/>
                <w:kern w:val="0"/>
                <w:sz w:val="24"/>
              </w:rPr>
              <w:t>＋10</w:t>
            </w:r>
            <w:r>
              <w:rPr>
                <w:rFonts w:hint="eastAsia"/>
                <w:kern w:val="0"/>
                <w:sz w:val="24"/>
                <w:vertAlign w:val="superscript"/>
              </w:rPr>
              <w:t>Lp21/10</w:t>
            </w:r>
            <w:r>
              <w:rPr>
                <w:rFonts w:hint="eastAsia"/>
                <w:kern w:val="0"/>
                <w:sz w:val="24"/>
              </w:rPr>
              <w:t>＋…）</w:t>
            </w:r>
          </w:p>
          <w:p>
            <w:pPr>
              <w:adjustRightInd w:val="0"/>
              <w:snapToGrid w:val="0"/>
              <w:spacing w:line="360" w:lineRule="auto"/>
              <w:ind w:firstLine="480" w:firstLineChars="200"/>
              <w:rPr>
                <w:kern w:val="0"/>
                <w:sz w:val="24"/>
              </w:rPr>
            </w:pPr>
            <w:r>
              <w:rPr>
                <w:rFonts w:hint="eastAsia"/>
                <w:kern w:val="0"/>
                <w:sz w:val="24"/>
              </w:rPr>
              <w:t>其中：L</w:t>
            </w:r>
            <w:r>
              <w:rPr>
                <w:rFonts w:hint="eastAsia"/>
                <w:kern w:val="0"/>
                <w:sz w:val="24"/>
                <w:vertAlign w:val="subscript"/>
              </w:rPr>
              <w:t>p</w:t>
            </w:r>
            <w:r>
              <w:rPr>
                <w:rFonts w:hint="eastAsia"/>
                <w:kern w:val="0"/>
                <w:sz w:val="24"/>
              </w:rPr>
              <w:t>—某点叠加后的总声压级dB（A）；</w:t>
            </w:r>
          </w:p>
          <w:p>
            <w:pPr>
              <w:adjustRightInd w:val="0"/>
              <w:snapToGrid w:val="0"/>
              <w:spacing w:line="360" w:lineRule="auto"/>
              <w:ind w:firstLine="480" w:firstLineChars="200"/>
              <w:rPr>
                <w:kern w:val="0"/>
                <w:sz w:val="24"/>
              </w:rPr>
            </w:pPr>
            <w:r>
              <w:rPr>
                <w:rFonts w:hint="eastAsia"/>
                <w:kern w:val="0"/>
                <w:sz w:val="24"/>
              </w:rPr>
              <w:t xml:space="preserve">      L</w:t>
            </w:r>
            <w:r>
              <w:rPr>
                <w:rFonts w:hint="eastAsia"/>
                <w:kern w:val="0"/>
                <w:sz w:val="24"/>
                <w:vertAlign w:val="subscript"/>
              </w:rPr>
              <w:t>p11</w:t>
            </w:r>
            <w:r>
              <w:rPr>
                <w:rFonts w:hint="eastAsia"/>
                <w:kern w:val="0"/>
                <w:sz w:val="24"/>
              </w:rPr>
              <w:t>、L</w:t>
            </w:r>
            <w:r>
              <w:rPr>
                <w:rFonts w:hint="eastAsia"/>
                <w:kern w:val="0"/>
                <w:sz w:val="24"/>
                <w:vertAlign w:val="subscript"/>
              </w:rPr>
              <w:t>p21</w:t>
            </w:r>
            <w:r>
              <w:rPr>
                <w:rFonts w:hint="eastAsia"/>
                <w:kern w:val="0"/>
                <w:sz w:val="24"/>
              </w:rPr>
              <w:t>为每个噪声源对该点的声压级dB（A）。</w:t>
            </w:r>
          </w:p>
          <w:p>
            <w:pPr>
              <w:adjustRightInd w:val="0"/>
              <w:snapToGrid w:val="0"/>
              <w:spacing w:line="360" w:lineRule="auto"/>
              <w:ind w:firstLine="480" w:firstLineChars="200"/>
              <w:rPr>
                <w:kern w:val="0"/>
                <w:sz w:val="24"/>
              </w:rPr>
            </w:pPr>
            <w:r>
              <w:rPr>
                <w:rFonts w:hint="eastAsia"/>
                <w:kern w:val="0"/>
                <w:sz w:val="24"/>
              </w:rPr>
              <w:t>本项目厂址东、西、南、北四厂界噪声贡献值见表</w:t>
            </w:r>
            <w:r>
              <w:rPr>
                <w:kern w:val="0"/>
                <w:sz w:val="24"/>
              </w:rPr>
              <w:t>26</w:t>
            </w:r>
            <w:r>
              <w:rPr>
                <w:rFonts w:hint="eastAsia"/>
                <w:kern w:val="0"/>
                <w:sz w:val="24"/>
              </w:rPr>
              <w:t>。</w:t>
            </w:r>
          </w:p>
          <w:p>
            <w:pPr>
              <w:autoSpaceDE w:val="0"/>
              <w:autoSpaceDN w:val="0"/>
              <w:adjustRightInd w:val="0"/>
              <w:snapToGrid w:val="0"/>
              <w:spacing w:line="400" w:lineRule="exact"/>
              <w:ind w:firstLine="960" w:firstLineChars="400"/>
              <w:rPr>
                <w:rFonts w:eastAsia="黑体"/>
                <w:sz w:val="24"/>
                <w:szCs w:val="22"/>
              </w:rPr>
            </w:pPr>
            <w:r>
              <w:rPr>
                <w:rFonts w:hint="eastAsia" w:eastAsia="黑体"/>
                <w:sz w:val="24"/>
                <w:szCs w:val="22"/>
              </w:rPr>
              <w:t>表</w:t>
            </w:r>
            <w:r>
              <w:rPr>
                <w:rFonts w:eastAsia="黑体"/>
                <w:sz w:val="24"/>
                <w:szCs w:val="22"/>
              </w:rPr>
              <w:t>26</w:t>
            </w:r>
            <w:r>
              <w:rPr>
                <w:rFonts w:hint="eastAsia" w:eastAsia="黑体"/>
                <w:sz w:val="24"/>
                <w:szCs w:val="22"/>
              </w:rPr>
              <w:t xml:space="preserve"> </w:t>
            </w:r>
            <w:r>
              <w:rPr>
                <w:rFonts w:eastAsia="黑体"/>
                <w:sz w:val="24"/>
                <w:szCs w:val="22"/>
              </w:rPr>
              <w:t xml:space="preserve">    </w:t>
            </w:r>
            <w:r>
              <w:rPr>
                <w:rFonts w:hint="eastAsia" w:eastAsia="黑体"/>
                <w:sz w:val="24"/>
                <w:szCs w:val="22"/>
              </w:rPr>
              <w:t xml:space="preserve">   本项目厂界四周噪声贡献值一览表</w:t>
            </w:r>
          </w:p>
          <w:tbl>
            <w:tblPr>
              <w:tblStyle w:val="22"/>
              <w:tblW w:w="7871" w:type="dxa"/>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17" w:type="dxa"/>
                <w:left w:w="28" w:type="dxa"/>
                <w:bottom w:w="11" w:type="dxa"/>
                <w:right w:w="28" w:type="dxa"/>
              </w:tblCellMar>
            </w:tblPr>
            <w:tblGrid>
              <w:gridCol w:w="1255"/>
              <w:gridCol w:w="1722"/>
              <w:gridCol w:w="709"/>
              <w:gridCol w:w="764"/>
              <w:gridCol w:w="1079"/>
              <w:gridCol w:w="1235"/>
              <w:gridCol w:w="1107"/>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17" w:type="dxa"/>
                  <w:left w:w="28" w:type="dxa"/>
                  <w:bottom w:w="11" w:type="dxa"/>
                  <w:right w:w="28" w:type="dxa"/>
                </w:tblCellMar>
              </w:tblPrEx>
              <w:trPr>
                <w:cantSplit/>
                <w:trHeight w:val="144" w:hRule="atLeast"/>
              </w:trPr>
              <w:tc>
                <w:tcPr>
                  <w:tcW w:w="1255" w:type="dxa"/>
                  <w:vAlign w:val="center"/>
                </w:tcPr>
                <w:p>
                  <w:pPr>
                    <w:spacing w:line="280" w:lineRule="exact"/>
                    <w:jc w:val="center"/>
                    <w:rPr>
                      <w:szCs w:val="21"/>
                    </w:rPr>
                  </w:pPr>
                  <w:r>
                    <w:rPr>
                      <w:rFonts w:hint="eastAsia"/>
                      <w:szCs w:val="21"/>
                    </w:rPr>
                    <w:t>厂界</w:t>
                  </w:r>
                </w:p>
              </w:tc>
              <w:tc>
                <w:tcPr>
                  <w:tcW w:w="1722" w:type="dxa"/>
                  <w:vAlign w:val="center"/>
                </w:tcPr>
                <w:p>
                  <w:pPr>
                    <w:spacing w:line="280" w:lineRule="exact"/>
                    <w:jc w:val="center"/>
                    <w:rPr>
                      <w:szCs w:val="21"/>
                    </w:rPr>
                  </w:pPr>
                  <w:r>
                    <w:rPr>
                      <w:rFonts w:hint="eastAsia"/>
                      <w:szCs w:val="21"/>
                    </w:rPr>
                    <w:t>高</w:t>
                  </w:r>
                  <w:r>
                    <w:rPr>
                      <w:szCs w:val="21"/>
                    </w:rPr>
                    <w:t>噪声</w:t>
                  </w:r>
                  <w:r>
                    <w:rPr>
                      <w:rFonts w:hint="eastAsia"/>
                      <w:szCs w:val="21"/>
                    </w:rPr>
                    <w:t>设备</w:t>
                  </w:r>
                </w:p>
              </w:tc>
              <w:tc>
                <w:tcPr>
                  <w:tcW w:w="709" w:type="dxa"/>
                  <w:vAlign w:val="center"/>
                </w:tcPr>
                <w:p>
                  <w:pPr>
                    <w:spacing w:line="280" w:lineRule="exact"/>
                    <w:jc w:val="center"/>
                    <w:rPr>
                      <w:szCs w:val="21"/>
                    </w:rPr>
                  </w:pPr>
                  <w:r>
                    <w:rPr>
                      <w:rFonts w:hint="eastAsia"/>
                      <w:szCs w:val="21"/>
                    </w:rPr>
                    <w:t>数量</w:t>
                  </w:r>
                  <w:r>
                    <w:rPr>
                      <w:szCs w:val="21"/>
                    </w:rPr>
                    <w:t>（</w:t>
                  </w:r>
                  <w:r>
                    <w:rPr>
                      <w:rFonts w:hint="eastAsia"/>
                      <w:szCs w:val="21"/>
                    </w:rPr>
                    <w:t>台</w:t>
                  </w:r>
                  <w:r>
                    <w:rPr>
                      <w:szCs w:val="21"/>
                    </w:rPr>
                    <w:t>）</w:t>
                  </w:r>
                </w:p>
              </w:tc>
              <w:tc>
                <w:tcPr>
                  <w:tcW w:w="764" w:type="dxa"/>
                  <w:vAlign w:val="center"/>
                </w:tcPr>
                <w:p>
                  <w:pPr>
                    <w:spacing w:line="280" w:lineRule="exact"/>
                    <w:jc w:val="center"/>
                    <w:rPr>
                      <w:szCs w:val="21"/>
                    </w:rPr>
                  </w:pPr>
                  <w:r>
                    <w:rPr>
                      <w:rFonts w:hint="eastAsia"/>
                      <w:szCs w:val="21"/>
                    </w:rPr>
                    <w:t>治理后源强</w:t>
                  </w:r>
                </w:p>
              </w:tc>
              <w:tc>
                <w:tcPr>
                  <w:tcW w:w="1079" w:type="dxa"/>
                  <w:vAlign w:val="center"/>
                </w:tcPr>
                <w:p>
                  <w:pPr>
                    <w:spacing w:line="280" w:lineRule="exact"/>
                    <w:jc w:val="center"/>
                    <w:rPr>
                      <w:szCs w:val="21"/>
                    </w:rPr>
                  </w:pPr>
                  <w:r>
                    <w:rPr>
                      <w:rFonts w:hint="eastAsia"/>
                      <w:szCs w:val="21"/>
                    </w:rPr>
                    <w:t>与</w:t>
                  </w:r>
                  <w:r>
                    <w:rPr>
                      <w:szCs w:val="21"/>
                    </w:rPr>
                    <w:t>厂界</w:t>
                  </w:r>
                  <w:r>
                    <w:rPr>
                      <w:rFonts w:hint="eastAsia"/>
                      <w:szCs w:val="21"/>
                    </w:rPr>
                    <w:t>距离（m）</w:t>
                  </w:r>
                </w:p>
              </w:tc>
              <w:tc>
                <w:tcPr>
                  <w:tcW w:w="1235" w:type="dxa"/>
                  <w:vAlign w:val="center"/>
                </w:tcPr>
                <w:p>
                  <w:pPr>
                    <w:spacing w:line="280" w:lineRule="exact"/>
                    <w:jc w:val="center"/>
                    <w:rPr>
                      <w:szCs w:val="21"/>
                    </w:rPr>
                  </w:pPr>
                  <w:r>
                    <w:rPr>
                      <w:rFonts w:hint="eastAsia"/>
                      <w:szCs w:val="21"/>
                    </w:rPr>
                    <w:t>本</w:t>
                  </w:r>
                  <w:r>
                    <w:rPr>
                      <w:szCs w:val="21"/>
                    </w:rPr>
                    <w:t>项目</w:t>
                  </w:r>
                </w:p>
                <w:p>
                  <w:pPr>
                    <w:spacing w:line="280" w:lineRule="exact"/>
                    <w:jc w:val="center"/>
                    <w:rPr>
                      <w:szCs w:val="21"/>
                    </w:rPr>
                  </w:pPr>
                  <w:r>
                    <w:rPr>
                      <w:szCs w:val="21"/>
                    </w:rPr>
                    <w:t>贡献值</w:t>
                  </w:r>
                </w:p>
              </w:tc>
              <w:tc>
                <w:tcPr>
                  <w:tcW w:w="1107" w:type="dxa"/>
                  <w:vAlign w:val="center"/>
                </w:tcPr>
                <w:p>
                  <w:pPr>
                    <w:spacing w:line="280" w:lineRule="exact"/>
                    <w:jc w:val="center"/>
                    <w:rPr>
                      <w:szCs w:val="21"/>
                    </w:rPr>
                  </w:pPr>
                  <w:r>
                    <w:rPr>
                      <w:rFonts w:hint="eastAsia"/>
                      <w:szCs w:val="21"/>
                    </w:rPr>
                    <w:t>标准</w:t>
                  </w:r>
                  <w:r>
                    <w:rPr>
                      <w:szCs w:val="21"/>
                    </w:rPr>
                    <w:t>值</w:t>
                  </w:r>
                  <w:r>
                    <w:rPr>
                      <w:rFonts w:hint="eastAsia"/>
                      <w:szCs w:val="21"/>
                    </w:rPr>
                    <w:t>（昼）</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17" w:type="dxa"/>
                  <w:left w:w="28" w:type="dxa"/>
                  <w:bottom w:w="11" w:type="dxa"/>
                  <w:right w:w="28" w:type="dxa"/>
                </w:tblCellMar>
              </w:tblPrEx>
              <w:trPr>
                <w:cantSplit/>
                <w:trHeight w:val="144" w:hRule="atLeast"/>
              </w:trPr>
              <w:tc>
                <w:tcPr>
                  <w:tcW w:w="1255" w:type="dxa"/>
                  <w:vMerge w:val="restart"/>
                  <w:vAlign w:val="center"/>
                </w:tcPr>
                <w:p>
                  <w:pPr>
                    <w:spacing w:line="280" w:lineRule="exact"/>
                    <w:jc w:val="center"/>
                    <w:rPr>
                      <w:szCs w:val="21"/>
                    </w:rPr>
                  </w:pPr>
                  <w:r>
                    <w:rPr>
                      <w:rFonts w:hint="eastAsia"/>
                      <w:szCs w:val="21"/>
                    </w:rPr>
                    <w:t>东厂界</w:t>
                  </w:r>
                </w:p>
              </w:tc>
              <w:tc>
                <w:tcPr>
                  <w:tcW w:w="1722" w:type="dxa"/>
                  <w:vAlign w:val="center"/>
                </w:tcPr>
                <w:p>
                  <w:pPr>
                    <w:adjustRightInd w:val="0"/>
                    <w:snapToGrid w:val="0"/>
                    <w:jc w:val="center"/>
                    <w:rPr>
                      <w:kern w:val="0"/>
                      <w:szCs w:val="21"/>
                    </w:rPr>
                  </w:pPr>
                  <w:r>
                    <w:rPr>
                      <w:rFonts w:hint="eastAsia"/>
                      <w:kern w:val="0"/>
                      <w:szCs w:val="21"/>
                    </w:rPr>
                    <w:t>分选机</w:t>
                  </w:r>
                </w:p>
              </w:tc>
              <w:tc>
                <w:tcPr>
                  <w:tcW w:w="709" w:type="dxa"/>
                  <w:vAlign w:val="center"/>
                </w:tcPr>
                <w:p>
                  <w:pPr>
                    <w:spacing w:line="280" w:lineRule="exact"/>
                    <w:jc w:val="center"/>
                    <w:rPr>
                      <w:szCs w:val="21"/>
                    </w:rPr>
                  </w:pPr>
                  <w:r>
                    <w:rPr>
                      <w:rFonts w:hint="eastAsia"/>
                      <w:szCs w:val="21"/>
                    </w:rPr>
                    <w:t>1</w:t>
                  </w:r>
                </w:p>
              </w:tc>
              <w:tc>
                <w:tcPr>
                  <w:tcW w:w="764" w:type="dxa"/>
                  <w:vAlign w:val="center"/>
                </w:tcPr>
                <w:p>
                  <w:pPr>
                    <w:adjustRightInd w:val="0"/>
                    <w:snapToGrid w:val="0"/>
                    <w:jc w:val="center"/>
                    <w:rPr>
                      <w:kern w:val="0"/>
                      <w:szCs w:val="21"/>
                    </w:rPr>
                  </w:pPr>
                  <w:r>
                    <w:rPr>
                      <w:kern w:val="0"/>
                      <w:szCs w:val="21"/>
                    </w:rPr>
                    <w:t>60</w:t>
                  </w:r>
                </w:p>
              </w:tc>
              <w:tc>
                <w:tcPr>
                  <w:tcW w:w="1079" w:type="dxa"/>
                  <w:vAlign w:val="center"/>
                </w:tcPr>
                <w:p>
                  <w:pPr>
                    <w:spacing w:line="280" w:lineRule="exact"/>
                    <w:jc w:val="center"/>
                    <w:rPr>
                      <w:szCs w:val="21"/>
                    </w:rPr>
                  </w:pPr>
                  <w:r>
                    <w:rPr>
                      <w:rFonts w:hint="eastAsia"/>
                      <w:szCs w:val="21"/>
                    </w:rPr>
                    <w:t>32</w:t>
                  </w:r>
                </w:p>
              </w:tc>
              <w:tc>
                <w:tcPr>
                  <w:tcW w:w="1235" w:type="dxa"/>
                  <w:vMerge w:val="restart"/>
                  <w:vAlign w:val="center"/>
                </w:tcPr>
                <w:p>
                  <w:pPr>
                    <w:spacing w:line="280" w:lineRule="exact"/>
                    <w:jc w:val="center"/>
                    <w:rPr>
                      <w:szCs w:val="21"/>
                    </w:rPr>
                  </w:pPr>
                  <w:r>
                    <w:rPr>
                      <w:rFonts w:hint="eastAsia"/>
                      <w:szCs w:val="21"/>
                    </w:rPr>
                    <w:t>38.23</w:t>
                  </w:r>
                </w:p>
              </w:tc>
              <w:tc>
                <w:tcPr>
                  <w:tcW w:w="1107" w:type="dxa"/>
                  <w:vMerge w:val="restart"/>
                  <w:vAlign w:val="center"/>
                </w:tcPr>
                <w:p>
                  <w:pPr>
                    <w:spacing w:line="280" w:lineRule="exact"/>
                    <w:jc w:val="center"/>
                    <w:rPr>
                      <w:szCs w:val="21"/>
                    </w:rPr>
                  </w:pPr>
                  <w:r>
                    <w:rPr>
                      <w:szCs w:val="21"/>
                    </w:rPr>
                    <w:t>60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17" w:type="dxa"/>
                  <w:left w:w="28" w:type="dxa"/>
                  <w:bottom w:w="11" w:type="dxa"/>
                  <w:right w:w="28" w:type="dxa"/>
                </w:tblCellMar>
              </w:tblPrEx>
              <w:trPr>
                <w:cantSplit/>
                <w:trHeight w:val="144" w:hRule="atLeast"/>
              </w:trPr>
              <w:tc>
                <w:tcPr>
                  <w:tcW w:w="1255" w:type="dxa"/>
                  <w:vMerge w:val="continue"/>
                  <w:vAlign w:val="center"/>
                </w:tcPr>
                <w:p>
                  <w:pPr>
                    <w:spacing w:line="280" w:lineRule="exact"/>
                    <w:jc w:val="center"/>
                    <w:rPr>
                      <w:szCs w:val="21"/>
                    </w:rPr>
                  </w:pPr>
                </w:p>
              </w:tc>
              <w:tc>
                <w:tcPr>
                  <w:tcW w:w="1722" w:type="dxa"/>
                  <w:vAlign w:val="center"/>
                </w:tcPr>
                <w:p>
                  <w:pPr>
                    <w:adjustRightInd w:val="0"/>
                    <w:snapToGrid w:val="0"/>
                    <w:jc w:val="center"/>
                    <w:rPr>
                      <w:kern w:val="0"/>
                      <w:szCs w:val="21"/>
                    </w:rPr>
                  </w:pPr>
                  <w:r>
                    <w:rPr>
                      <w:rFonts w:hint="eastAsia"/>
                      <w:kern w:val="0"/>
                      <w:szCs w:val="21"/>
                    </w:rPr>
                    <w:t>高细管磨机</w:t>
                  </w:r>
                </w:p>
              </w:tc>
              <w:tc>
                <w:tcPr>
                  <w:tcW w:w="709" w:type="dxa"/>
                  <w:vAlign w:val="center"/>
                </w:tcPr>
                <w:p>
                  <w:pPr>
                    <w:spacing w:line="280" w:lineRule="exact"/>
                    <w:jc w:val="center"/>
                    <w:rPr>
                      <w:szCs w:val="21"/>
                    </w:rPr>
                  </w:pPr>
                  <w:r>
                    <w:rPr>
                      <w:rFonts w:hint="eastAsia"/>
                      <w:szCs w:val="21"/>
                    </w:rPr>
                    <w:t>1</w:t>
                  </w:r>
                </w:p>
              </w:tc>
              <w:tc>
                <w:tcPr>
                  <w:tcW w:w="764" w:type="dxa"/>
                  <w:vAlign w:val="center"/>
                </w:tcPr>
                <w:p>
                  <w:pPr>
                    <w:adjustRightInd w:val="0"/>
                    <w:snapToGrid w:val="0"/>
                    <w:jc w:val="center"/>
                    <w:rPr>
                      <w:kern w:val="0"/>
                      <w:szCs w:val="21"/>
                    </w:rPr>
                  </w:pPr>
                  <w:r>
                    <w:rPr>
                      <w:kern w:val="0"/>
                      <w:szCs w:val="21"/>
                    </w:rPr>
                    <w:t>65</w:t>
                  </w:r>
                </w:p>
              </w:tc>
              <w:tc>
                <w:tcPr>
                  <w:tcW w:w="1079" w:type="dxa"/>
                  <w:vAlign w:val="center"/>
                </w:tcPr>
                <w:p>
                  <w:pPr>
                    <w:spacing w:line="280" w:lineRule="exact"/>
                    <w:jc w:val="center"/>
                    <w:rPr>
                      <w:szCs w:val="21"/>
                    </w:rPr>
                  </w:pPr>
                  <w:r>
                    <w:rPr>
                      <w:rFonts w:hint="eastAsia"/>
                      <w:szCs w:val="21"/>
                    </w:rPr>
                    <w:t>33</w:t>
                  </w:r>
                </w:p>
              </w:tc>
              <w:tc>
                <w:tcPr>
                  <w:tcW w:w="1235" w:type="dxa"/>
                  <w:vMerge w:val="continue"/>
                  <w:vAlign w:val="center"/>
                </w:tcPr>
                <w:p>
                  <w:pPr>
                    <w:spacing w:line="280" w:lineRule="exact"/>
                    <w:jc w:val="center"/>
                    <w:rPr>
                      <w:szCs w:val="21"/>
                    </w:rPr>
                  </w:pPr>
                </w:p>
              </w:tc>
              <w:tc>
                <w:tcPr>
                  <w:tcW w:w="1107" w:type="dxa"/>
                  <w:vMerge w:val="continue"/>
                  <w:vAlign w:val="center"/>
                </w:tcPr>
                <w:p>
                  <w:pPr>
                    <w:spacing w:line="280" w:lineRule="exact"/>
                    <w:jc w:val="center"/>
                    <w:rPr>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17" w:type="dxa"/>
                  <w:left w:w="28" w:type="dxa"/>
                  <w:bottom w:w="11" w:type="dxa"/>
                  <w:right w:w="28" w:type="dxa"/>
                </w:tblCellMar>
              </w:tblPrEx>
              <w:trPr>
                <w:cantSplit/>
                <w:trHeight w:val="144" w:hRule="atLeast"/>
              </w:trPr>
              <w:tc>
                <w:tcPr>
                  <w:tcW w:w="1255" w:type="dxa"/>
                  <w:vMerge w:val="continue"/>
                  <w:vAlign w:val="center"/>
                </w:tcPr>
                <w:p>
                  <w:pPr>
                    <w:spacing w:line="280" w:lineRule="exact"/>
                    <w:jc w:val="center"/>
                    <w:rPr>
                      <w:szCs w:val="21"/>
                    </w:rPr>
                  </w:pPr>
                </w:p>
              </w:tc>
              <w:tc>
                <w:tcPr>
                  <w:tcW w:w="1722" w:type="dxa"/>
                  <w:vAlign w:val="center"/>
                </w:tcPr>
                <w:p>
                  <w:pPr>
                    <w:adjustRightInd w:val="0"/>
                    <w:snapToGrid w:val="0"/>
                    <w:jc w:val="center"/>
                    <w:rPr>
                      <w:kern w:val="0"/>
                      <w:szCs w:val="21"/>
                    </w:rPr>
                  </w:pPr>
                  <w:r>
                    <w:rPr>
                      <w:rFonts w:hint="eastAsia"/>
                      <w:kern w:val="0"/>
                      <w:szCs w:val="21"/>
                    </w:rPr>
                    <w:t>散装机</w:t>
                  </w:r>
                </w:p>
              </w:tc>
              <w:tc>
                <w:tcPr>
                  <w:tcW w:w="709" w:type="dxa"/>
                  <w:vAlign w:val="center"/>
                </w:tcPr>
                <w:p>
                  <w:pPr>
                    <w:spacing w:line="280" w:lineRule="exact"/>
                    <w:jc w:val="center"/>
                    <w:rPr>
                      <w:szCs w:val="21"/>
                    </w:rPr>
                  </w:pPr>
                  <w:r>
                    <w:rPr>
                      <w:rFonts w:hint="eastAsia"/>
                      <w:szCs w:val="21"/>
                    </w:rPr>
                    <w:t>1</w:t>
                  </w:r>
                </w:p>
              </w:tc>
              <w:tc>
                <w:tcPr>
                  <w:tcW w:w="764" w:type="dxa"/>
                  <w:vAlign w:val="center"/>
                </w:tcPr>
                <w:p>
                  <w:pPr>
                    <w:adjustRightInd w:val="0"/>
                    <w:snapToGrid w:val="0"/>
                    <w:jc w:val="center"/>
                    <w:rPr>
                      <w:kern w:val="0"/>
                      <w:szCs w:val="21"/>
                    </w:rPr>
                  </w:pPr>
                  <w:r>
                    <w:rPr>
                      <w:kern w:val="0"/>
                      <w:szCs w:val="21"/>
                    </w:rPr>
                    <w:t>55</w:t>
                  </w:r>
                </w:p>
              </w:tc>
              <w:tc>
                <w:tcPr>
                  <w:tcW w:w="1079" w:type="dxa"/>
                  <w:vAlign w:val="center"/>
                </w:tcPr>
                <w:p>
                  <w:pPr>
                    <w:spacing w:line="280" w:lineRule="exact"/>
                    <w:jc w:val="center"/>
                    <w:rPr>
                      <w:szCs w:val="21"/>
                    </w:rPr>
                  </w:pPr>
                  <w:r>
                    <w:rPr>
                      <w:rFonts w:hint="eastAsia"/>
                      <w:szCs w:val="21"/>
                    </w:rPr>
                    <w:t>41</w:t>
                  </w:r>
                </w:p>
              </w:tc>
              <w:tc>
                <w:tcPr>
                  <w:tcW w:w="1235" w:type="dxa"/>
                  <w:vMerge w:val="continue"/>
                  <w:vAlign w:val="center"/>
                </w:tcPr>
                <w:p>
                  <w:pPr>
                    <w:spacing w:line="280" w:lineRule="exact"/>
                    <w:jc w:val="center"/>
                    <w:rPr>
                      <w:szCs w:val="21"/>
                    </w:rPr>
                  </w:pPr>
                </w:p>
              </w:tc>
              <w:tc>
                <w:tcPr>
                  <w:tcW w:w="1107" w:type="dxa"/>
                  <w:vMerge w:val="continue"/>
                  <w:vAlign w:val="center"/>
                </w:tcPr>
                <w:p>
                  <w:pPr>
                    <w:spacing w:line="280" w:lineRule="exact"/>
                    <w:jc w:val="center"/>
                    <w:rPr>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17" w:type="dxa"/>
                  <w:left w:w="28" w:type="dxa"/>
                  <w:bottom w:w="11" w:type="dxa"/>
                  <w:right w:w="28" w:type="dxa"/>
                </w:tblCellMar>
              </w:tblPrEx>
              <w:trPr>
                <w:cantSplit/>
                <w:trHeight w:val="144" w:hRule="atLeast"/>
              </w:trPr>
              <w:tc>
                <w:tcPr>
                  <w:tcW w:w="1255" w:type="dxa"/>
                  <w:vMerge w:val="continue"/>
                  <w:vAlign w:val="center"/>
                </w:tcPr>
                <w:p>
                  <w:pPr>
                    <w:spacing w:line="280" w:lineRule="exact"/>
                    <w:jc w:val="center"/>
                    <w:rPr>
                      <w:szCs w:val="21"/>
                    </w:rPr>
                  </w:pPr>
                </w:p>
              </w:tc>
              <w:tc>
                <w:tcPr>
                  <w:tcW w:w="1722" w:type="dxa"/>
                  <w:vAlign w:val="center"/>
                </w:tcPr>
                <w:p>
                  <w:pPr>
                    <w:adjustRightInd w:val="0"/>
                    <w:snapToGrid w:val="0"/>
                    <w:jc w:val="center"/>
                    <w:rPr>
                      <w:kern w:val="0"/>
                      <w:szCs w:val="21"/>
                    </w:rPr>
                  </w:pPr>
                  <w:r>
                    <w:rPr>
                      <w:rFonts w:hint="eastAsia"/>
                      <w:kern w:val="0"/>
                      <w:szCs w:val="21"/>
                    </w:rPr>
                    <w:t>提升机</w:t>
                  </w:r>
                </w:p>
              </w:tc>
              <w:tc>
                <w:tcPr>
                  <w:tcW w:w="709" w:type="dxa"/>
                  <w:vAlign w:val="center"/>
                </w:tcPr>
                <w:p>
                  <w:pPr>
                    <w:spacing w:line="280" w:lineRule="exact"/>
                    <w:jc w:val="center"/>
                    <w:rPr>
                      <w:szCs w:val="21"/>
                    </w:rPr>
                  </w:pPr>
                  <w:r>
                    <w:rPr>
                      <w:szCs w:val="21"/>
                    </w:rPr>
                    <w:t>2</w:t>
                  </w:r>
                </w:p>
              </w:tc>
              <w:tc>
                <w:tcPr>
                  <w:tcW w:w="764" w:type="dxa"/>
                  <w:vAlign w:val="center"/>
                </w:tcPr>
                <w:p>
                  <w:pPr>
                    <w:adjustRightInd w:val="0"/>
                    <w:snapToGrid w:val="0"/>
                    <w:jc w:val="center"/>
                    <w:rPr>
                      <w:kern w:val="0"/>
                      <w:szCs w:val="21"/>
                    </w:rPr>
                  </w:pPr>
                  <w:r>
                    <w:rPr>
                      <w:kern w:val="0"/>
                      <w:szCs w:val="21"/>
                    </w:rPr>
                    <w:t>60</w:t>
                  </w:r>
                </w:p>
              </w:tc>
              <w:tc>
                <w:tcPr>
                  <w:tcW w:w="1079" w:type="dxa"/>
                  <w:vAlign w:val="center"/>
                </w:tcPr>
                <w:p>
                  <w:pPr>
                    <w:spacing w:line="280" w:lineRule="exact"/>
                    <w:jc w:val="center"/>
                    <w:rPr>
                      <w:szCs w:val="21"/>
                    </w:rPr>
                  </w:pPr>
                  <w:r>
                    <w:rPr>
                      <w:rFonts w:hint="eastAsia"/>
                      <w:szCs w:val="21"/>
                    </w:rPr>
                    <w:t>29</w:t>
                  </w:r>
                </w:p>
              </w:tc>
              <w:tc>
                <w:tcPr>
                  <w:tcW w:w="1235" w:type="dxa"/>
                  <w:vMerge w:val="continue"/>
                  <w:vAlign w:val="center"/>
                </w:tcPr>
                <w:p>
                  <w:pPr>
                    <w:spacing w:line="280" w:lineRule="exact"/>
                    <w:jc w:val="center"/>
                    <w:rPr>
                      <w:szCs w:val="21"/>
                    </w:rPr>
                  </w:pPr>
                </w:p>
              </w:tc>
              <w:tc>
                <w:tcPr>
                  <w:tcW w:w="1107" w:type="dxa"/>
                  <w:vMerge w:val="continue"/>
                  <w:vAlign w:val="center"/>
                </w:tcPr>
                <w:p>
                  <w:pPr>
                    <w:spacing w:line="280" w:lineRule="exact"/>
                    <w:jc w:val="center"/>
                    <w:rPr>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17" w:type="dxa"/>
                  <w:left w:w="28" w:type="dxa"/>
                  <w:bottom w:w="11" w:type="dxa"/>
                  <w:right w:w="28" w:type="dxa"/>
                </w:tblCellMar>
              </w:tblPrEx>
              <w:trPr>
                <w:cantSplit/>
                <w:trHeight w:val="144" w:hRule="atLeast"/>
              </w:trPr>
              <w:tc>
                <w:tcPr>
                  <w:tcW w:w="1255" w:type="dxa"/>
                  <w:vMerge w:val="continue"/>
                  <w:vAlign w:val="center"/>
                </w:tcPr>
                <w:p>
                  <w:pPr>
                    <w:spacing w:line="280" w:lineRule="exact"/>
                    <w:jc w:val="center"/>
                    <w:rPr>
                      <w:szCs w:val="21"/>
                    </w:rPr>
                  </w:pPr>
                </w:p>
              </w:tc>
              <w:tc>
                <w:tcPr>
                  <w:tcW w:w="1722" w:type="dxa"/>
                  <w:vAlign w:val="center"/>
                </w:tcPr>
                <w:p>
                  <w:pPr>
                    <w:adjustRightInd w:val="0"/>
                    <w:snapToGrid w:val="0"/>
                    <w:jc w:val="center"/>
                    <w:rPr>
                      <w:kern w:val="0"/>
                      <w:szCs w:val="21"/>
                    </w:rPr>
                  </w:pPr>
                  <w:r>
                    <w:rPr>
                      <w:rFonts w:hint="eastAsia"/>
                      <w:kern w:val="0"/>
                      <w:szCs w:val="21"/>
                    </w:rPr>
                    <w:t>鼓风机</w:t>
                  </w:r>
                </w:p>
              </w:tc>
              <w:tc>
                <w:tcPr>
                  <w:tcW w:w="709" w:type="dxa"/>
                  <w:vAlign w:val="center"/>
                </w:tcPr>
                <w:p>
                  <w:pPr>
                    <w:spacing w:line="280" w:lineRule="exact"/>
                    <w:jc w:val="center"/>
                    <w:rPr>
                      <w:szCs w:val="21"/>
                    </w:rPr>
                  </w:pPr>
                  <w:r>
                    <w:rPr>
                      <w:szCs w:val="21"/>
                    </w:rPr>
                    <w:t>5</w:t>
                  </w:r>
                </w:p>
              </w:tc>
              <w:tc>
                <w:tcPr>
                  <w:tcW w:w="764" w:type="dxa"/>
                  <w:vAlign w:val="center"/>
                </w:tcPr>
                <w:p>
                  <w:pPr>
                    <w:adjustRightInd w:val="0"/>
                    <w:snapToGrid w:val="0"/>
                    <w:jc w:val="center"/>
                    <w:rPr>
                      <w:kern w:val="0"/>
                      <w:szCs w:val="21"/>
                    </w:rPr>
                  </w:pPr>
                  <w:r>
                    <w:rPr>
                      <w:rFonts w:hint="eastAsia"/>
                      <w:kern w:val="0"/>
                      <w:szCs w:val="21"/>
                    </w:rPr>
                    <w:t>65</w:t>
                  </w:r>
                </w:p>
              </w:tc>
              <w:tc>
                <w:tcPr>
                  <w:tcW w:w="1079" w:type="dxa"/>
                  <w:vAlign w:val="center"/>
                </w:tcPr>
                <w:p>
                  <w:pPr>
                    <w:spacing w:line="280" w:lineRule="exact"/>
                    <w:jc w:val="center"/>
                    <w:rPr>
                      <w:szCs w:val="21"/>
                    </w:rPr>
                  </w:pPr>
                  <w:r>
                    <w:rPr>
                      <w:szCs w:val="21"/>
                    </w:rPr>
                    <w:t>29</w:t>
                  </w:r>
                </w:p>
              </w:tc>
              <w:tc>
                <w:tcPr>
                  <w:tcW w:w="1235" w:type="dxa"/>
                  <w:vMerge w:val="continue"/>
                  <w:vAlign w:val="center"/>
                </w:tcPr>
                <w:p>
                  <w:pPr>
                    <w:spacing w:line="280" w:lineRule="exact"/>
                    <w:jc w:val="center"/>
                    <w:rPr>
                      <w:szCs w:val="21"/>
                    </w:rPr>
                  </w:pPr>
                </w:p>
              </w:tc>
              <w:tc>
                <w:tcPr>
                  <w:tcW w:w="1107" w:type="dxa"/>
                  <w:vMerge w:val="continue"/>
                  <w:vAlign w:val="center"/>
                </w:tcPr>
                <w:p>
                  <w:pPr>
                    <w:spacing w:line="280" w:lineRule="exact"/>
                    <w:jc w:val="center"/>
                    <w:rPr>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17" w:type="dxa"/>
                  <w:left w:w="28" w:type="dxa"/>
                  <w:bottom w:w="11" w:type="dxa"/>
                  <w:right w:w="28" w:type="dxa"/>
                </w:tblCellMar>
              </w:tblPrEx>
              <w:trPr>
                <w:cantSplit/>
                <w:trHeight w:val="144" w:hRule="atLeast"/>
              </w:trPr>
              <w:tc>
                <w:tcPr>
                  <w:tcW w:w="1255" w:type="dxa"/>
                  <w:vMerge w:val="continue"/>
                  <w:vAlign w:val="center"/>
                </w:tcPr>
                <w:p>
                  <w:pPr>
                    <w:spacing w:line="280" w:lineRule="exact"/>
                    <w:jc w:val="center"/>
                    <w:rPr>
                      <w:szCs w:val="21"/>
                    </w:rPr>
                  </w:pPr>
                </w:p>
              </w:tc>
              <w:tc>
                <w:tcPr>
                  <w:tcW w:w="1722" w:type="dxa"/>
                  <w:vAlign w:val="center"/>
                </w:tcPr>
                <w:p>
                  <w:pPr>
                    <w:adjustRightInd w:val="0"/>
                    <w:snapToGrid w:val="0"/>
                    <w:jc w:val="center"/>
                    <w:rPr>
                      <w:kern w:val="0"/>
                      <w:szCs w:val="21"/>
                    </w:rPr>
                  </w:pPr>
                  <w:r>
                    <w:rPr>
                      <w:rFonts w:hint="eastAsia"/>
                      <w:kern w:val="0"/>
                      <w:szCs w:val="21"/>
                    </w:rPr>
                    <w:t>除尘器风机</w:t>
                  </w:r>
                </w:p>
              </w:tc>
              <w:tc>
                <w:tcPr>
                  <w:tcW w:w="709" w:type="dxa"/>
                  <w:vAlign w:val="center"/>
                </w:tcPr>
                <w:p>
                  <w:pPr>
                    <w:spacing w:line="280" w:lineRule="exact"/>
                    <w:jc w:val="center"/>
                    <w:rPr>
                      <w:szCs w:val="21"/>
                    </w:rPr>
                  </w:pPr>
                  <w:r>
                    <w:rPr>
                      <w:szCs w:val="21"/>
                    </w:rPr>
                    <w:t>5</w:t>
                  </w:r>
                </w:p>
              </w:tc>
              <w:tc>
                <w:tcPr>
                  <w:tcW w:w="764" w:type="dxa"/>
                  <w:vAlign w:val="center"/>
                </w:tcPr>
                <w:p>
                  <w:pPr>
                    <w:adjustRightInd w:val="0"/>
                    <w:snapToGrid w:val="0"/>
                    <w:jc w:val="center"/>
                    <w:rPr>
                      <w:kern w:val="0"/>
                      <w:szCs w:val="21"/>
                    </w:rPr>
                  </w:pPr>
                  <w:r>
                    <w:rPr>
                      <w:kern w:val="0"/>
                      <w:szCs w:val="21"/>
                    </w:rPr>
                    <w:t>55</w:t>
                  </w:r>
                </w:p>
              </w:tc>
              <w:tc>
                <w:tcPr>
                  <w:tcW w:w="1079" w:type="dxa"/>
                  <w:vAlign w:val="center"/>
                </w:tcPr>
                <w:p>
                  <w:pPr>
                    <w:spacing w:line="280" w:lineRule="exact"/>
                    <w:jc w:val="center"/>
                    <w:rPr>
                      <w:szCs w:val="21"/>
                    </w:rPr>
                  </w:pPr>
                  <w:r>
                    <w:rPr>
                      <w:rFonts w:hint="eastAsia"/>
                      <w:szCs w:val="21"/>
                    </w:rPr>
                    <w:t>15</w:t>
                  </w:r>
                </w:p>
              </w:tc>
              <w:tc>
                <w:tcPr>
                  <w:tcW w:w="1235" w:type="dxa"/>
                  <w:vMerge w:val="continue"/>
                  <w:vAlign w:val="center"/>
                </w:tcPr>
                <w:p>
                  <w:pPr>
                    <w:spacing w:line="280" w:lineRule="exact"/>
                    <w:jc w:val="center"/>
                    <w:rPr>
                      <w:szCs w:val="21"/>
                    </w:rPr>
                  </w:pPr>
                </w:p>
              </w:tc>
              <w:tc>
                <w:tcPr>
                  <w:tcW w:w="1107" w:type="dxa"/>
                  <w:vMerge w:val="continue"/>
                  <w:vAlign w:val="center"/>
                </w:tcPr>
                <w:p>
                  <w:pPr>
                    <w:spacing w:line="280" w:lineRule="exact"/>
                    <w:jc w:val="center"/>
                    <w:rPr>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17" w:type="dxa"/>
                  <w:left w:w="28" w:type="dxa"/>
                  <w:bottom w:w="11" w:type="dxa"/>
                  <w:right w:w="28" w:type="dxa"/>
                </w:tblCellMar>
              </w:tblPrEx>
              <w:trPr>
                <w:cantSplit/>
                <w:trHeight w:val="144" w:hRule="atLeast"/>
              </w:trPr>
              <w:tc>
                <w:tcPr>
                  <w:tcW w:w="1255" w:type="dxa"/>
                  <w:vMerge w:val="restart"/>
                  <w:vAlign w:val="center"/>
                </w:tcPr>
                <w:p>
                  <w:pPr>
                    <w:spacing w:line="280" w:lineRule="exact"/>
                    <w:jc w:val="center"/>
                    <w:rPr>
                      <w:szCs w:val="21"/>
                    </w:rPr>
                  </w:pPr>
                  <w:r>
                    <w:rPr>
                      <w:rFonts w:hint="eastAsia"/>
                      <w:szCs w:val="21"/>
                    </w:rPr>
                    <w:t>西</w:t>
                  </w:r>
                  <w:r>
                    <w:rPr>
                      <w:szCs w:val="21"/>
                    </w:rPr>
                    <w:t>厂界</w:t>
                  </w:r>
                </w:p>
              </w:tc>
              <w:tc>
                <w:tcPr>
                  <w:tcW w:w="1722" w:type="dxa"/>
                  <w:vAlign w:val="center"/>
                </w:tcPr>
                <w:p>
                  <w:pPr>
                    <w:adjustRightInd w:val="0"/>
                    <w:snapToGrid w:val="0"/>
                    <w:jc w:val="center"/>
                    <w:rPr>
                      <w:kern w:val="0"/>
                      <w:szCs w:val="21"/>
                    </w:rPr>
                  </w:pPr>
                  <w:r>
                    <w:rPr>
                      <w:rFonts w:hint="eastAsia"/>
                      <w:kern w:val="0"/>
                      <w:szCs w:val="21"/>
                    </w:rPr>
                    <w:t>分选机</w:t>
                  </w:r>
                </w:p>
              </w:tc>
              <w:tc>
                <w:tcPr>
                  <w:tcW w:w="709" w:type="dxa"/>
                  <w:vAlign w:val="center"/>
                </w:tcPr>
                <w:p>
                  <w:pPr>
                    <w:spacing w:line="280" w:lineRule="exact"/>
                    <w:jc w:val="center"/>
                    <w:rPr>
                      <w:szCs w:val="21"/>
                    </w:rPr>
                  </w:pPr>
                  <w:r>
                    <w:rPr>
                      <w:rFonts w:hint="eastAsia"/>
                      <w:szCs w:val="21"/>
                    </w:rPr>
                    <w:t>1</w:t>
                  </w:r>
                </w:p>
              </w:tc>
              <w:tc>
                <w:tcPr>
                  <w:tcW w:w="764" w:type="dxa"/>
                  <w:vAlign w:val="center"/>
                </w:tcPr>
                <w:p>
                  <w:pPr>
                    <w:adjustRightInd w:val="0"/>
                    <w:snapToGrid w:val="0"/>
                    <w:jc w:val="center"/>
                    <w:rPr>
                      <w:kern w:val="0"/>
                      <w:szCs w:val="21"/>
                    </w:rPr>
                  </w:pPr>
                  <w:r>
                    <w:rPr>
                      <w:kern w:val="0"/>
                      <w:szCs w:val="21"/>
                    </w:rPr>
                    <w:t>60</w:t>
                  </w:r>
                </w:p>
              </w:tc>
              <w:tc>
                <w:tcPr>
                  <w:tcW w:w="1079" w:type="dxa"/>
                  <w:vAlign w:val="center"/>
                </w:tcPr>
                <w:p>
                  <w:pPr>
                    <w:spacing w:line="280" w:lineRule="exact"/>
                    <w:jc w:val="center"/>
                    <w:rPr>
                      <w:szCs w:val="21"/>
                    </w:rPr>
                  </w:pPr>
                  <w:r>
                    <w:rPr>
                      <w:rFonts w:hint="eastAsia"/>
                      <w:szCs w:val="21"/>
                    </w:rPr>
                    <w:t>12</w:t>
                  </w:r>
                </w:p>
              </w:tc>
              <w:tc>
                <w:tcPr>
                  <w:tcW w:w="1235" w:type="dxa"/>
                  <w:vMerge w:val="restart"/>
                  <w:vAlign w:val="center"/>
                </w:tcPr>
                <w:p>
                  <w:pPr>
                    <w:spacing w:line="280" w:lineRule="exact"/>
                    <w:jc w:val="center"/>
                    <w:rPr>
                      <w:szCs w:val="21"/>
                    </w:rPr>
                  </w:pPr>
                  <w:r>
                    <w:rPr>
                      <w:szCs w:val="21"/>
                    </w:rPr>
                    <w:t>47.78</w:t>
                  </w:r>
                </w:p>
              </w:tc>
              <w:tc>
                <w:tcPr>
                  <w:tcW w:w="1107" w:type="dxa"/>
                  <w:vMerge w:val="restart"/>
                  <w:vAlign w:val="center"/>
                </w:tcPr>
                <w:p>
                  <w:pPr>
                    <w:spacing w:line="280" w:lineRule="exact"/>
                    <w:jc w:val="center"/>
                    <w:rPr>
                      <w:szCs w:val="21"/>
                    </w:rPr>
                  </w:pPr>
                  <w:r>
                    <w:rPr>
                      <w:szCs w:val="21"/>
                    </w:rPr>
                    <w:t>60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17" w:type="dxa"/>
                  <w:left w:w="28" w:type="dxa"/>
                  <w:bottom w:w="11" w:type="dxa"/>
                  <w:right w:w="28" w:type="dxa"/>
                </w:tblCellMar>
              </w:tblPrEx>
              <w:trPr>
                <w:cantSplit/>
                <w:trHeight w:val="144" w:hRule="atLeast"/>
              </w:trPr>
              <w:tc>
                <w:tcPr>
                  <w:tcW w:w="1255" w:type="dxa"/>
                  <w:vMerge w:val="continue"/>
                  <w:vAlign w:val="center"/>
                </w:tcPr>
                <w:p>
                  <w:pPr>
                    <w:spacing w:line="280" w:lineRule="exact"/>
                    <w:jc w:val="center"/>
                    <w:rPr>
                      <w:szCs w:val="21"/>
                    </w:rPr>
                  </w:pPr>
                </w:p>
              </w:tc>
              <w:tc>
                <w:tcPr>
                  <w:tcW w:w="1722" w:type="dxa"/>
                  <w:vAlign w:val="center"/>
                </w:tcPr>
                <w:p>
                  <w:pPr>
                    <w:adjustRightInd w:val="0"/>
                    <w:snapToGrid w:val="0"/>
                    <w:jc w:val="center"/>
                    <w:rPr>
                      <w:kern w:val="0"/>
                      <w:szCs w:val="21"/>
                    </w:rPr>
                  </w:pPr>
                  <w:r>
                    <w:rPr>
                      <w:rFonts w:hint="eastAsia"/>
                      <w:kern w:val="0"/>
                      <w:szCs w:val="21"/>
                    </w:rPr>
                    <w:t>高细管磨机</w:t>
                  </w:r>
                </w:p>
              </w:tc>
              <w:tc>
                <w:tcPr>
                  <w:tcW w:w="709" w:type="dxa"/>
                  <w:vAlign w:val="center"/>
                </w:tcPr>
                <w:p>
                  <w:pPr>
                    <w:spacing w:line="280" w:lineRule="exact"/>
                    <w:jc w:val="center"/>
                    <w:rPr>
                      <w:szCs w:val="21"/>
                    </w:rPr>
                  </w:pPr>
                  <w:r>
                    <w:rPr>
                      <w:rFonts w:hint="eastAsia"/>
                      <w:szCs w:val="21"/>
                    </w:rPr>
                    <w:t>1</w:t>
                  </w:r>
                </w:p>
              </w:tc>
              <w:tc>
                <w:tcPr>
                  <w:tcW w:w="764" w:type="dxa"/>
                  <w:vAlign w:val="center"/>
                </w:tcPr>
                <w:p>
                  <w:pPr>
                    <w:adjustRightInd w:val="0"/>
                    <w:snapToGrid w:val="0"/>
                    <w:jc w:val="center"/>
                    <w:rPr>
                      <w:kern w:val="0"/>
                      <w:szCs w:val="21"/>
                    </w:rPr>
                  </w:pPr>
                  <w:r>
                    <w:rPr>
                      <w:kern w:val="0"/>
                      <w:szCs w:val="21"/>
                    </w:rPr>
                    <w:t>65</w:t>
                  </w:r>
                </w:p>
              </w:tc>
              <w:tc>
                <w:tcPr>
                  <w:tcW w:w="1079" w:type="dxa"/>
                  <w:vAlign w:val="center"/>
                </w:tcPr>
                <w:p>
                  <w:pPr>
                    <w:spacing w:line="280" w:lineRule="exact"/>
                    <w:jc w:val="center"/>
                    <w:rPr>
                      <w:szCs w:val="21"/>
                    </w:rPr>
                  </w:pPr>
                  <w:r>
                    <w:rPr>
                      <w:rFonts w:hint="eastAsia"/>
                      <w:szCs w:val="21"/>
                    </w:rPr>
                    <w:t>14</w:t>
                  </w:r>
                </w:p>
              </w:tc>
              <w:tc>
                <w:tcPr>
                  <w:tcW w:w="1235" w:type="dxa"/>
                  <w:vMerge w:val="continue"/>
                  <w:vAlign w:val="center"/>
                </w:tcPr>
                <w:p>
                  <w:pPr>
                    <w:spacing w:line="280" w:lineRule="exact"/>
                    <w:jc w:val="center"/>
                    <w:rPr>
                      <w:szCs w:val="21"/>
                    </w:rPr>
                  </w:pPr>
                </w:p>
              </w:tc>
              <w:tc>
                <w:tcPr>
                  <w:tcW w:w="1107" w:type="dxa"/>
                  <w:vMerge w:val="continue"/>
                  <w:vAlign w:val="center"/>
                </w:tcPr>
                <w:p>
                  <w:pPr>
                    <w:spacing w:line="280" w:lineRule="exact"/>
                    <w:jc w:val="center"/>
                    <w:rPr>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17" w:type="dxa"/>
                  <w:left w:w="28" w:type="dxa"/>
                  <w:bottom w:w="11" w:type="dxa"/>
                  <w:right w:w="28" w:type="dxa"/>
                </w:tblCellMar>
              </w:tblPrEx>
              <w:trPr>
                <w:cantSplit/>
                <w:trHeight w:val="144" w:hRule="atLeast"/>
              </w:trPr>
              <w:tc>
                <w:tcPr>
                  <w:tcW w:w="1255" w:type="dxa"/>
                  <w:vMerge w:val="continue"/>
                  <w:vAlign w:val="center"/>
                </w:tcPr>
                <w:p>
                  <w:pPr>
                    <w:spacing w:line="280" w:lineRule="exact"/>
                    <w:jc w:val="center"/>
                    <w:rPr>
                      <w:szCs w:val="21"/>
                    </w:rPr>
                  </w:pPr>
                </w:p>
              </w:tc>
              <w:tc>
                <w:tcPr>
                  <w:tcW w:w="1722" w:type="dxa"/>
                  <w:vAlign w:val="center"/>
                </w:tcPr>
                <w:p>
                  <w:pPr>
                    <w:adjustRightInd w:val="0"/>
                    <w:snapToGrid w:val="0"/>
                    <w:jc w:val="center"/>
                    <w:rPr>
                      <w:kern w:val="0"/>
                      <w:szCs w:val="21"/>
                    </w:rPr>
                  </w:pPr>
                  <w:r>
                    <w:rPr>
                      <w:rFonts w:hint="eastAsia"/>
                      <w:kern w:val="0"/>
                      <w:szCs w:val="21"/>
                    </w:rPr>
                    <w:t>散装机</w:t>
                  </w:r>
                </w:p>
              </w:tc>
              <w:tc>
                <w:tcPr>
                  <w:tcW w:w="709" w:type="dxa"/>
                  <w:vAlign w:val="center"/>
                </w:tcPr>
                <w:p>
                  <w:pPr>
                    <w:spacing w:line="280" w:lineRule="exact"/>
                    <w:jc w:val="center"/>
                    <w:rPr>
                      <w:szCs w:val="21"/>
                    </w:rPr>
                  </w:pPr>
                  <w:r>
                    <w:rPr>
                      <w:rFonts w:hint="eastAsia"/>
                      <w:szCs w:val="21"/>
                    </w:rPr>
                    <w:t>1</w:t>
                  </w:r>
                </w:p>
              </w:tc>
              <w:tc>
                <w:tcPr>
                  <w:tcW w:w="764" w:type="dxa"/>
                  <w:vAlign w:val="center"/>
                </w:tcPr>
                <w:p>
                  <w:pPr>
                    <w:adjustRightInd w:val="0"/>
                    <w:snapToGrid w:val="0"/>
                    <w:jc w:val="center"/>
                    <w:rPr>
                      <w:kern w:val="0"/>
                      <w:szCs w:val="21"/>
                    </w:rPr>
                  </w:pPr>
                  <w:r>
                    <w:rPr>
                      <w:kern w:val="0"/>
                      <w:szCs w:val="21"/>
                    </w:rPr>
                    <w:t>55</w:t>
                  </w:r>
                </w:p>
              </w:tc>
              <w:tc>
                <w:tcPr>
                  <w:tcW w:w="1079" w:type="dxa"/>
                  <w:vAlign w:val="center"/>
                </w:tcPr>
                <w:p>
                  <w:pPr>
                    <w:spacing w:line="280" w:lineRule="exact"/>
                    <w:jc w:val="center"/>
                    <w:rPr>
                      <w:szCs w:val="21"/>
                    </w:rPr>
                  </w:pPr>
                  <w:r>
                    <w:rPr>
                      <w:rFonts w:hint="eastAsia"/>
                      <w:szCs w:val="21"/>
                    </w:rPr>
                    <w:t>5</w:t>
                  </w:r>
                </w:p>
              </w:tc>
              <w:tc>
                <w:tcPr>
                  <w:tcW w:w="1235" w:type="dxa"/>
                  <w:vMerge w:val="continue"/>
                  <w:vAlign w:val="center"/>
                </w:tcPr>
                <w:p>
                  <w:pPr>
                    <w:spacing w:line="280" w:lineRule="exact"/>
                    <w:jc w:val="center"/>
                    <w:rPr>
                      <w:szCs w:val="21"/>
                    </w:rPr>
                  </w:pPr>
                </w:p>
              </w:tc>
              <w:tc>
                <w:tcPr>
                  <w:tcW w:w="1107" w:type="dxa"/>
                  <w:vMerge w:val="continue"/>
                  <w:vAlign w:val="center"/>
                </w:tcPr>
                <w:p>
                  <w:pPr>
                    <w:spacing w:line="280" w:lineRule="exact"/>
                    <w:jc w:val="center"/>
                    <w:rPr>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17" w:type="dxa"/>
                  <w:left w:w="28" w:type="dxa"/>
                  <w:bottom w:w="11" w:type="dxa"/>
                  <w:right w:w="28" w:type="dxa"/>
                </w:tblCellMar>
              </w:tblPrEx>
              <w:trPr>
                <w:cantSplit/>
                <w:trHeight w:val="144" w:hRule="atLeast"/>
              </w:trPr>
              <w:tc>
                <w:tcPr>
                  <w:tcW w:w="1255" w:type="dxa"/>
                  <w:vMerge w:val="continue"/>
                  <w:vAlign w:val="center"/>
                </w:tcPr>
                <w:p>
                  <w:pPr>
                    <w:spacing w:line="280" w:lineRule="exact"/>
                    <w:jc w:val="center"/>
                    <w:rPr>
                      <w:szCs w:val="21"/>
                    </w:rPr>
                  </w:pPr>
                </w:p>
              </w:tc>
              <w:tc>
                <w:tcPr>
                  <w:tcW w:w="1722" w:type="dxa"/>
                  <w:vAlign w:val="center"/>
                </w:tcPr>
                <w:p>
                  <w:pPr>
                    <w:adjustRightInd w:val="0"/>
                    <w:snapToGrid w:val="0"/>
                    <w:jc w:val="center"/>
                    <w:rPr>
                      <w:kern w:val="0"/>
                      <w:szCs w:val="21"/>
                    </w:rPr>
                  </w:pPr>
                  <w:r>
                    <w:rPr>
                      <w:rFonts w:hint="eastAsia"/>
                      <w:kern w:val="0"/>
                      <w:szCs w:val="21"/>
                    </w:rPr>
                    <w:t>提升机</w:t>
                  </w:r>
                </w:p>
              </w:tc>
              <w:tc>
                <w:tcPr>
                  <w:tcW w:w="709" w:type="dxa"/>
                  <w:vAlign w:val="center"/>
                </w:tcPr>
                <w:p>
                  <w:pPr>
                    <w:spacing w:line="280" w:lineRule="exact"/>
                    <w:jc w:val="center"/>
                    <w:rPr>
                      <w:szCs w:val="21"/>
                    </w:rPr>
                  </w:pPr>
                  <w:r>
                    <w:rPr>
                      <w:szCs w:val="21"/>
                    </w:rPr>
                    <w:t>2</w:t>
                  </w:r>
                </w:p>
              </w:tc>
              <w:tc>
                <w:tcPr>
                  <w:tcW w:w="764" w:type="dxa"/>
                  <w:vAlign w:val="center"/>
                </w:tcPr>
                <w:p>
                  <w:pPr>
                    <w:adjustRightInd w:val="0"/>
                    <w:snapToGrid w:val="0"/>
                    <w:jc w:val="center"/>
                    <w:rPr>
                      <w:kern w:val="0"/>
                      <w:szCs w:val="21"/>
                    </w:rPr>
                  </w:pPr>
                  <w:r>
                    <w:rPr>
                      <w:kern w:val="0"/>
                      <w:szCs w:val="21"/>
                    </w:rPr>
                    <w:t>60</w:t>
                  </w:r>
                </w:p>
              </w:tc>
              <w:tc>
                <w:tcPr>
                  <w:tcW w:w="1079" w:type="dxa"/>
                  <w:vAlign w:val="center"/>
                </w:tcPr>
                <w:p>
                  <w:pPr>
                    <w:spacing w:line="280" w:lineRule="exact"/>
                    <w:jc w:val="center"/>
                    <w:rPr>
                      <w:szCs w:val="21"/>
                    </w:rPr>
                  </w:pPr>
                  <w:r>
                    <w:rPr>
                      <w:rFonts w:hint="eastAsia"/>
                      <w:szCs w:val="21"/>
                    </w:rPr>
                    <w:t>9</w:t>
                  </w:r>
                </w:p>
              </w:tc>
              <w:tc>
                <w:tcPr>
                  <w:tcW w:w="1235" w:type="dxa"/>
                  <w:vMerge w:val="continue"/>
                  <w:vAlign w:val="center"/>
                </w:tcPr>
                <w:p>
                  <w:pPr>
                    <w:spacing w:line="280" w:lineRule="exact"/>
                    <w:jc w:val="center"/>
                    <w:rPr>
                      <w:szCs w:val="21"/>
                    </w:rPr>
                  </w:pPr>
                </w:p>
              </w:tc>
              <w:tc>
                <w:tcPr>
                  <w:tcW w:w="1107" w:type="dxa"/>
                  <w:vMerge w:val="continue"/>
                  <w:vAlign w:val="center"/>
                </w:tcPr>
                <w:p>
                  <w:pPr>
                    <w:spacing w:line="280" w:lineRule="exact"/>
                    <w:jc w:val="center"/>
                    <w:rPr>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17" w:type="dxa"/>
                  <w:left w:w="28" w:type="dxa"/>
                  <w:bottom w:w="11" w:type="dxa"/>
                  <w:right w:w="28" w:type="dxa"/>
                </w:tblCellMar>
              </w:tblPrEx>
              <w:trPr>
                <w:cantSplit/>
                <w:trHeight w:val="144" w:hRule="atLeast"/>
              </w:trPr>
              <w:tc>
                <w:tcPr>
                  <w:tcW w:w="1255" w:type="dxa"/>
                  <w:vMerge w:val="continue"/>
                  <w:vAlign w:val="center"/>
                </w:tcPr>
                <w:p>
                  <w:pPr>
                    <w:spacing w:line="280" w:lineRule="exact"/>
                    <w:jc w:val="center"/>
                    <w:rPr>
                      <w:szCs w:val="21"/>
                    </w:rPr>
                  </w:pPr>
                </w:p>
              </w:tc>
              <w:tc>
                <w:tcPr>
                  <w:tcW w:w="1722" w:type="dxa"/>
                  <w:vAlign w:val="center"/>
                </w:tcPr>
                <w:p>
                  <w:pPr>
                    <w:adjustRightInd w:val="0"/>
                    <w:snapToGrid w:val="0"/>
                    <w:jc w:val="center"/>
                    <w:rPr>
                      <w:kern w:val="0"/>
                      <w:szCs w:val="21"/>
                    </w:rPr>
                  </w:pPr>
                  <w:r>
                    <w:rPr>
                      <w:rFonts w:hint="eastAsia"/>
                      <w:kern w:val="0"/>
                      <w:szCs w:val="21"/>
                    </w:rPr>
                    <w:t>鼓风机</w:t>
                  </w:r>
                </w:p>
              </w:tc>
              <w:tc>
                <w:tcPr>
                  <w:tcW w:w="709" w:type="dxa"/>
                  <w:vAlign w:val="center"/>
                </w:tcPr>
                <w:p>
                  <w:pPr>
                    <w:spacing w:line="280" w:lineRule="exact"/>
                    <w:jc w:val="center"/>
                    <w:rPr>
                      <w:szCs w:val="21"/>
                    </w:rPr>
                  </w:pPr>
                  <w:r>
                    <w:rPr>
                      <w:szCs w:val="21"/>
                    </w:rPr>
                    <w:t>5</w:t>
                  </w:r>
                </w:p>
              </w:tc>
              <w:tc>
                <w:tcPr>
                  <w:tcW w:w="764" w:type="dxa"/>
                  <w:vAlign w:val="center"/>
                </w:tcPr>
                <w:p>
                  <w:pPr>
                    <w:adjustRightInd w:val="0"/>
                    <w:snapToGrid w:val="0"/>
                    <w:jc w:val="center"/>
                    <w:rPr>
                      <w:kern w:val="0"/>
                      <w:szCs w:val="21"/>
                    </w:rPr>
                  </w:pPr>
                  <w:r>
                    <w:rPr>
                      <w:rFonts w:hint="eastAsia"/>
                      <w:kern w:val="0"/>
                      <w:szCs w:val="21"/>
                    </w:rPr>
                    <w:t>65</w:t>
                  </w:r>
                </w:p>
              </w:tc>
              <w:tc>
                <w:tcPr>
                  <w:tcW w:w="1079" w:type="dxa"/>
                  <w:vAlign w:val="center"/>
                </w:tcPr>
                <w:p>
                  <w:pPr>
                    <w:spacing w:line="280" w:lineRule="exact"/>
                    <w:jc w:val="center"/>
                    <w:rPr>
                      <w:szCs w:val="21"/>
                    </w:rPr>
                  </w:pPr>
                  <w:r>
                    <w:rPr>
                      <w:szCs w:val="21"/>
                    </w:rPr>
                    <w:t>9</w:t>
                  </w:r>
                </w:p>
              </w:tc>
              <w:tc>
                <w:tcPr>
                  <w:tcW w:w="1235" w:type="dxa"/>
                  <w:vMerge w:val="continue"/>
                  <w:vAlign w:val="center"/>
                </w:tcPr>
                <w:p>
                  <w:pPr>
                    <w:spacing w:line="280" w:lineRule="exact"/>
                    <w:jc w:val="center"/>
                    <w:rPr>
                      <w:szCs w:val="21"/>
                    </w:rPr>
                  </w:pPr>
                </w:p>
              </w:tc>
              <w:tc>
                <w:tcPr>
                  <w:tcW w:w="1107" w:type="dxa"/>
                  <w:vMerge w:val="continue"/>
                  <w:vAlign w:val="center"/>
                </w:tcPr>
                <w:p>
                  <w:pPr>
                    <w:spacing w:line="280" w:lineRule="exact"/>
                    <w:jc w:val="center"/>
                    <w:rPr>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17" w:type="dxa"/>
                  <w:left w:w="28" w:type="dxa"/>
                  <w:bottom w:w="11" w:type="dxa"/>
                  <w:right w:w="28" w:type="dxa"/>
                </w:tblCellMar>
              </w:tblPrEx>
              <w:trPr>
                <w:cantSplit/>
                <w:trHeight w:val="144" w:hRule="atLeast"/>
              </w:trPr>
              <w:tc>
                <w:tcPr>
                  <w:tcW w:w="1255" w:type="dxa"/>
                  <w:vMerge w:val="continue"/>
                  <w:vAlign w:val="center"/>
                </w:tcPr>
                <w:p>
                  <w:pPr>
                    <w:spacing w:line="280" w:lineRule="exact"/>
                    <w:jc w:val="center"/>
                    <w:rPr>
                      <w:szCs w:val="21"/>
                    </w:rPr>
                  </w:pPr>
                </w:p>
              </w:tc>
              <w:tc>
                <w:tcPr>
                  <w:tcW w:w="1722" w:type="dxa"/>
                  <w:vAlign w:val="center"/>
                </w:tcPr>
                <w:p>
                  <w:pPr>
                    <w:adjustRightInd w:val="0"/>
                    <w:snapToGrid w:val="0"/>
                    <w:jc w:val="center"/>
                    <w:rPr>
                      <w:kern w:val="0"/>
                      <w:szCs w:val="21"/>
                    </w:rPr>
                  </w:pPr>
                  <w:r>
                    <w:rPr>
                      <w:rFonts w:hint="eastAsia"/>
                      <w:kern w:val="0"/>
                      <w:szCs w:val="21"/>
                    </w:rPr>
                    <w:t>除尘器风机</w:t>
                  </w:r>
                </w:p>
              </w:tc>
              <w:tc>
                <w:tcPr>
                  <w:tcW w:w="709" w:type="dxa"/>
                  <w:vAlign w:val="center"/>
                </w:tcPr>
                <w:p>
                  <w:pPr>
                    <w:spacing w:line="280" w:lineRule="exact"/>
                    <w:jc w:val="center"/>
                    <w:rPr>
                      <w:szCs w:val="21"/>
                    </w:rPr>
                  </w:pPr>
                  <w:r>
                    <w:rPr>
                      <w:szCs w:val="21"/>
                    </w:rPr>
                    <w:t>5</w:t>
                  </w:r>
                </w:p>
              </w:tc>
              <w:tc>
                <w:tcPr>
                  <w:tcW w:w="764" w:type="dxa"/>
                  <w:vAlign w:val="center"/>
                </w:tcPr>
                <w:p>
                  <w:pPr>
                    <w:adjustRightInd w:val="0"/>
                    <w:snapToGrid w:val="0"/>
                    <w:jc w:val="center"/>
                    <w:rPr>
                      <w:kern w:val="0"/>
                      <w:szCs w:val="21"/>
                    </w:rPr>
                  </w:pPr>
                  <w:r>
                    <w:rPr>
                      <w:kern w:val="0"/>
                      <w:szCs w:val="21"/>
                    </w:rPr>
                    <w:t>55</w:t>
                  </w:r>
                </w:p>
              </w:tc>
              <w:tc>
                <w:tcPr>
                  <w:tcW w:w="1079" w:type="dxa"/>
                  <w:vAlign w:val="center"/>
                </w:tcPr>
                <w:p>
                  <w:pPr>
                    <w:spacing w:line="280" w:lineRule="exact"/>
                    <w:jc w:val="center"/>
                    <w:rPr>
                      <w:szCs w:val="21"/>
                    </w:rPr>
                  </w:pPr>
                  <w:r>
                    <w:rPr>
                      <w:rFonts w:hint="eastAsia"/>
                      <w:szCs w:val="21"/>
                    </w:rPr>
                    <w:t>5</w:t>
                  </w:r>
                </w:p>
              </w:tc>
              <w:tc>
                <w:tcPr>
                  <w:tcW w:w="1235" w:type="dxa"/>
                  <w:vMerge w:val="continue"/>
                  <w:vAlign w:val="center"/>
                </w:tcPr>
                <w:p>
                  <w:pPr>
                    <w:spacing w:line="280" w:lineRule="exact"/>
                    <w:jc w:val="center"/>
                    <w:rPr>
                      <w:szCs w:val="21"/>
                    </w:rPr>
                  </w:pPr>
                </w:p>
              </w:tc>
              <w:tc>
                <w:tcPr>
                  <w:tcW w:w="1107" w:type="dxa"/>
                  <w:vMerge w:val="continue"/>
                  <w:vAlign w:val="center"/>
                </w:tcPr>
                <w:p>
                  <w:pPr>
                    <w:spacing w:line="280" w:lineRule="exact"/>
                    <w:jc w:val="center"/>
                    <w:rPr>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17" w:type="dxa"/>
                  <w:left w:w="28" w:type="dxa"/>
                  <w:bottom w:w="11" w:type="dxa"/>
                  <w:right w:w="28" w:type="dxa"/>
                </w:tblCellMar>
              </w:tblPrEx>
              <w:trPr>
                <w:cantSplit/>
                <w:trHeight w:val="144" w:hRule="atLeast"/>
              </w:trPr>
              <w:tc>
                <w:tcPr>
                  <w:tcW w:w="1255" w:type="dxa"/>
                  <w:vMerge w:val="restart"/>
                  <w:vAlign w:val="center"/>
                </w:tcPr>
                <w:p>
                  <w:pPr>
                    <w:spacing w:line="280" w:lineRule="exact"/>
                    <w:jc w:val="center"/>
                    <w:rPr>
                      <w:szCs w:val="21"/>
                    </w:rPr>
                  </w:pPr>
                  <w:r>
                    <w:rPr>
                      <w:rFonts w:hint="eastAsia"/>
                      <w:szCs w:val="21"/>
                    </w:rPr>
                    <w:t>南厂界</w:t>
                  </w:r>
                </w:p>
              </w:tc>
              <w:tc>
                <w:tcPr>
                  <w:tcW w:w="1722" w:type="dxa"/>
                  <w:vAlign w:val="center"/>
                </w:tcPr>
                <w:p>
                  <w:pPr>
                    <w:adjustRightInd w:val="0"/>
                    <w:snapToGrid w:val="0"/>
                    <w:jc w:val="center"/>
                    <w:rPr>
                      <w:kern w:val="0"/>
                      <w:szCs w:val="21"/>
                    </w:rPr>
                  </w:pPr>
                  <w:r>
                    <w:rPr>
                      <w:rFonts w:hint="eastAsia"/>
                      <w:kern w:val="0"/>
                      <w:szCs w:val="21"/>
                    </w:rPr>
                    <w:t>分选机</w:t>
                  </w:r>
                </w:p>
              </w:tc>
              <w:tc>
                <w:tcPr>
                  <w:tcW w:w="709" w:type="dxa"/>
                  <w:vAlign w:val="center"/>
                </w:tcPr>
                <w:p>
                  <w:pPr>
                    <w:spacing w:line="280" w:lineRule="exact"/>
                    <w:jc w:val="center"/>
                    <w:rPr>
                      <w:szCs w:val="21"/>
                    </w:rPr>
                  </w:pPr>
                  <w:r>
                    <w:rPr>
                      <w:rFonts w:hint="eastAsia"/>
                      <w:szCs w:val="21"/>
                    </w:rPr>
                    <w:t>1</w:t>
                  </w:r>
                </w:p>
              </w:tc>
              <w:tc>
                <w:tcPr>
                  <w:tcW w:w="764" w:type="dxa"/>
                  <w:vAlign w:val="center"/>
                </w:tcPr>
                <w:p>
                  <w:pPr>
                    <w:adjustRightInd w:val="0"/>
                    <w:snapToGrid w:val="0"/>
                    <w:jc w:val="center"/>
                    <w:rPr>
                      <w:kern w:val="0"/>
                      <w:szCs w:val="21"/>
                    </w:rPr>
                  </w:pPr>
                  <w:r>
                    <w:rPr>
                      <w:kern w:val="0"/>
                      <w:szCs w:val="21"/>
                    </w:rPr>
                    <w:t>60</w:t>
                  </w:r>
                </w:p>
              </w:tc>
              <w:tc>
                <w:tcPr>
                  <w:tcW w:w="1079" w:type="dxa"/>
                  <w:vAlign w:val="center"/>
                </w:tcPr>
                <w:p>
                  <w:pPr>
                    <w:spacing w:line="280" w:lineRule="exact"/>
                    <w:jc w:val="center"/>
                    <w:rPr>
                      <w:szCs w:val="21"/>
                    </w:rPr>
                  </w:pPr>
                  <w:r>
                    <w:rPr>
                      <w:rFonts w:hint="eastAsia"/>
                      <w:szCs w:val="21"/>
                    </w:rPr>
                    <w:t>7.5</w:t>
                  </w:r>
                </w:p>
              </w:tc>
              <w:tc>
                <w:tcPr>
                  <w:tcW w:w="1235" w:type="dxa"/>
                  <w:vMerge w:val="restart"/>
                  <w:vAlign w:val="center"/>
                </w:tcPr>
                <w:p>
                  <w:pPr>
                    <w:spacing w:line="280" w:lineRule="exact"/>
                    <w:jc w:val="center"/>
                    <w:rPr>
                      <w:szCs w:val="21"/>
                    </w:rPr>
                  </w:pPr>
                  <w:r>
                    <w:rPr>
                      <w:rFonts w:hint="eastAsia"/>
                      <w:szCs w:val="21"/>
                    </w:rPr>
                    <w:t>47.36</w:t>
                  </w:r>
                </w:p>
              </w:tc>
              <w:tc>
                <w:tcPr>
                  <w:tcW w:w="1107" w:type="dxa"/>
                  <w:vMerge w:val="restart"/>
                  <w:vAlign w:val="center"/>
                </w:tcPr>
                <w:p>
                  <w:pPr>
                    <w:spacing w:line="280" w:lineRule="exact"/>
                    <w:jc w:val="center"/>
                    <w:rPr>
                      <w:szCs w:val="21"/>
                    </w:rPr>
                  </w:pPr>
                  <w:r>
                    <w:rPr>
                      <w:szCs w:val="21"/>
                    </w:rPr>
                    <w:t>60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17" w:type="dxa"/>
                  <w:left w:w="28" w:type="dxa"/>
                  <w:bottom w:w="11" w:type="dxa"/>
                  <w:right w:w="28" w:type="dxa"/>
                </w:tblCellMar>
              </w:tblPrEx>
              <w:trPr>
                <w:cantSplit/>
                <w:trHeight w:val="144" w:hRule="atLeast"/>
              </w:trPr>
              <w:tc>
                <w:tcPr>
                  <w:tcW w:w="1255" w:type="dxa"/>
                  <w:vMerge w:val="continue"/>
                  <w:vAlign w:val="center"/>
                </w:tcPr>
                <w:p>
                  <w:pPr>
                    <w:spacing w:line="280" w:lineRule="exact"/>
                    <w:jc w:val="center"/>
                    <w:rPr>
                      <w:szCs w:val="21"/>
                    </w:rPr>
                  </w:pPr>
                </w:p>
              </w:tc>
              <w:tc>
                <w:tcPr>
                  <w:tcW w:w="1722" w:type="dxa"/>
                  <w:vAlign w:val="center"/>
                </w:tcPr>
                <w:p>
                  <w:pPr>
                    <w:adjustRightInd w:val="0"/>
                    <w:snapToGrid w:val="0"/>
                    <w:jc w:val="center"/>
                    <w:rPr>
                      <w:kern w:val="0"/>
                      <w:szCs w:val="21"/>
                    </w:rPr>
                  </w:pPr>
                  <w:r>
                    <w:rPr>
                      <w:rFonts w:hint="eastAsia"/>
                      <w:kern w:val="0"/>
                      <w:szCs w:val="21"/>
                    </w:rPr>
                    <w:t>高细管磨机</w:t>
                  </w:r>
                </w:p>
              </w:tc>
              <w:tc>
                <w:tcPr>
                  <w:tcW w:w="709" w:type="dxa"/>
                  <w:vAlign w:val="center"/>
                </w:tcPr>
                <w:p>
                  <w:pPr>
                    <w:spacing w:line="280" w:lineRule="exact"/>
                    <w:jc w:val="center"/>
                    <w:rPr>
                      <w:szCs w:val="21"/>
                    </w:rPr>
                  </w:pPr>
                  <w:r>
                    <w:rPr>
                      <w:rFonts w:hint="eastAsia"/>
                      <w:szCs w:val="21"/>
                    </w:rPr>
                    <w:t>1</w:t>
                  </w:r>
                </w:p>
              </w:tc>
              <w:tc>
                <w:tcPr>
                  <w:tcW w:w="764" w:type="dxa"/>
                  <w:vAlign w:val="center"/>
                </w:tcPr>
                <w:p>
                  <w:pPr>
                    <w:adjustRightInd w:val="0"/>
                    <w:snapToGrid w:val="0"/>
                    <w:jc w:val="center"/>
                    <w:rPr>
                      <w:kern w:val="0"/>
                      <w:szCs w:val="21"/>
                    </w:rPr>
                  </w:pPr>
                  <w:r>
                    <w:rPr>
                      <w:kern w:val="0"/>
                      <w:szCs w:val="21"/>
                    </w:rPr>
                    <w:t>65</w:t>
                  </w:r>
                </w:p>
              </w:tc>
              <w:tc>
                <w:tcPr>
                  <w:tcW w:w="1079" w:type="dxa"/>
                  <w:vAlign w:val="center"/>
                </w:tcPr>
                <w:p>
                  <w:pPr>
                    <w:spacing w:line="280" w:lineRule="exact"/>
                    <w:jc w:val="center"/>
                    <w:rPr>
                      <w:szCs w:val="21"/>
                    </w:rPr>
                  </w:pPr>
                  <w:r>
                    <w:rPr>
                      <w:rFonts w:hint="eastAsia"/>
                      <w:szCs w:val="21"/>
                    </w:rPr>
                    <w:t>12</w:t>
                  </w:r>
                </w:p>
              </w:tc>
              <w:tc>
                <w:tcPr>
                  <w:tcW w:w="1235" w:type="dxa"/>
                  <w:vMerge w:val="continue"/>
                  <w:vAlign w:val="center"/>
                </w:tcPr>
                <w:p>
                  <w:pPr>
                    <w:spacing w:line="280" w:lineRule="exact"/>
                    <w:jc w:val="center"/>
                    <w:rPr>
                      <w:szCs w:val="21"/>
                    </w:rPr>
                  </w:pPr>
                </w:p>
              </w:tc>
              <w:tc>
                <w:tcPr>
                  <w:tcW w:w="1107" w:type="dxa"/>
                  <w:vMerge w:val="continue"/>
                  <w:vAlign w:val="center"/>
                </w:tcPr>
                <w:p>
                  <w:pPr>
                    <w:spacing w:line="280" w:lineRule="exact"/>
                    <w:jc w:val="center"/>
                    <w:rPr>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17" w:type="dxa"/>
                  <w:left w:w="28" w:type="dxa"/>
                  <w:bottom w:w="11" w:type="dxa"/>
                  <w:right w:w="28" w:type="dxa"/>
                </w:tblCellMar>
              </w:tblPrEx>
              <w:trPr>
                <w:cantSplit/>
                <w:trHeight w:val="144" w:hRule="atLeast"/>
              </w:trPr>
              <w:tc>
                <w:tcPr>
                  <w:tcW w:w="1255" w:type="dxa"/>
                  <w:vMerge w:val="continue"/>
                  <w:vAlign w:val="center"/>
                </w:tcPr>
                <w:p>
                  <w:pPr>
                    <w:spacing w:line="280" w:lineRule="exact"/>
                    <w:jc w:val="center"/>
                    <w:rPr>
                      <w:szCs w:val="21"/>
                    </w:rPr>
                  </w:pPr>
                </w:p>
              </w:tc>
              <w:tc>
                <w:tcPr>
                  <w:tcW w:w="1722" w:type="dxa"/>
                  <w:vAlign w:val="center"/>
                </w:tcPr>
                <w:p>
                  <w:pPr>
                    <w:adjustRightInd w:val="0"/>
                    <w:snapToGrid w:val="0"/>
                    <w:jc w:val="center"/>
                    <w:rPr>
                      <w:kern w:val="0"/>
                      <w:szCs w:val="21"/>
                    </w:rPr>
                  </w:pPr>
                  <w:r>
                    <w:rPr>
                      <w:rFonts w:hint="eastAsia"/>
                      <w:kern w:val="0"/>
                      <w:szCs w:val="21"/>
                    </w:rPr>
                    <w:t>散装机</w:t>
                  </w:r>
                </w:p>
              </w:tc>
              <w:tc>
                <w:tcPr>
                  <w:tcW w:w="709" w:type="dxa"/>
                  <w:vAlign w:val="center"/>
                </w:tcPr>
                <w:p>
                  <w:pPr>
                    <w:spacing w:line="280" w:lineRule="exact"/>
                    <w:jc w:val="center"/>
                    <w:rPr>
                      <w:szCs w:val="21"/>
                    </w:rPr>
                  </w:pPr>
                  <w:r>
                    <w:rPr>
                      <w:rFonts w:hint="eastAsia"/>
                      <w:szCs w:val="21"/>
                    </w:rPr>
                    <w:t>1</w:t>
                  </w:r>
                </w:p>
              </w:tc>
              <w:tc>
                <w:tcPr>
                  <w:tcW w:w="764" w:type="dxa"/>
                  <w:vAlign w:val="center"/>
                </w:tcPr>
                <w:p>
                  <w:pPr>
                    <w:adjustRightInd w:val="0"/>
                    <w:snapToGrid w:val="0"/>
                    <w:jc w:val="center"/>
                    <w:rPr>
                      <w:kern w:val="0"/>
                      <w:szCs w:val="21"/>
                    </w:rPr>
                  </w:pPr>
                  <w:r>
                    <w:rPr>
                      <w:kern w:val="0"/>
                      <w:szCs w:val="21"/>
                    </w:rPr>
                    <w:t>55</w:t>
                  </w:r>
                </w:p>
              </w:tc>
              <w:tc>
                <w:tcPr>
                  <w:tcW w:w="1079" w:type="dxa"/>
                  <w:vAlign w:val="center"/>
                </w:tcPr>
                <w:p>
                  <w:pPr>
                    <w:spacing w:line="280" w:lineRule="exact"/>
                    <w:jc w:val="center"/>
                    <w:rPr>
                      <w:szCs w:val="21"/>
                    </w:rPr>
                  </w:pPr>
                  <w:r>
                    <w:rPr>
                      <w:rFonts w:hint="eastAsia"/>
                      <w:szCs w:val="21"/>
                    </w:rPr>
                    <w:t>14</w:t>
                  </w:r>
                </w:p>
              </w:tc>
              <w:tc>
                <w:tcPr>
                  <w:tcW w:w="1235" w:type="dxa"/>
                  <w:vMerge w:val="continue"/>
                  <w:vAlign w:val="center"/>
                </w:tcPr>
                <w:p>
                  <w:pPr>
                    <w:spacing w:line="280" w:lineRule="exact"/>
                    <w:jc w:val="center"/>
                    <w:rPr>
                      <w:szCs w:val="21"/>
                    </w:rPr>
                  </w:pPr>
                </w:p>
              </w:tc>
              <w:tc>
                <w:tcPr>
                  <w:tcW w:w="1107" w:type="dxa"/>
                  <w:vMerge w:val="continue"/>
                  <w:vAlign w:val="center"/>
                </w:tcPr>
                <w:p>
                  <w:pPr>
                    <w:spacing w:line="280" w:lineRule="exact"/>
                    <w:jc w:val="center"/>
                    <w:rPr>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17" w:type="dxa"/>
                  <w:left w:w="28" w:type="dxa"/>
                  <w:bottom w:w="11" w:type="dxa"/>
                  <w:right w:w="28" w:type="dxa"/>
                </w:tblCellMar>
              </w:tblPrEx>
              <w:trPr>
                <w:cantSplit/>
                <w:trHeight w:val="144" w:hRule="atLeast"/>
              </w:trPr>
              <w:tc>
                <w:tcPr>
                  <w:tcW w:w="1255" w:type="dxa"/>
                  <w:vMerge w:val="continue"/>
                  <w:vAlign w:val="center"/>
                </w:tcPr>
                <w:p>
                  <w:pPr>
                    <w:spacing w:line="280" w:lineRule="exact"/>
                    <w:jc w:val="center"/>
                    <w:rPr>
                      <w:szCs w:val="21"/>
                    </w:rPr>
                  </w:pPr>
                </w:p>
              </w:tc>
              <w:tc>
                <w:tcPr>
                  <w:tcW w:w="1722" w:type="dxa"/>
                  <w:vAlign w:val="center"/>
                </w:tcPr>
                <w:p>
                  <w:pPr>
                    <w:adjustRightInd w:val="0"/>
                    <w:snapToGrid w:val="0"/>
                    <w:jc w:val="center"/>
                    <w:rPr>
                      <w:kern w:val="0"/>
                      <w:szCs w:val="21"/>
                    </w:rPr>
                  </w:pPr>
                  <w:r>
                    <w:rPr>
                      <w:rFonts w:hint="eastAsia"/>
                      <w:kern w:val="0"/>
                      <w:szCs w:val="21"/>
                    </w:rPr>
                    <w:t>提升机</w:t>
                  </w:r>
                </w:p>
              </w:tc>
              <w:tc>
                <w:tcPr>
                  <w:tcW w:w="709" w:type="dxa"/>
                  <w:vAlign w:val="center"/>
                </w:tcPr>
                <w:p>
                  <w:pPr>
                    <w:spacing w:line="280" w:lineRule="exact"/>
                    <w:jc w:val="center"/>
                    <w:rPr>
                      <w:szCs w:val="21"/>
                    </w:rPr>
                  </w:pPr>
                  <w:r>
                    <w:rPr>
                      <w:szCs w:val="21"/>
                    </w:rPr>
                    <w:t>2</w:t>
                  </w:r>
                </w:p>
              </w:tc>
              <w:tc>
                <w:tcPr>
                  <w:tcW w:w="764" w:type="dxa"/>
                  <w:vAlign w:val="center"/>
                </w:tcPr>
                <w:p>
                  <w:pPr>
                    <w:adjustRightInd w:val="0"/>
                    <w:snapToGrid w:val="0"/>
                    <w:jc w:val="center"/>
                    <w:rPr>
                      <w:kern w:val="0"/>
                      <w:szCs w:val="21"/>
                    </w:rPr>
                  </w:pPr>
                  <w:r>
                    <w:rPr>
                      <w:kern w:val="0"/>
                      <w:szCs w:val="21"/>
                    </w:rPr>
                    <w:t>60</w:t>
                  </w:r>
                </w:p>
              </w:tc>
              <w:tc>
                <w:tcPr>
                  <w:tcW w:w="1079" w:type="dxa"/>
                  <w:vAlign w:val="center"/>
                </w:tcPr>
                <w:p>
                  <w:pPr>
                    <w:spacing w:line="280" w:lineRule="exact"/>
                    <w:jc w:val="center"/>
                    <w:rPr>
                      <w:szCs w:val="21"/>
                    </w:rPr>
                  </w:pPr>
                  <w:r>
                    <w:rPr>
                      <w:rFonts w:hint="eastAsia"/>
                      <w:szCs w:val="21"/>
                    </w:rPr>
                    <w:t>10</w:t>
                  </w:r>
                </w:p>
              </w:tc>
              <w:tc>
                <w:tcPr>
                  <w:tcW w:w="1235" w:type="dxa"/>
                  <w:vMerge w:val="continue"/>
                  <w:vAlign w:val="center"/>
                </w:tcPr>
                <w:p>
                  <w:pPr>
                    <w:spacing w:line="280" w:lineRule="exact"/>
                    <w:jc w:val="center"/>
                    <w:rPr>
                      <w:szCs w:val="21"/>
                    </w:rPr>
                  </w:pPr>
                </w:p>
              </w:tc>
              <w:tc>
                <w:tcPr>
                  <w:tcW w:w="1107" w:type="dxa"/>
                  <w:vMerge w:val="continue"/>
                  <w:vAlign w:val="center"/>
                </w:tcPr>
                <w:p>
                  <w:pPr>
                    <w:spacing w:line="280" w:lineRule="exact"/>
                    <w:jc w:val="center"/>
                    <w:rPr>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17" w:type="dxa"/>
                  <w:left w:w="28" w:type="dxa"/>
                  <w:bottom w:w="11" w:type="dxa"/>
                  <w:right w:w="28" w:type="dxa"/>
                </w:tblCellMar>
              </w:tblPrEx>
              <w:trPr>
                <w:cantSplit/>
                <w:trHeight w:val="144" w:hRule="atLeast"/>
              </w:trPr>
              <w:tc>
                <w:tcPr>
                  <w:tcW w:w="1255" w:type="dxa"/>
                  <w:vMerge w:val="continue"/>
                  <w:vAlign w:val="center"/>
                </w:tcPr>
                <w:p>
                  <w:pPr>
                    <w:spacing w:line="280" w:lineRule="exact"/>
                    <w:jc w:val="center"/>
                    <w:rPr>
                      <w:szCs w:val="21"/>
                    </w:rPr>
                  </w:pPr>
                </w:p>
              </w:tc>
              <w:tc>
                <w:tcPr>
                  <w:tcW w:w="1722" w:type="dxa"/>
                  <w:vAlign w:val="center"/>
                </w:tcPr>
                <w:p>
                  <w:pPr>
                    <w:adjustRightInd w:val="0"/>
                    <w:snapToGrid w:val="0"/>
                    <w:jc w:val="center"/>
                    <w:rPr>
                      <w:kern w:val="0"/>
                      <w:szCs w:val="21"/>
                    </w:rPr>
                  </w:pPr>
                  <w:r>
                    <w:rPr>
                      <w:rFonts w:hint="eastAsia"/>
                      <w:kern w:val="0"/>
                      <w:szCs w:val="21"/>
                    </w:rPr>
                    <w:t>鼓风机</w:t>
                  </w:r>
                </w:p>
              </w:tc>
              <w:tc>
                <w:tcPr>
                  <w:tcW w:w="709" w:type="dxa"/>
                  <w:vAlign w:val="center"/>
                </w:tcPr>
                <w:p>
                  <w:pPr>
                    <w:spacing w:line="280" w:lineRule="exact"/>
                    <w:jc w:val="center"/>
                    <w:rPr>
                      <w:szCs w:val="21"/>
                    </w:rPr>
                  </w:pPr>
                  <w:r>
                    <w:rPr>
                      <w:szCs w:val="21"/>
                    </w:rPr>
                    <w:t>5</w:t>
                  </w:r>
                </w:p>
              </w:tc>
              <w:tc>
                <w:tcPr>
                  <w:tcW w:w="764" w:type="dxa"/>
                  <w:vAlign w:val="center"/>
                </w:tcPr>
                <w:p>
                  <w:pPr>
                    <w:adjustRightInd w:val="0"/>
                    <w:snapToGrid w:val="0"/>
                    <w:jc w:val="center"/>
                    <w:rPr>
                      <w:kern w:val="0"/>
                      <w:szCs w:val="21"/>
                    </w:rPr>
                  </w:pPr>
                  <w:r>
                    <w:rPr>
                      <w:rFonts w:hint="eastAsia"/>
                      <w:kern w:val="0"/>
                      <w:szCs w:val="21"/>
                    </w:rPr>
                    <w:t>65</w:t>
                  </w:r>
                </w:p>
              </w:tc>
              <w:tc>
                <w:tcPr>
                  <w:tcW w:w="1079" w:type="dxa"/>
                  <w:vAlign w:val="center"/>
                </w:tcPr>
                <w:p>
                  <w:pPr>
                    <w:spacing w:line="280" w:lineRule="exact"/>
                    <w:jc w:val="center"/>
                    <w:rPr>
                      <w:szCs w:val="21"/>
                    </w:rPr>
                  </w:pPr>
                  <w:r>
                    <w:rPr>
                      <w:szCs w:val="21"/>
                    </w:rPr>
                    <w:t>14</w:t>
                  </w:r>
                </w:p>
              </w:tc>
              <w:tc>
                <w:tcPr>
                  <w:tcW w:w="1235" w:type="dxa"/>
                  <w:vMerge w:val="continue"/>
                  <w:vAlign w:val="center"/>
                </w:tcPr>
                <w:p>
                  <w:pPr>
                    <w:spacing w:line="280" w:lineRule="exact"/>
                    <w:jc w:val="center"/>
                    <w:rPr>
                      <w:szCs w:val="21"/>
                    </w:rPr>
                  </w:pPr>
                </w:p>
              </w:tc>
              <w:tc>
                <w:tcPr>
                  <w:tcW w:w="1107" w:type="dxa"/>
                  <w:vMerge w:val="continue"/>
                  <w:vAlign w:val="center"/>
                </w:tcPr>
                <w:p>
                  <w:pPr>
                    <w:spacing w:line="280" w:lineRule="exact"/>
                    <w:jc w:val="center"/>
                    <w:rPr>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17" w:type="dxa"/>
                  <w:left w:w="28" w:type="dxa"/>
                  <w:bottom w:w="11" w:type="dxa"/>
                  <w:right w:w="28" w:type="dxa"/>
                </w:tblCellMar>
              </w:tblPrEx>
              <w:trPr>
                <w:cantSplit/>
                <w:trHeight w:val="301" w:hRule="atLeast"/>
              </w:trPr>
              <w:tc>
                <w:tcPr>
                  <w:tcW w:w="1255" w:type="dxa"/>
                  <w:vMerge w:val="continue"/>
                  <w:vAlign w:val="center"/>
                </w:tcPr>
                <w:p>
                  <w:pPr>
                    <w:spacing w:line="280" w:lineRule="exact"/>
                    <w:jc w:val="center"/>
                    <w:rPr>
                      <w:szCs w:val="21"/>
                    </w:rPr>
                  </w:pPr>
                </w:p>
              </w:tc>
              <w:tc>
                <w:tcPr>
                  <w:tcW w:w="1722" w:type="dxa"/>
                  <w:vAlign w:val="center"/>
                </w:tcPr>
                <w:p>
                  <w:pPr>
                    <w:adjustRightInd w:val="0"/>
                    <w:snapToGrid w:val="0"/>
                    <w:jc w:val="center"/>
                    <w:rPr>
                      <w:kern w:val="0"/>
                      <w:szCs w:val="21"/>
                    </w:rPr>
                  </w:pPr>
                  <w:r>
                    <w:rPr>
                      <w:rFonts w:hint="eastAsia"/>
                      <w:kern w:val="0"/>
                      <w:szCs w:val="21"/>
                    </w:rPr>
                    <w:t>除尘器风机</w:t>
                  </w:r>
                </w:p>
              </w:tc>
              <w:tc>
                <w:tcPr>
                  <w:tcW w:w="709" w:type="dxa"/>
                  <w:vAlign w:val="center"/>
                </w:tcPr>
                <w:p>
                  <w:pPr>
                    <w:spacing w:line="280" w:lineRule="exact"/>
                    <w:jc w:val="center"/>
                    <w:rPr>
                      <w:szCs w:val="21"/>
                    </w:rPr>
                  </w:pPr>
                  <w:r>
                    <w:rPr>
                      <w:szCs w:val="21"/>
                    </w:rPr>
                    <w:t>5</w:t>
                  </w:r>
                </w:p>
              </w:tc>
              <w:tc>
                <w:tcPr>
                  <w:tcW w:w="764" w:type="dxa"/>
                  <w:vAlign w:val="center"/>
                </w:tcPr>
                <w:p>
                  <w:pPr>
                    <w:adjustRightInd w:val="0"/>
                    <w:snapToGrid w:val="0"/>
                    <w:jc w:val="center"/>
                    <w:rPr>
                      <w:kern w:val="0"/>
                      <w:szCs w:val="21"/>
                    </w:rPr>
                  </w:pPr>
                  <w:r>
                    <w:rPr>
                      <w:kern w:val="0"/>
                      <w:szCs w:val="21"/>
                    </w:rPr>
                    <w:t>55</w:t>
                  </w:r>
                </w:p>
              </w:tc>
              <w:tc>
                <w:tcPr>
                  <w:tcW w:w="1079" w:type="dxa"/>
                  <w:vAlign w:val="center"/>
                </w:tcPr>
                <w:p>
                  <w:pPr>
                    <w:spacing w:line="280" w:lineRule="exact"/>
                    <w:jc w:val="center"/>
                    <w:rPr>
                      <w:szCs w:val="21"/>
                    </w:rPr>
                  </w:pPr>
                  <w:r>
                    <w:rPr>
                      <w:rFonts w:hint="eastAsia"/>
                      <w:szCs w:val="21"/>
                    </w:rPr>
                    <w:t>10</w:t>
                  </w:r>
                </w:p>
              </w:tc>
              <w:tc>
                <w:tcPr>
                  <w:tcW w:w="1235" w:type="dxa"/>
                  <w:vMerge w:val="continue"/>
                  <w:vAlign w:val="center"/>
                </w:tcPr>
                <w:p>
                  <w:pPr>
                    <w:spacing w:line="280" w:lineRule="exact"/>
                    <w:jc w:val="center"/>
                    <w:rPr>
                      <w:szCs w:val="21"/>
                    </w:rPr>
                  </w:pPr>
                </w:p>
              </w:tc>
              <w:tc>
                <w:tcPr>
                  <w:tcW w:w="1107" w:type="dxa"/>
                  <w:vMerge w:val="continue"/>
                  <w:vAlign w:val="center"/>
                </w:tcPr>
                <w:p>
                  <w:pPr>
                    <w:spacing w:line="280" w:lineRule="exact"/>
                    <w:jc w:val="center"/>
                    <w:rPr>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17" w:type="dxa"/>
                  <w:left w:w="28" w:type="dxa"/>
                  <w:bottom w:w="11" w:type="dxa"/>
                  <w:right w:w="28" w:type="dxa"/>
                </w:tblCellMar>
              </w:tblPrEx>
              <w:trPr>
                <w:cantSplit/>
                <w:trHeight w:val="144" w:hRule="atLeast"/>
              </w:trPr>
              <w:tc>
                <w:tcPr>
                  <w:tcW w:w="1255" w:type="dxa"/>
                  <w:vMerge w:val="restart"/>
                  <w:vAlign w:val="center"/>
                </w:tcPr>
                <w:p>
                  <w:pPr>
                    <w:spacing w:line="280" w:lineRule="exact"/>
                    <w:jc w:val="center"/>
                    <w:rPr>
                      <w:szCs w:val="21"/>
                    </w:rPr>
                  </w:pPr>
                  <w:r>
                    <w:rPr>
                      <w:rFonts w:hint="eastAsia"/>
                      <w:szCs w:val="21"/>
                    </w:rPr>
                    <w:t>北</w:t>
                  </w:r>
                  <w:r>
                    <w:rPr>
                      <w:szCs w:val="21"/>
                    </w:rPr>
                    <w:t>厂界</w:t>
                  </w:r>
                </w:p>
              </w:tc>
              <w:tc>
                <w:tcPr>
                  <w:tcW w:w="1722" w:type="dxa"/>
                  <w:vAlign w:val="center"/>
                </w:tcPr>
                <w:p>
                  <w:pPr>
                    <w:adjustRightInd w:val="0"/>
                    <w:snapToGrid w:val="0"/>
                    <w:jc w:val="center"/>
                    <w:rPr>
                      <w:kern w:val="0"/>
                      <w:szCs w:val="21"/>
                    </w:rPr>
                  </w:pPr>
                  <w:r>
                    <w:rPr>
                      <w:rFonts w:hint="eastAsia"/>
                      <w:kern w:val="0"/>
                      <w:szCs w:val="21"/>
                    </w:rPr>
                    <w:t>分选机</w:t>
                  </w:r>
                </w:p>
              </w:tc>
              <w:tc>
                <w:tcPr>
                  <w:tcW w:w="709" w:type="dxa"/>
                  <w:vAlign w:val="center"/>
                </w:tcPr>
                <w:p>
                  <w:pPr>
                    <w:spacing w:line="280" w:lineRule="exact"/>
                    <w:jc w:val="center"/>
                    <w:rPr>
                      <w:szCs w:val="21"/>
                    </w:rPr>
                  </w:pPr>
                  <w:r>
                    <w:rPr>
                      <w:rFonts w:hint="eastAsia"/>
                      <w:szCs w:val="21"/>
                    </w:rPr>
                    <w:t>1</w:t>
                  </w:r>
                </w:p>
              </w:tc>
              <w:tc>
                <w:tcPr>
                  <w:tcW w:w="764" w:type="dxa"/>
                  <w:vAlign w:val="center"/>
                </w:tcPr>
                <w:p>
                  <w:pPr>
                    <w:adjustRightInd w:val="0"/>
                    <w:snapToGrid w:val="0"/>
                    <w:jc w:val="center"/>
                    <w:rPr>
                      <w:kern w:val="0"/>
                      <w:szCs w:val="21"/>
                    </w:rPr>
                  </w:pPr>
                  <w:r>
                    <w:rPr>
                      <w:kern w:val="0"/>
                      <w:szCs w:val="21"/>
                    </w:rPr>
                    <w:t>60</w:t>
                  </w:r>
                </w:p>
              </w:tc>
              <w:tc>
                <w:tcPr>
                  <w:tcW w:w="1079" w:type="dxa"/>
                  <w:vAlign w:val="center"/>
                </w:tcPr>
                <w:p>
                  <w:pPr>
                    <w:spacing w:line="280" w:lineRule="exact"/>
                    <w:jc w:val="center"/>
                    <w:rPr>
                      <w:szCs w:val="21"/>
                    </w:rPr>
                  </w:pPr>
                  <w:r>
                    <w:rPr>
                      <w:rFonts w:hint="eastAsia"/>
                      <w:szCs w:val="21"/>
                    </w:rPr>
                    <w:t>34</w:t>
                  </w:r>
                  <w:r>
                    <w:rPr>
                      <w:szCs w:val="21"/>
                    </w:rPr>
                    <w:t>.5</w:t>
                  </w:r>
                </w:p>
              </w:tc>
              <w:tc>
                <w:tcPr>
                  <w:tcW w:w="1235" w:type="dxa"/>
                  <w:vMerge w:val="restart"/>
                  <w:vAlign w:val="center"/>
                </w:tcPr>
                <w:p>
                  <w:pPr>
                    <w:spacing w:line="280" w:lineRule="exact"/>
                    <w:jc w:val="center"/>
                    <w:rPr>
                      <w:szCs w:val="21"/>
                    </w:rPr>
                  </w:pPr>
                  <w:r>
                    <w:rPr>
                      <w:rFonts w:hint="eastAsia"/>
                      <w:szCs w:val="21"/>
                    </w:rPr>
                    <w:t>45.7</w:t>
                  </w:r>
                </w:p>
              </w:tc>
              <w:tc>
                <w:tcPr>
                  <w:tcW w:w="1107" w:type="dxa"/>
                  <w:vMerge w:val="restart"/>
                  <w:vAlign w:val="center"/>
                </w:tcPr>
                <w:p>
                  <w:pPr>
                    <w:spacing w:line="280" w:lineRule="exact"/>
                    <w:jc w:val="center"/>
                    <w:rPr>
                      <w:szCs w:val="21"/>
                    </w:rPr>
                  </w:pPr>
                  <w:r>
                    <w:rPr>
                      <w:szCs w:val="21"/>
                    </w:rPr>
                    <w:t>60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17" w:type="dxa"/>
                  <w:left w:w="28" w:type="dxa"/>
                  <w:bottom w:w="11" w:type="dxa"/>
                  <w:right w:w="28" w:type="dxa"/>
                </w:tblCellMar>
              </w:tblPrEx>
              <w:trPr>
                <w:cantSplit/>
                <w:trHeight w:val="144" w:hRule="atLeast"/>
              </w:trPr>
              <w:tc>
                <w:tcPr>
                  <w:tcW w:w="1255" w:type="dxa"/>
                  <w:vMerge w:val="continue"/>
                  <w:vAlign w:val="center"/>
                </w:tcPr>
                <w:p>
                  <w:pPr>
                    <w:spacing w:line="280" w:lineRule="exact"/>
                    <w:jc w:val="center"/>
                    <w:rPr>
                      <w:szCs w:val="21"/>
                    </w:rPr>
                  </w:pPr>
                </w:p>
              </w:tc>
              <w:tc>
                <w:tcPr>
                  <w:tcW w:w="1722" w:type="dxa"/>
                  <w:vAlign w:val="center"/>
                </w:tcPr>
                <w:p>
                  <w:pPr>
                    <w:adjustRightInd w:val="0"/>
                    <w:snapToGrid w:val="0"/>
                    <w:jc w:val="center"/>
                    <w:rPr>
                      <w:kern w:val="0"/>
                      <w:szCs w:val="21"/>
                    </w:rPr>
                  </w:pPr>
                  <w:r>
                    <w:rPr>
                      <w:rFonts w:hint="eastAsia"/>
                      <w:kern w:val="0"/>
                      <w:szCs w:val="21"/>
                    </w:rPr>
                    <w:t>高细管磨机</w:t>
                  </w:r>
                </w:p>
              </w:tc>
              <w:tc>
                <w:tcPr>
                  <w:tcW w:w="709" w:type="dxa"/>
                  <w:vAlign w:val="center"/>
                </w:tcPr>
                <w:p>
                  <w:pPr>
                    <w:spacing w:line="280" w:lineRule="exact"/>
                    <w:jc w:val="center"/>
                    <w:rPr>
                      <w:szCs w:val="21"/>
                    </w:rPr>
                  </w:pPr>
                  <w:r>
                    <w:rPr>
                      <w:rFonts w:hint="eastAsia"/>
                      <w:szCs w:val="21"/>
                    </w:rPr>
                    <w:t>1</w:t>
                  </w:r>
                </w:p>
              </w:tc>
              <w:tc>
                <w:tcPr>
                  <w:tcW w:w="764" w:type="dxa"/>
                  <w:vAlign w:val="center"/>
                </w:tcPr>
                <w:p>
                  <w:pPr>
                    <w:adjustRightInd w:val="0"/>
                    <w:snapToGrid w:val="0"/>
                    <w:jc w:val="center"/>
                    <w:rPr>
                      <w:kern w:val="0"/>
                      <w:szCs w:val="21"/>
                    </w:rPr>
                  </w:pPr>
                  <w:r>
                    <w:rPr>
                      <w:kern w:val="0"/>
                      <w:szCs w:val="21"/>
                    </w:rPr>
                    <w:t>65</w:t>
                  </w:r>
                </w:p>
              </w:tc>
              <w:tc>
                <w:tcPr>
                  <w:tcW w:w="1079" w:type="dxa"/>
                  <w:vAlign w:val="center"/>
                </w:tcPr>
                <w:p>
                  <w:pPr>
                    <w:spacing w:line="280" w:lineRule="exact"/>
                    <w:jc w:val="center"/>
                    <w:rPr>
                      <w:szCs w:val="21"/>
                    </w:rPr>
                  </w:pPr>
                  <w:r>
                    <w:rPr>
                      <w:rFonts w:hint="eastAsia"/>
                      <w:szCs w:val="21"/>
                    </w:rPr>
                    <w:t>9.5</w:t>
                  </w:r>
                </w:p>
              </w:tc>
              <w:tc>
                <w:tcPr>
                  <w:tcW w:w="1235" w:type="dxa"/>
                  <w:vMerge w:val="continue"/>
                  <w:vAlign w:val="center"/>
                </w:tcPr>
                <w:p>
                  <w:pPr>
                    <w:spacing w:line="280" w:lineRule="exact"/>
                    <w:jc w:val="center"/>
                    <w:rPr>
                      <w:szCs w:val="21"/>
                    </w:rPr>
                  </w:pPr>
                </w:p>
              </w:tc>
              <w:tc>
                <w:tcPr>
                  <w:tcW w:w="1107" w:type="dxa"/>
                  <w:vMerge w:val="continue"/>
                  <w:vAlign w:val="center"/>
                </w:tcPr>
                <w:p>
                  <w:pPr>
                    <w:spacing w:line="280" w:lineRule="exact"/>
                    <w:jc w:val="center"/>
                    <w:rPr>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17" w:type="dxa"/>
                  <w:left w:w="28" w:type="dxa"/>
                  <w:bottom w:w="11" w:type="dxa"/>
                  <w:right w:w="28" w:type="dxa"/>
                </w:tblCellMar>
              </w:tblPrEx>
              <w:trPr>
                <w:cantSplit/>
                <w:trHeight w:val="144" w:hRule="atLeast"/>
              </w:trPr>
              <w:tc>
                <w:tcPr>
                  <w:tcW w:w="1255" w:type="dxa"/>
                  <w:vMerge w:val="continue"/>
                  <w:vAlign w:val="center"/>
                </w:tcPr>
                <w:p>
                  <w:pPr>
                    <w:spacing w:line="280" w:lineRule="exact"/>
                    <w:jc w:val="center"/>
                    <w:rPr>
                      <w:szCs w:val="21"/>
                    </w:rPr>
                  </w:pPr>
                </w:p>
              </w:tc>
              <w:tc>
                <w:tcPr>
                  <w:tcW w:w="1722" w:type="dxa"/>
                  <w:vAlign w:val="center"/>
                </w:tcPr>
                <w:p>
                  <w:pPr>
                    <w:adjustRightInd w:val="0"/>
                    <w:snapToGrid w:val="0"/>
                    <w:jc w:val="center"/>
                    <w:rPr>
                      <w:kern w:val="0"/>
                      <w:szCs w:val="21"/>
                    </w:rPr>
                  </w:pPr>
                  <w:r>
                    <w:rPr>
                      <w:rFonts w:hint="eastAsia"/>
                      <w:kern w:val="0"/>
                      <w:szCs w:val="21"/>
                    </w:rPr>
                    <w:t>散装机</w:t>
                  </w:r>
                </w:p>
              </w:tc>
              <w:tc>
                <w:tcPr>
                  <w:tcW w:w="709" w:type="dxa"/>
                  <w:vAlign w:val="center"/>
                </w:tcPr>
                <w:p>
                  <w:pPr>
                    <w:spacing w:line="280" w:lineRule="exact"/>
                    <w:jc w:val="center"/>
                    <w:rPr>
                      <w:szCs w:val="21"/>
                    </w:rPr>
                  </w:pPr>
                  <w:r>
                    <w:rPr>
                      <w:rFonts w:hint="eastAsia"/>
                      <w:szCs w:val="21"/>
                    </w:rPr>
                    <w:t>1</w:t>
                  </w:r>
                </w:p>
              </w:tc>
              <w:tc>
                <w:tcPr>
                  <w:tcW w:w="764" w:type="dxa"/>
                  <w:vAlign w:val="center"/>
                </w:tcPr>
                <w:p>
                  <w:pPr>
                    <w:adjustRightInd w:val="0"/>
                    <w:snapToGrid w:val="0"/>
                    <w:jc w:val="center"/>
                    <w:rPr>
                      <w:kern w:val="0"/>
                      <w:szCs w:val="21"/>
                    </w:rPr>
                  </w:pPr>
                  <w:r>
                    <w:rPr>
                      <w:kern w:val="0"/>
                      <w:szCs w:val="21"/>
                    </w:rPr>
                    <w:t>55</w:t>
                  </w:r>
                </w:p>
              </w:tc>
              <w:tc>
                <w:tcPr>
                  <w:tcW w:w="1079" w:type="dxa"/>
                  <w:vAlign w:val="center"/>
                </w:tcPr>
                <w:p>
                  <w:pPr>
                    <w:spacing w:line="280" w:lineRule="exact"/>
                    <w:jc w:val="center"/>
                    <w:rPr>
                      <w:szCs w:val="21"/>
                    </w:rPr>
                  </w:pPr>
                  <w:r>
                    <w:rPr>
                      <w:rFonts w:hint="eastAsia"/>
                      <w:szCs w:val="21"/>
                    </w:rPr>
                    <w:t>28</w:t>
                  </w:r>
                </w:p>
              </w:tc>
              <w:tc>
                <w:tcPr>
                  <w:tcW w:w="1235" w:type="dxa"/>
                  <w:vMerge w:val="continue"/>
                  <w:vAlign w:val="center"/>
                </w:tcPr>
                <w:p>
                  <w:pPr>
                    <w:spacing w:line="280" w:lineRule="exact"/>
                    <w:jc w:val="center"/>
                    <w:rPr>
                      <w:szCs w:val="21"/>
                    </w:rPr>
                  </w:pPr>
                </w:p>
              </w:tc>
              <w:tc>
                <w:tcPr>
                  <w:tcW w:w="1107" w:type="dxa"/>
                  <w:vMerge w:val="continue"/>
                  <w:vAlign w:val="center"/>
                </w:tcPr>
                <w:p>
                  <w:pPr>
                    <w:spacing w:line="280" w:lineRule="exact"/>
                    <w:jc w:val="center"/>
                    <w:rPr>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17" w:type="dxa"/>
                  <w:left w:w="28" w:type="dxa"/>
                  <w:bottom w:w="11" w:type="dxa"/>
                  <w:right w:w="28" w:type="dxa"/>
                </w:tblCellMar>
              </w:tblPrEx>
              <w:trPr>
                <w:cantSplit/>
                <w:trHeight w:val="144" w:hRule="atLeast"/>
              </w:trPr>
              <w:tc>
                <w:tcPr>
                  <w:tcW w:w="1255" w:type="dxa"/>
                  <w:vMerge w:val="continue"/>
                  <w:vAlign w:val="center"/>
                </w:tcPr>
                <w:p>
                  <w:pPr>
                    <w:spacing w:line="280" w:lineRule="exact"/>
                    <w:jc w:val="center"/>
                    <w:rPr>
                      <w:szCs w:val="21"/>
                    </w:rPr>
                  </w:pPr>
                </w:p>
              </w:tc>
              <w:tc>
                <w:tcPr>
                  <w:tcW w:w="1722" w:type="dxa"/>
                  <w:vAlign w:val="center"/>
                </w:tcPr>
                <w:p>
                  <w:pPr>
                    <w:adjustRightInd w:val="0"/>
                    <w:snapToGrid w:val="0"/>
                    <w:jc w:val="center"/>
                    <w:rPr>
                      <w:kern w:val="0"/>
                      <w:szCs w:val="21"/>
                    </w:rPr>
                  </w:pPr>
                  <w:r>
                    <w:rPr>
                      <w:rFonts w:hint="eastAsia"/>
                      <w:kern w:val="0"/>
                      <w:szCs w:val="21"/>
                    </w:rPr>
                    <w:t>提升机</w:t>
                  </w:r>
                </w:p>
              </w:tc>
              <w:tc>
                <w:tcPr>
                  <w:tcW w:w="709" w:type="dxa"/>
                  <w:vAlign w:val="center"/>
                </w:tcPr>
                <w:p>
                  <w:pPr>
                    <w:spacing w:line="280" w:lineRule="exact"/>
                    <w:jc w:val="center"/>
                    <w:rPr>
                      <w:szCs w:val="21"/>
                    </w:rPr>
                  </w:pPr>
                  <w:r>
                    <w:rPr>
                      <w:szCs w:val="21"/>
                    </w:rPr>
                    <w:t>2</w:t>
                  </w:r>
                </w:p>
              </w:tc>
              <w:tc>
                <w:tcPr>
                  <w:tcW w:w="764" w:type="dxa"/>
                  <w:vAlign w:val="center"/>
                </w:tcPr>
                <w:p>
                  <w:pPr>
                    <w:adjustRightInd w:val="0"/>
                    <w:snapToGrid w:val="0"/>
                    <w:jc w:val="center"/>
                    <w:rPr>
                      <w:kern w:val="0"/>
                      <w:szCs w:val="21"/>
                    </w:rPr>
                  </w:pPr>
                  <w:r>
                    <w:rPr>
                      <w:kern w:val="0"/>
                      <w:szCs w:val="21"/>
                    </w:rPr>
                    <w:t>60</w:t>
                  </w:r>
                </w:p>
              </w:tc>
              <w:tc>
                <w:tcPr>
                  <w:tcW w:w="1079" w:type="dxa"/>
                  <w:vAlign w:val="center"/>
                </w:tcPr>
                <w:p>
                  <w:pPr>
                    <w:spacing w:line="280" w:lineRule="exact"/>
                    <w:jc w:val="center"/>
                    <w:rPr>
                      <w:szCs w:val="21"/>
                    </w:rPr>
                  </w:pPr>
                  <w:r>
                    <w:rPr>
                      <w:rFonts w:hint="eastAsia"/>
                      <w:szCs w:val="21"/>
                    </w:rPr>
                    <w:t>32.5</w:t>
                  </w:r>
                </w:p>
              </w:tc>
              <w:tc>
                <w:tcPr>
                  <w:tcW w:w="1235" w:type="dxa"/>
                  <w:vMerge w:val="continue"/>
                  <w:vAlign w:val="center"/>
                </w:tcPr>
                <w:p>
                  <w:pPr>
                    <w:spacing w:line="280" w:lineRule="exact"/>
                    <w:jc w:val="center"/>
                    <w:rPr>
                      <w:szCs w:val="21"/>
                    </w:rPr>
                  </w:pPr>
                </w:p>
              </w:tc>
              <w:tc>
                <w:tcPr>
                  <w:tcW w:w="1107" w:type="dxa"/>
                  <w:vMerge w:val="continue"/>
                  <w:vAlign w:val="center"/>
                </w:tcPr>
                <w:p>
                  <w:pPr>
                    <w:spacing w:line="280" w:lineRule="exact"/>
                    <w:jc w:val="center"/>
                    <w:rPr>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17" w:type="dxa"/>
                  <w:left w:w="28" w:type="dxa"/>
                  <w:bottom w:w="11" w:type="dxa"/>
                  <w:right w:w="28" w:type="dxa"/>
                </w:tblCellMar>
              </w:tblPrEx>
              <w:trPr>
                <w:cantSplit/>
                <w:trHeight w:val="144" w:hRule="atLeast"/>
              </w:trPr>
              <w:tc>
                <w:tcPr>
                  <w:tcW w:w="1255" w:type="dxa"/>
                  <w:vMerge w:val="continue"/>
                  <w:vAlign w:val="center"/>
                </w:tcPr>
                <w:p>
                  <w:pPr>
                    <w:spacing w:line="280" w:lineRule="exact"/>
                    <w:jc w:val="center"/>
                    <w:rPr>
                      <w:szCs w:val="21"/>
                    </w:rPr>
                  </w:pPr>
                </w:p>
              </w:tc>
              <w:tc>
                <w:tcPr>
                  <w:tcW w:w="1722" w:type="dxa"/>
                  <w:vAlign w:val="center"/>
                </w:tcPr>
                <w:p>
                  <w:pPr>
                    <w:adjustRightInd w:val="0"/>
                    <w:snapToGrid w:val="0"/>
                    <w:jc w:val="center"/>
                    <w:rPr>
                      <w:kern w:val="0"/>
                      <w:szCs w:val="21"/>
                    </w:rPr>
                  </w:pPr>
                  <w:r>
                    <w:rPr>
                      <w:rFonts w:hint="eastAsia"/>
                      <w:kern w:val="0"/>
                      <w:szCs w:val="21"/>
                    </w:rPr>
                    <w:t>鼓风机</w:t>
                  </w:r>
                </w:p>
              </w:tc>
              <w:tc>
                <w:tcPr>
                  <w:tcW w:w="709" w:type="dxa"/>
                  <w:vAlign w:val="center"/>
                </w:tcPr>
                <w:p>
                  <w:pPr>
                    <w:spacing w:line="280" w:lineRule="exact"/>
                    <w:jc w:val="center"/>
                    <w:rPr>
                      <w:szCs w:val="21"/>
                    </w:rPr>
                  </w:pPr>
                  <w:r>
                    <w:rPr>
                      <w:szCs w:val="21"/>
                    </w:rPr>
                    <w:t>5</w:t>
                  </w:r>
                </w:p>
              </w:tc>
              <w:tc>
                <w:tcPr>
                  <w:tcW w:w="764" w:type="dxa"/>
                  <w:vAlign w:val="center"/>
                </w:tcPr>
                <w:p>
                  <w:pPr>
                    <w:adjustRightInd w:val="0"/>
                    <w:snapToGrid w:val="0"/>
                    <w:jc w:val="center"/>
                    <w:rPr>
                      <w:kern w:val="0"/>
                      <w:szCs w:val="21"/>
                    </w:rPr>
                  </w:pPr>
                  <w:r>
                    <w:rPr>
                      <w:rFonts w:hint="eastAsia"/>
                      <w:kern w:val="0"/>
                      <w:szCs w:val="21"/>
                    </w:rPr>
                    <w:t>65</w:t>
                  </w:r>
                </w:p>
              </w:tc>
              <w:tc>
                <w:tcPr>
                  <w:tcW w:w="1079" w:type="dxa"/>
                  <w:vAlign w:val="center"/>
                </w:tcPr>
                <w:p>
                  <w:pPr>
                    <w:spacing w:line="280" w:lineRule="exact"/>
                    <w:jc w:val="center"/>
                    <w:rPr>
                      <w:szCs w:val="21"/>
                    </w:rPr>
                  </w:pPr>
                  <w:r>
                    <w:rPr>
                      <w:rFonts w:hint="eastAsia"/>
                      <w:szCs w:val="21"/>
                    </w:rPr>
                    <w:t>9.5</w:t>
                  </w:r>
                </w:p>
              </w:tc>
              <w:tc>
                <w:tcPr>
                  <w:tcW w:w="1235" w:type="dxa"/>
                  <w:vMerge w:val="continue"/>
                  <w:vAlign w:val="center"/>
                </w:tcPr>
                <w:p>
                  <w:pPr>
                    <w:spacing w:line="280" w:lineRule="exact"/>
                    <w:jc w:val="center"/>
                    <w:rPr>
                      <w:szCs w:val="21"/>
                    </w:rPr>
                  </w:pPr>
                </w:p>
              </w:tc>
              <w:tc>
                <w:tcPr>
                  <w:tcW w:w="1107" w:type="dxa"/>
                  <w:vMerge w:val="continue"/>
                  <w:vAlign w:val="center"/>
                </w:tcPr>
                <w:p>
                  <w:pPr>
                    <w:spacing w:line="280" w:lineRule="exact"/>
                    <w:jc w:val="center"/>
                    <w:rPr>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17" w:type="dxa"/>
                  <w:left w:w="28" w:type="dxa"/>
                  <w:bottom w:w="11" w:type="dxa"/>
                  <w:right w:w="28" w:type="dxa"/>
                </w:tblCellMar>
              </w:tblPrEx>
              <w:trPr>
                <w:cantSplit/>
                <w:trHeight w:val="144" w:hRule="atLeast"/>
              </w:trPr>
              <w:tc>
                <w:tcPr>
                  <w:tcW w:w="1255" w:type="dxa"/>
                  <w:vMerge w:val="continue"/>
                  <w:vAlign w:val="center"/>
                </w:tcPr>
                <w:p>
                  <w:pPr>
                    <w:spacing w:line="280" w:lineRule="exact"/>
                    <w:jc w:val="center"/>
                    <w:rPr>
                      <w:szCs w:val="21"/>
                    </w:rPr>
                  </w:pPr>
                </w:p>
              </w:tc>
              <w:tc>
                <w:tcPr>
                  <w:tcW w:w="1722" w:type="dxa"/>
                  <w:vAlign w:val="center"/>
                </w:tcPr>
                <w:p>
                  <w:pPr>
                    <w:adjustRightInd w:val="0"/>
                    <w:snapToGrid w:val="0"/>
                    <w:jc w:val="center"/>
                    <w:rPr>
                      <w:kern w:val="0"/>
                      <w:szCs w:val="21"/>
                    </w:rPr>
                  </w:pPr>
                  <w:r>
                    <w:rPr>
                      <w:rFonts w:hint="eastAsia"/>
                      <w:kern w:val="0"/>
                      <w:szCs w:val="21"/>
                    </w:rPr>
                    <w:t>除尘器风机</w:t>
                  </w:r>
                </w:p>
              </w:tc>
              <w:tc>
                <w:tcPr>
                  <w:tcW w:w="709" w:type="dxa"/>
                  <w:vAlign w:val="center"/>
                </w:tcPr>
                <w:p>
                  <w:pPr>
                    <w:spacing w:line="280" w:lineRule="exact"/>
                    <w:jc w:val="center"/>
                    <w:rPr>
                      <w:szCs w:val="21"/>
                    </w:rPr>
                  </w:pPr>
                  <w:r>
                    <w:rPr>
                      <w:szCs w:val="21"/>
                    </w:rPr>
                    <w:t>5</w:t>
                  </w:r>
                </w:p>
              </w:tc>
              <w:tc>
                <w:tcPr>
                  <w:tcW w:w="764" w:type="dxa"/>
                  <w:vAlign w:val="center"/>
                </w:tcPr>
                <w:p>
                  <w:pPr>
                    <w:adjustRightInd w:val="0"/>
                    <w:snapToGrid w:val="0"/>
                    <w:jc w:val="center"/>
                    <w:rPr>
                      <w:kern w:val="0"/>
                      <w:szCs w:val="21"/>
                    </w:rPr>
                  </w:pPr>
                  <w:r>
                    <w:rPr>
                      <w:kern w:val="0"/>
                      <w:szCs w:val="21"/>
                    </w:rPr>
                    <w:t>55</w:t>
                  </w:r>
                </w:p>
              </w:tc>
              <w:tc>
                <w:tcPr>
                  <w:tcW w:w="1079" w:type="dxa"/>
                  <w:vAlign w:val="center"/>
                </w:tcPr>
                <w:p>
                  <w:pPr>
                    <w:spacing w:line="280" w:lineRule="exact"/>
                    <w:jc w:val="center"/>
                    <w:rPr>
                      <w:szCs w:val="21"/>
                    </w:rPr>
                  </w:pPr>
                  <w:r>
                    <w:rPr>
                      <w:rFonts w:hint="eastAsia"/>
                      <w:szCs w:val="21"/>
                    </w:rPr>
                    <w:t>32</w:t>
                  </w:r>
                </w:p>
              </w:tc>
              <w:tc>
                <w:tcPr>
                  <w:tcW w:w="1235" w:type="dxa"/>
                  <w:vMerge w:val="continue"/>
                  <w:vAlign w:val="center"/>
                </w:tcPr>
                <w:p>
                  <w:pPr>
                    <w:spacing w:line="280" w:lineRule="exact"/>
                    <w:jc w:val="center"/>
                    <w:rPr>
                      <w:szCs w:val="21"/>
                    </w:rPr>
                  </w:pPr>
                </w:p>
              </w:tc>
              <w:tc>
                <w:tcPr>
                  <w:tcW w:w="1107" w:type="dxa"/>
                  <w:vMerge w:val="continue"/>
                  <w:vAlign w:val="center"/>
                </w:tcPr>
                <w:p>
                  <w:pPr>
                    <w:spacing w:line="280" w:lineRule="exact"/>
                    <w:jc w:val="center"/>
                    <w:rPr>
                      <w:szCs w:val="21"/>
                    </w:rPr>
                  </w:pPr>
                </w:p>
              </w:tc>
            </w:tr>
          </w:tbl>
          <w:p>
            <w:pPr>
              <w:pStyle w:val="44"/>
              <w:spacing w:line="360" w:lineRule="auto"/>
              <w:jc w:val="both"/>
              <w:rPr>
                <w:rFonts w:eastAsia="宋体"/>
                <w:b w:val="0"/>
                <w:sz w:val="18"/>
                <w:szCs w:val="18"/>
              </w:rPr>
            </w:pPr>
            <w:r>
              <w:rPr>
                <w:rFonts w:hint="eastAsia" w:eastAsia="宋体"/>
                <w:b w:val="0"/>
                <w:sz w:val="18"/>
                <w:szCs w:val="18"/>
              </w:rPr>
              <w:t>注：</w:t>
            </w:r>
            <w:r>
              <w:rPr>
                <w:rFonts w:eastAsia="宋体"/>
                <w:b w:val="0"/>
                <w:sz w:val="18"/>
                <w:szCs w:val="18"/>
              </w:rPr>
              <w:t>本次计算是以本</w:t>
            </w:r>
            <w:r>
              <w:rPr>
                <w:rFonts w:hint="eastAsia" w:eastAsia="宋体"/>
                <w:b w:val="0"/>
                <w:sz w:val="18"/>
                <w:szCs w:val="18"/>
              </w:rPr>
              <w:t>项目</w:t>
            </w:r>
            <w:r>
              <w:rPr>
                <w:rFonts w:eastAsia="宋体"/>
                <w:b w:val="0"/>
                <w:sz w:val="18"/>
                <w:szCs w:val="18"/>
              </w:rPr>
              <w:t>厂区为界</w:t>
            </w:r>
            <w:r>
              <w:rPr>
                <w:rFonts w:hint="eastAsia" w:eastAsia="宋体"/>
                <w:b w:val="0"/>
                <w:sz w:val="18"/>
                <w:szCs w:val="18"/>
              </w:rPr>
              <w:t>。</w:t>
            </w:r>
          </w:p>
          <w:p>
            <w:pPr>
              <w:spacing w:line="480" w:lineRule="exact"/>
              <w:ind w:firstLine="480" w:firstLineChars="200"/>
              <w:rPr>
                <w:sz w:val="24"/>
              </w:rPr>
            </w:pPr>
            <w:r>
              <w:rPr>
                <w:rFonts w:hint="eastAsia"/>
                <w:sz w:val="24"/>
              </w:rPr>
              <w:t>由上表可知，本</w:t>
            </w:r>
            <w:r>
              <w:rPr>
                <w:sz w:val="24"/>
              </w:rPr>
              <w:t>项目在厂界</w:t>
            </w:r>
            <w:r>
              <w:rPr>
                <w:rFonts w:hint="eastAsia"/>
                <w:sz w:val="24"/>
              </w:rPr>
              <w:t>的</w:t>
            </w:r>
            <w:r>
              <w:rPr>
                <w:sz w:val="24"/>
              </w:rPr>
              <w:t>噪声</w:t>
            </w:r>
            <w:r>
              <w:rPr>
                <w:rFonts w:hint="eastAsia"/>
                <w:sz w:val="24"/>
              </w:rPr>
              <w:t>贡献值</w:t>
            </w:r>
            <w:r>
              <w:rPr>
                <w:sz w:val="24"/>
              </w:rPr>
              <w:t>均能满足《工业企业厂界环境噪声排放标准》（GB12348-2008</w:t>
            </w:r>
            <w:r>
              <w:rPr>
                <w:rFonts w:hint="eastAsia"/>
                <w:sz w:val="24"/>
              </w:rPr>
              <w:t>）中的</w:t>
            </w:r>
            <w:r>
              <w:rPr>
                <w:sz w:val="24"/>
              </w:rPr>
              <w:t>2</w:t>
            </w:r>
            <w:r>
              <w:rPr>
                <w:rFonts w:hint="eastAsia"/>
                <w:sz w:val="24"/>
              </w:rPr>
              <w:t>类标准要求。</w:t>
            </w:r>
          </w:p>
          <w:p>
            <w:pPr>
              <w:adjustRightInd w:val="0"/>
              <w:snapToGrid w:val="0"/>
              <w:spacing w:line="480" w:lineRule="exact"/>
              <w:ind w:firstLine="482" w:firstLineChars="200"/>
              <w:jc w:val="left"/>
              <w:rPr>
                <w:b/>
                <w:snapToGrid w:val="0"/>
                <w:kern w:val="0"/>
                <w:sz w:val="24"/>
              </w:rPr>
            </w:pPr>
            <w:r>
              <w:rPr>
                <w:rFonts w:hint="eastAsia"/>
                <w:b/>
                <w:snapToGrid w:val="0"/>
                <w:kern w:val="0"/>
                <w:sz w:val="24"/>
              </w:rPr>
              <w:t>3.3 噪声自行监测计划</w:t>
            </w:r>
          </w:p>
          <w:p>
            <w:pPr>
              <w:spacing w:line="480" w:lineRule="exact"/>
              <w:ind w:firstLine="480" w:firstLineChars="200"/>
              <w:rPr>
                <w:bCs/>
                <w:snapToGrid w:val="0"/>
                <w:kern w:val="0"/>
                <w:sz w:val="24"/>
              </w:rPr>
            </w:pPr>
            <w:r>
              <w:rPr>
                <w:bCs/>
                <w:sz w:val="24"/>
              </w:rPr>
              <w:t>根据本项目运营期产污特点及《排污单位自行监测技术指南 总则》（HJ819-2017），结合项目工程周围环境实际情况</w:t>
            </w:r>
            <w:r>
              <w:rPr>
                <w:rFonts w:hint="eastAsia"/>
                <w:bCs/>
                <w:snapToGrid w:val="0"/>
                <w:kern w:val="0"/>
                <w:sz w:val="24"/>
              </w:rPr>
              <w:t>，制定自行监测计划表如下：</w:t>
            </w:r>
          </w:p>
          <w:p>
            <w:pPr>
              <w:autoSpaceDE w:val="0"/>
              <w:autoSpaceDN w:val="0"/>
              <w:adjustRightInd w:val="0"/>
              <w:snapToGrid w:val="0"/>
              <w:spacing w:line="400" w:lineRule="exact"/>
              <w:ind w:firstLine="960" w:firstLineChars="400"/>
              <w:rPr>
                <w:rFonts w:eastAsia="黑体"/>
                <w:sz w:val="24"/>
                <w:szCs w:val="22"/>
              </w:rPr>
            </w:pPr>
            <w:r>
              <w:rPr>
                <w:rFonts w:hint="eastAsia" w:eastAsia="黑体"/>
                <w:sz w:val="24"/>
                <w:szCs w:val="22"/>
              </w:rPr>
              <w:t>表</w:t>
            </w:r>
            <w:r>
              <w:rPr>
                <w:rFonts w:eastAsia="黑体"/>
                <w:sz w:val="24"/>
                <w:szCs w:val="22"/>
              </w:rPr>
              <w:t>27</w:t>
            </w:r>
            <w:r>
              <w:rPr>
                <w:rFonts w:hint="eastAsia" w:eastAsia="黑体"/>
                <w:sz w:val="24"/>
                <w:szCs w:val="22"/>
              </w:rPr>
              <w:t xml:space="preserve">   </w:t>
            </w:r>
            <w:r>
              <w:rPr>
                <w:rFonts w:eastAsia="黑体"/>
                <w:sz w:val="24"/>
                <w:szCs w:val="22"/>
              </w:rPr>
              <w:t xml:space="preserve">          </w:t>
            </w:r>
            <w:r>
              <w:rPr>
                <w:rFonts w:hint="eastAsia" w:eastAsia="黑体"/>
                <w:sz w:val="24"/>
                <w:szCs w:val="22"/>
              </w:rPr>
              <w:t xml:space="preserve"> 噪声监测计划</w:t>
            </w:r>
          </w:p>
          <w:tbl>
            <w:tblPr>
              <w:tblStyle w:val="22"/>
              <w:tblW w:w="7936" w:type="dxa"/>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57" w:type="dxa"/>
                <w:left w:w="28" w:type="dxa"/>
                <w:bottom w:w="57" w:type="dxa"/>
                <w:right w:w="28" w:type="dxa"/>
              </w:tblCellMar>
            </w:tblPr>
            <w:tblGrid>
              <w:gridCol w:w="721"/>
              <w:gridCol w:w="1630"/>
              <w:gridCol w:w="1130"/>
              <w:gridCol w:w="3430"/>
              <w:gridCol w:w="1025"/>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57" w:type="dxa"/>
                  <w:left w:w="28" w:type="dxa"/>
                  <w:bottom w:w="57" w:type="dxa"/>
                  <w:right w:w="28" w:type="dxa"/>
                </w:tblCellMar>
              </w:tblPrEx>
              <w:trPr>
                <w:trHeight w:val="124" w:hRule="atLeast"/>
              </w:trPr>
              <w:tc>
                <w:tcPr>
                  <w:tcW w:w="721" w:type="dxa"/>
                  <w:vAlign w:val="center"/>
                </w:tcPr>
                <w:p>
                  <w:pPr>
                    <w:jc w:val="center"/>
                    <w:rPr>
                      <w:b/>
                      <w:bCs/>
                      <w:szCs w:val="21"/>
                    </w:rPr>
                  </w:pPr>
                  <w:r>
                    <w:rPr>
                      <w:b/>
                      <w:bCs/>
                      <w:szCs w:val="21"/>
                    </w:rPr>
                    <w:t>类别</w:t>
                  </w:r>
                </w:p>
              </w:tc>
              <w:tc>
                <w:tcPr>
                  <w:tcW w:w="1630" w:type="dxa"/>
                  <w:vAlign w:val="center"/>
                </w:tcPr>
                <w:p>
                  <w:pPr>
                    <w:jc w:val="center"/>
                    <w:rPr>
                      <w:b/>
                      <w:bCs/>
                      <w:szCs w:val="21"/>
                    </w:rPr>
                  </w:pPr>
                  <w:r>
                    <w:rPr>
                      <w:b/>
                      <w:bCs/>
                    </w:rPr>
                    <w:t>点位布设</w:t>
                  </w:r>
                </w:p>
              </w:tc>
              <w:tc>
                <w:tcPr>
                  <w:tcW w:w="1130" w:type="dxa"/>
                  <w:vAlign w:val="center"/>
                </w:tcPr>
                <w:p>
                  <w:pPr>
                    <w:jc w:val="center"/>
                    <w:rPr>
                      <w:b/>
                      <w:bCs/>
                      <w:szCs w:val="21"/>
                    </w:rPr>
                  </w:pPr>
                  <w:r>
                    <w:rPr>
                      <w:rFonts w:hint="eastAsia"/>
                      <w:b/>
                      <w:bCs/>
                      <w:szCs w:val="21"/>
                    </w:rPr>
                    <w:t>监测</w:t>
                  </w:r>
                  <w:r>
                    <w:rPr>
                      <w:b/>
                      <w:bCs/>
                      <w:szCs w:val="21"/>
                    </w:rPr>
                    <w:t>项目</w:t>
                  </w:r>
                </w:p>
              </w:tc>
              <w:tc>
                <w:tcPr>
                  <w:tcW w:w="3430" w:type="dxa"/>
                  <w:vAlign w:val="center"/>
                </w:tcPr>
                <w:p>
                  <w:pPr>
                    <w:jc w:val="center"/>
                    <w:rPr>
                      <w:b/>
                      <w:bCs/>
                    </w:rPr>
                  </w:pPr>
                  <w:r>
                    <w:rPr>
                      <w:b/>
                      <w:bCs/>
                    </w:rPr>
                    <w:t>监测方法及依据</w:t>
                  </w:r>
                </w:p>
              </w:tc>
              <w:tc>
                <w:tcPr>
                  <w:tcW w:w="1025" w:type="dxa"/>
                  <w:vAlign w:val="center"/>
                </w:tcPr>
                <w:p>
                  <w:pPr>
                    <w:jc w:val="center"/>
                    <w:rPr>
                      <w:b/>
                      <w:bCs/>
                    </w:rPr>
                  </w:pPr>
                  <w:r>
                    <w:rPr>
                      <w:b/>
                      <w:bCs/>
                    </w:rPr>
                    <w:t>监测频率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57" w:type="dxa"/>
                  <w:left w:w="28" w:type="dxa"/>
                  <w:bottom w:w="57" w:type="dxa"/>
                  <w:right w:w="28" w:type="dxa"/>
                </w:tblCellMar>
              </w:tblPrEx>
              <w:trPr>
                <w:trHeight w:val="124" w:hRule="atLeast"/>
              </w:trPr>
              <w:tc>
                <w:tcPr>
                  <w:tcW w:w="721" w:type="dxa"/>
                  <w:vAlign w:val="center"/>
                </w:tcPr>
                <w:p>
                  <w:pPr>
                    <w:pStyle w:val="10"/>
                    <w:spacing w:before="0" w:after="0" w:line="240" w:lineRule="auto"/>
                    <w:ind w:right="0"/>
                    <w:jc w:val="center"/>
                    <w:rPr>
                      <w:sz w:val="21"/>
                      <w:szCs w:val="21"/>
                    </w:rPr>
                  </w:pPr>
                  <w:r>
                    <w:rPr>
                      <w:rFonts w:hint="eastAsia"/>
                      <w:sz w:val="21"/>
                      <w:szCs w:val="21"/>
                    </w:rPr>
                    <w:t>噪声</w:t>
                  </w:r>
                </w:p>
              </w:tc>
              <w:tc>
                <w:tcPr>
                  <w:tcW w:w="1630" w:type="dxa"/>
                  <w:vAlign w:val="center"/>
                </w:tcPr>
                <w:p>
                  <w:pPr>
                    <w:adjustRightInd w:val="0"/>
                    <w:snapToGrid w:val="0"/>
                    <w:jc w:val="center"/>
                    <w:rPr>
                      <w:kern w:val="0"/>
                      <w:szCs w:val="21"/>
                    </w:rPr>
                  </w:pPr>
                  <w:r>
                    <w:rPr>
                      <w:rFonts w:hint="eastAsia"/>
                      <w:kern w:val="0"/>
                      <w:szCs w:val="21"/>
                    </w:rPr>
                    <w:t>项目</w:t>
                  </w:r>
                  <w:r>
                    <w:t>四周</w:t>
                  </w:r>
                  <w:r>
                    <w:rPr>
                      <w:rFonts w:hint="eastAsia"/>
                    </w:rPr>
                    <w:t>边界</w:t>
                  </w:r>
                </w:p>
              </w:tc>
              <w:tc>
                <w:tcPr>
                  <w:tcW w:w="1130" w:type="dxa"/>
                  <w:vAlign w:val="center"/>
                </w:tcPr>
                <w:p>
                  <w:pPr>
                    <w:adjustRightInd w:val="0"/>
                    <w:snapToGrid w:val="0"/>
                    <w:jc w:val="center"/>
                    <w:rPr>
                      <w:kern w:val="0"/>
                      <w:szCs w:val="21"/>
                    </w:rPr>
                  </w:pPr>
                  <w:r>
                    <w:t>Leq(A)</w:t>
                  </w:r>
                </w:p>
              </w:tc>
              <w:tc>
                <w:tcPr>
                  <w:tcW w:w="3430" w:type="dxa"/>
                  <w:vAlign w:val="center"/>
                </w:tcPr>
                <w:p>
                  <w:pPr>
                    <w:adjustRightInd w:val="0"/>
                    <w:snapToGrid w:val="0"/>
                    <w:jc w:val="center"/>
                  </w:pPr>
                  <w:r>
                    <w:t>《工业企业厂界环境噪声排放标准》</w:t>
                  </w:r>
                </w:p>
                <w:p>
                  <w:pPr>
                    <w:adjustRightInd w:val="0"/>
                    <w:snapToGrid w:val="0"/>
                    <w:jc w:val="center"/>
                  </w:pPr>
                  <w:r>
                    <w:rPr>
                      <w:rFonts w:hint="eastAsia"/>
                    </w:rPr>
                    <w:t>（</w:t>
                  </w:r>
                  <w:r>
                    <w:t>GB12348-2008</w:t>
                  </w:r>
                  <w:r>
                    <w:rPr>
                      <w:rFonts w:hint="eastAsia"/>
                    </w:rPr>
                    <w:t>）</w:t>
                  </w:r>
                  <w:r>
                    <w:t>2</w:t>
                  </w:r>
                  <w:r>
                    <w:rPr>
                      <w:rFonts w:hint="eastAsia"/>
                    </w:rPr>
                    <w:t>类</w:t>
                  </w:r>
                </w:p>
              </w:tc>
              <w:tc>
                <w:tcPr>
                  <w:tcW w:w="1025" w:type="dxa"/>
                  <w:vAlign w:val="center"/>
                </w:tcPr>
                <w:p>
                  <w:pPr>
                    <w:pStyle w:val="56"/>
                    <w:spacing w:line="240" w:lineRule="auto"/>
                    <w:jc w:val="center"/>
                    <w:textAlignment w:val="baseline"/>
                    <w:rPr>
                      <w:rFonts w:ascii="Times New Roman" w:eastAsia="宋体"/>
                      <w:sz w:val="21"/>
                    </w:rPr>
                  </w:pPr>
                  <w:r>
                    <w:rPr>
                      <w:rFonts w:ascii="Times New Roman" w:eastAsia="宋体"/>
                      <w:sz w:val="21"/>
                      <w:szCs w:val="21"/>
                    </w:rPr>
                    <w:t>1</w:t>
                  </w:r>
                  <w:r>
                    <w:rPr>
                      <w:rFonts w:hint="eastAsia" w:ascii="Times New Roman" w:eastAsia="宋体"/>
                      <w:sz w:val="21"/>
                      <w:szCs w:val="21"/>
                    </w:rPr>
                    <w:t>次</w:t>
                  </w:r>
                  <w:r>
                    <w:rPr>
                      <w:rFonts w:ascii="Times New Roman" w:eastAsia="宋体"/>
                      <w:sz w:val="21"/>
                      <w:szCs w:val="21"/>
                    </w:rPr>
                    <w:t>/</w:t>
                  </w:r>
                  <w:r>
                    <w:rPr>
                      <w:rFonts w:hint="eastAsia" w:ascii="Times New Roman" w:eastAsia="宋体"/>
                      <w:sz w:val="21"/>
                      <w:szCs w:val="21"/>
                    </w:rPr>
                    <w:t>季</w:t>
                  </w:r>
                </w:p>
              </w:tc>
            </w:tr>
          </w:tbl>
          <w:p>
            <w:pPr>
              <w:adjustRightInd w:val="0"/>
              <w:snapToGrid w:val="0"/>
              <w:spacing w:line="120" w:lineRule="exact"/>
              <w:ind w:firstLine="482" w:firstLineChars="200"/>
              <w:jc w:val="left"/>
              <w:rPr>
                <w:b/>
                <w:snapToGrid w:val="0"/>
                <w:kern w:val="0"/>
                <w:sz w:val="24"/>
              </w:rPr>
            </w:pPr>
          </w:p>
          <w:p>
            <w:pPr>
              <w:adjustRightInd w:val="0"/>
              <w:snapToGrid w:val="0"/>
              <w:spacing w:line="360" w:lineRule="auto"/>
              <w:ind w:firstLine="482" w:firstLineChars="200"/>
              <w:jc w:val="left"/>
              <w:rPr>
                <w:b/>
                <w:snapToGrid w:val="0"/>
                <w:kern w:val="0"/>
                <w:sz w:val="24"/>
              </w:rPr>
            </w:pPr>
            <w:r>
              <w:rPr>
                <w:rFonts w:hint="eastAsia"/>
                <w:b/>
                <w:snapToGrid w:val="0"/>
                <w:kern w:val="0"/>
                <w:sz w:val="24"/>
              </w:rPr>
              <w:t>4、</w:t>
            </w:r>
            <w:r>
              <w:rPr>
                <w:b/>
                <w:snapToGrid w:val="0"/>
                <w:kern w:val="0"/>
                <w:sz w:val="24"/>
              </w:rPr>
              <w:t>固</w:t>
            </w:r>
            <w:r>
              <w:rPr>
                <w:rFonts w:hint="eastAsia"/>
                <w:b/>
                <w:snapToGrid w:val="0"/>
                <w:kern w:val="0"/>
                <w:sz w:val="24"/>
              </w:rPr>
              <w:t>体废物</w:t>
            </w:r>
          </w:p>
          <w:p>
            <w:pPr>
              <w:adjustRightInd w:val="0"/>
              <w:snapToGrid w:val="0"/>
              <w:spacing w:line="480" w:lineRule="exact"/>
              <w:ind w:firstLine="482" w:firstLineChars="200"/>
              <w:jc w:val="left"/>
              <w:rPr>
                <w:b/>
                <w:snapToGrid w:val="0"/>
                <w:kern w:val="0"/>
                <w:sz w:val="24"/>
              </w:rPr>
            </w:pPr>
            <w:r>
              <w:rPr>
                <w:rFonts w:hint="eastAsia"/>
                <w:b/>
                <w:snapToGrid w:val="0"/>
                <w:kern w:val="0"/>
                <w:sz w:val="24"/>
              </w:rPr>
              <w:t xml:space="preserve">4.1 </w:t>
            </w:r>
            <w:r>
              <w:rPr>
                <w:b/>
                <w:snapToGrid w:val="0"/>
                <w:kern w:val="0"/>
                <w:sz w:val="24"/>
              </w:rPr>
              <w:t>固</w:t>
            </w:r>
            <w:r>
              <w:rPr>
                <w:rFonts w:hint="eastAsia"/>
                <w:b/>
                <w:snapToGrid w:val="0"/>
                <w:kern w:val="0"/>
                <w:sz w:val="24"/>
              </w:rPr>
              <w:t>体废物产排情况</w:t>
            </w:r>
          </w:p>
          <w:p>
            <w:pPr>
              <w:spacing w:line="500" w:lineRule="exact"/>
              <w:ind w:firstLine="480" w:firstLineChars="200"/>
              <w:rPr>
                <w:snapToGrid w:val="0"/>
                <w:kern w:val="0"/>
                <w:sz w:val="24"/>
              </w:rPr>
            </w:pPr>
            <w:r>
              <w:rPr>
                <w:rFonts w:hint="eastAsia"/>
                <w:snapToGrid w:val="0"/>
                <w:kern w:val="0"/>
                <w:sz w:val="24"/>
              </w:rPr>
              <w:t>本项目产生的固体废物主要包括袋式除尘器收集颗粒物及生活垃圾。</w:t>
            </w:r>
          </w:p>
          <w:p>
            <w:pPr>
              <w:spacing w:line="500" w:lineRule="exact"/>
              <w:ind w:firstLine="480" w:firstLineChars="200"/>
              <w:rPr>
                <w:snapToGrid w:val="0"/>
                <w:kern w:val="0"/>
                <w:sz w:val="24"/>
              </w:rPr>
            </w:pPr>
            <w:r>
              <w:rPr>
                <w:rFonts w:hint="eastAsia"/>
                <w:snapToGrid w:val="0"/>
                <w:kern w:val="0"/>
                <w:sz w:val="24"/>
              </w:rPr>
              <w:t>（1）袋式除尘器收集颗粒物</w:t>
            </w:r>
          </w:p>
          <w:p>
            <w:pPr>
              <w:spacing w:line="500" w:lineRule="exact"/>
              <w:ind w:firstLine="480" w:firstLineChars="200"/>
              <w:rPr>
                <w:snapToGrid w:val="0"/>
                <w:kern w:val="0"/>
                <w:sz w:val="24"/>
              </w:rPr>
            </w:pPr>
            <w:r>
              <w:rPr>
                <w:rFonts w:hint="eastAsia"/>
                <w:snapToGrid w:val="0"/>
                <w:kern w:val="0"/>
                <w:sz w:val="24"/>
              </w:rPr>
              <w:t>本项目生产过程中产生的颗粒物使用袋式除尘器进行收集处理，根据物料平衡，袋式除尘器收尘量为</w:t>
            </w:r>
            <w:r>
              <w:rPr>
                <w:snapToGrid w:val="0"/>
                <w:kern w:val="0"/>
                <w:sz w:val="24"/>
              </w:rPr>
              <w:t>51.71</w:t>
            </w:r>
            <w:r>
              <w:rPr>
                <w:rFonts w:hint="eastAsia"/>
                <w:snapToGrid w:val="0"/>
                <w:kern w:val="0"/>
                <w:sz w:val="24"/>
              </w:rPr>
              <w:t>t/a，主要成分为粉煤灰，为</w:t>
            </w:r>
            <w:r>
              <w:rPr>
                <w:snapToGrid w:val="0"/>
                <w:kern w:val="0"/>
                <w:sz w:val="24"/>
              </w:rPr>
              <w:t>一般固废，</w:t>
            </w:r>
            <w:r>
              <w:rPr>
                <w:rFonts w:hint="eastAsia"/>
                <w:snapToGrid w:val="0"/>
                <w:kern w:val="0"/>
                <w:sz w:val="24"/>
              </w:rPr>
              <w:t>经收集后作为产品经罐车运输外售。</w:t>
            </w:r>
          </w:p>
          <w:p>
            <w:pPr>
              <w:spacing w:line="500" w:lineRule="exact"/>
              <w:ind w:firstLine="480" w:firstLineChars="200"/>
              <w:rPr>
                <w:snapToGrid w:val="0"/>
                <w:kern w:val="0"/>
                <w:sz w:val="24"/>
              </w:rPr>
            </w:pPr>
            <w:r>
              <w:rPr>
                <w:rFonts w:hint="eastAsia"/>
                <w:snapToGrid w:val="0"/>
                <w:kern w:val="0"/>
                <w:sz w:val="24"/>
              </w:rPr>
              <w:t>（2）车辆</w:t>
            </w:r>
            <w:r>
              <w:rPr>
                <w:snapToGrid w:val="0"/>
                <w:kern w:val="0"/>
                <w:sz w:val="24"/>
              </w:rPr>
              <w:t>沉淀池</w:t>
            </w:r>
            <w:r>
              <w:rPr>
                <w:rFonts w:hint="eastAsia"/>
                <w:snapToGrid w:val="0"/>
                <w:kern w:val="0"/>
                <w:sz w:val="24"/>
              </w:rPr>
              <w:t>沉</w:t>
            </w:r>
            <w:r>
              <w:rPr>
                <w:snapToGrid w:val="0"/>
                <w:kern w:val="0"/>
                <w:sz w:val="24"/>
              </w:rPr>
              <w:t>渣</w:t>
            </w:r>
          </w:p>
          <w:p>
            <w:pPr>
              <w:spacing w:line="500" w:lineRule="exact"/>
              <w:ind w:firstLine="480" w:firstLineChars="200"/>
              <w:rPr>
                <w:iCs/>
                <w:sz w:val="24"/>
              </w:rPr>
            </w:pPr>
            <w:r>
              <w:rPr>
                <w:iCs/>
                <w:sz w:val="24"/>
              </w:rPr>
              <w:t>项目厂区出口处建设车辆冲洗装置，配套建设一座沉淀池（</w:t>
            </w:r>
            <w:r>
              <w:rPr>
                <w:rFonts w:hint="eastAsia"/>
                <w:iCs/>
                <w:sz w:val="24"/>
              </w:rPr>
              <w:t>三级沉淀池</w:t>
            </w:r>
            <w:r>
              <w:rPr>
                <w:iCs/>
                <w:sz w:val="24"/>
              </w:rPr>
              <w:t>，约18m</w:t>
            </w:r>
            <w:r>
              <w:rPr>
                <w:iCs/>
                <w:sz w:val="24"/>
                <w:vertAlign w:val="superscript"/>
              </w:rPr>
              <w:t>3</w:t>
            </w:r>
            <w:r>
              <w:rPr>
                <w:iCs/>
                <w:sz w:val="24"/>
              </w:rPr>
              <w:t>）</w:t>
            </w:r>
            <w:r>
              <w:rPr>
                <w:rFonts w:hint="eastAsia"/>
                <w:iCs/>
                <w:sz w:val="24"/>
              </w:rPr>
              <w:t>，</w:t>
            </w:r>
            <w:r>
              <w:rPr>
                <w:iCs/>
                <w:sz w:val="24"/>
              </w:rPr>
              <w:t>冲洗车辆废水主要污染因子为SS，</w:t>
            </w:r>
            <w:r>
              <w:rPr>
                <w:rFonts w:hint="eastAsia"/>
                <w:iCs/>
                <w:sz w:val="24"/>
              </w:rPr>
              <w:t>沉淀池会</w:t>
            </w:r>
            <w:r>
              <w:rPr>
                <w:iCs/>
                <w:sz w:val="24"/>
              </w:rPr>
              <w:t>产生一</w:t>
            </w:r>
            <w:r>
              <w:rPr>
                <w:rFonts w:hint="eastAsia"/>
                <w:iCs/>
                <w:sz w:val="24"/>
              </w:rPr>
              <w:t>些</w:t>
            </w:r>
            <w:r>
              <w:rPr>
                <w:iCs/>
                <w:sz w:val="24"/>
              </w:rPr>
              <w:t>沉渣，</w:t>
            </w:r>
            <w:r>
              <w:rPr>
                <w:rFonts w:hint="eastAsia"/>
                <w:iCs/>
                <w:sz w:val="24"/>
              </w:rPr>
              <w:t>产生</w:t>
            </w:r>
            <w:r>
              <w:rPr>
                <w:iCs/>
                <w:sz w:val="24"/>
              </w:rPr>
              <w:t>量为</w:t>
            </w:r>
            <w:r>
              <w:rPr>
                <w:rFonts w:hint="eastAsia"/>
                <w:iCs/>
                <w:sz w:val="24"/>
              </w:rPr>
              <w:t>0.5</w:t>
            </w:r>
            <w:r>
              <w:rPr>
                <w:iCs/>
                <w:sz w:val="24"/>
              </w:rPr>
              <w:t>t/a</w:t>
            </w:r>
            <w:r>
              <w:rPr>
                <w:rFonts w:hint="eastAsia"/>
                <w:iCs/>
                <w:sz w:val="24"/>
              </w:rPr>
              <w:t>，为</w:t>
            </w:r>
            <w:r>
              <w:rPr>
                <w:iCs/>
                <w:sz w:val="24"/>
              </w:rPr>
              <w:t>一般</w:t>
            </w:r>
            <w:r>
              <w:rPr>
                <w:rFonts w:hint="eastAsia"/>
                <w:iCs/>
                <w:sz w:val="24"/>
              </w:rPr>
              <w:t>固体</w:t>
            </w:r>
            <w:r>
              <w:rPr>
                <w:iCs/>
                <w:sz w:val="24"/>
              </w:rPr>
              <w:t>废物，</w:t>
            </w:r>
            <w:r>
              <w:rPr>
                <w:rFonts w:hint="eastAsia"/>
                <w:iCs/>
                <w:sz w:val="24"/>
              </w:rPr>
              <w:t>由于量很小，定期清理后，直接</w:t>
            </w:r>
            <w:r>
              <w:rPr>
                <w:iCs/>
                <w:sz w:val="24"/>
              </w:rPr>
              <w:t>作为绿化用土</w:t>
            </w:r>
            <w:r>
              <w:rPr>
                <w:rFonts w:hint="eastAsia"/>
                <w:iCs/>
                <w:sz w:val="24"/>
              </w:rPr>
              <w:t>使用</w:t>
            </w:r>
            <w:r>
              <w:rPr>
                <w:iCs/>
                <w:sz w:val="24"/>
              </w:rPr>
              <w:t>。</w:t>
            </w:r>
          </w:p>
          <w:p>
            <w:pPr>
              <w:spacing w:line="500" w:lineRule="exact"/>
              <w:ind w:firstLine="480" w:firstLineChars="200"/>
              <w:rPr>
                <w:snapToGrid w:val="0"/>
                <w:kern w:val="0"/>
                <w:sz w:val="24"/>
              </w:rPr>
            </w:pPr>
            <w:r>
              <w:rPr>
                <w:rFonts w:hint="eastAsia"/>
                <w:snapToGrid w:val="0"/>
                <w:kern w:val="0"/>
                <w:sz w:val="24"/>
              </w:rPr>
              <w:t>（</w:t>
            </w:r>
            <w:r>
              <w:rPr>
                <w:snapToGrid w:val="0"/>
                <w:kern w:val="0"/>
                <w:sz w:val="24"/>
              </w:rPr>
              <w:t>3</w:t>
            </w:r>
            <w:r>
              <w:rPr>
                <w:rFonts w:hint="eastAsia"/>
                <w:snapToGrid w:val="0"/>
                <w:kern w:val="0"/>
                <w:sz w:val="24"/>
              </w:rPr>
              <w:t>）废润滑油</w:t>
            </w:r>
          </w:p>
          <w:p>
            <w:pPr>
              <w:autoSpaceDE w:val="0"/>
              <w:autoSpaceDN w:val="0"/>
              <w:adjustRightInd w:val="0"/>
              <w:spacing w:line="500" w:lineRule="exact"/>
              <w:ind w:firstLine="600" w:firstLineChars="250"/>
              <w:jc w:val="left"/>
              <w:rPr>
                <w:kern w:val="0"/>
                <w:sz w:val="24"/>
              </w:rPr>
            </w:pPr>
            <w:r>
              <w:rPr>
                <w:rFonts w:hint="eastAsia"/>
                <w:snapToGrid w:val="0"/>
                <w:kern w:val="0"/>
                <w:sz w:val="24"/>
              </w:rPr>
              <w:t>项目高</w:t>
            </w:r>
            <w:r>
              <w:rPr>
                <w:snapToGrid w:val="0"/>
                <w:kern w:val="0"/>
                <w:sz w:val="24"/>
              </w:rPr>
              <w:t>细管磨机、</w:t>
            </w:r>
            <w:r>
              <w:rPr>
                <w:rFonts w:hint="eastAsia"/>
                <w:snapToGrid w:val="0"/>
                <w:kern w:val="0"/>
                <w:sz w:val="24"/>
              </w:rPr>
              <w:t>分选机需</w:t>
            </w:r>
            <w:r>
              <w:rPr>
                <w:snapToGrid w:val="0"/>
                <w:kern w:val="0"/>
                <w:sz w:val="24"/>
              </w:rPr>
              <w:t>定期更换的废润滑油</w:t>
            </w:r>
            <w:r>
              <w:rPr>
                <w:rFonts w:hint="eastAsia"/>
                <w:sz w:val="24"/>
              </w:rPr>
              <w:t>，</w:t>
            </w:r>
            <w:r>
              <w:rPr>
                <w:snapToGrid w:val="0"/>
                <w:kern w:val="0"/>
                <w:sz w:val="24"/>
              </w:rPr>
              <w:t>根据厂家提供数据，设备润滑油更换每1~2年更换一次</w:t>
            </w:r>
            <w:r>
              <w:rPr>
                <w:rFonts w:hint="eastAsia"/>
                <w:snapToGrid w:val="0"/>
                <w:kern w:val="0"/>
                <w:sz w:val="24"/>
              </w:rPr>
              <w:t>，</w:t>
            </w:r>
            <w:r>
              <w:rPr>
                <w:rFonts w:hint="eastAsia"/>
                <w:b/>
                <w:sz w:val="24"/>
                <w:u w:val="single"/>
              </w:rPr>
              <w:t>项目超细磨机废润滑油产生量0.</w:t>
            </w:r>
            <w:r>
              <w:rPr>
                <w:b/>
                <w:sz w:val="24"/>
                <w:u w:val="single"/>
              </w:rPr>
              <w:t>1</w:t>
            </w:r>
            <w:r>
              <w:rPr>
                <w:rFonts w:hint="eastAsia"/>
                <w:b/>
                <w:sz w:val="24"/>
                <w:u w:val="single"/>
              </w:rPr>
              <w:t>t/a</w:t>
            </w:r>
            <w:r>
              <w:rPr>
                <w:snapToGrid w:val="0"/>
                <w:kern w:val="0"/>
                <w:sz w:val="24"/>
              </w:rPr>
              <w:t>。</w:t>
            </w:r>
            <w:r>
              <w:rPr>
                <w:rFonts w:hint="eastAsia"/>
                <w:sz w:val="24"/>
              </w:rPr>
              <w:t>同时依据《国家危险废物名录》（2021 版），</w:t>
            </w:r>
            <w:r>
              <w:rPr>
                <w:sz w:val="24"/>
              </w:rPr>
              <w:t>废</w:t>
            </w:r>
            <w:r>
              <w:rPr>
                <w:rFonts w:hint="eastAsia"/>
                <w:sz w:val="24"/>
              </w:rPr>
              <w:t>润滑油属于</w:t>
            </w:r>
            <w:r>
              <w:rPr>
                <w:sz w:val="24"/>
              </w:rPr>
              <w:t>“</w:t>
            </w:r>
            <w:r>
              <w:rPr>
                <w:rFonts w:hint="eastAsia"/>
                <w:sz w:val="24"/>
              </w:rPr>
              <w:t>使用工业齿轮油进行机械设备润滑过程中产生的废润滑油</w:t>
            </w:r>
            <w:r>
              <w:rPr>
                <w:sz w:val="24"/>
              </w:rPr>
              <w:t>”</w:t>
            </w:r>
            <w:r>
              <w:rPr>
                <w:rFonts w:hint="eastAsia"/>
                <w:sz w:val="24"/>
              </w:rPr>
              <w:t>，</w:t>
            </w:r>
            <w:r>
              <w:rPr>
                <w:sz w:val="24"/>
              </w:rPr>
              <w:t>危废类别为 HW08，废物代码为 900-217-08</w:t>
            </w:r>
            <w:r>
              <w:rPr>
                <w:rFonts w:hint="eastAsia"/>
                <w:sz w:val="24"/>
              </w:rPr>
              <w:t>，</w:t>
            </w:r>
            <w:r>
              <w:rPr>
                <w:kern w:val="0"/>
                <w:sz w:val="24"/>
              </w:rPr>
              <w:t>危险特征为T</w:t>
            </w:r>
            <w:r>
              <w:rPr>
                <w:rFonts w:hint="eastAsia"/>
                <w:kern w:val="0"/>
                <w:sz w:val="24"/>
              </w:rPr>
              <w:t>、</w:t>
            </w:r>
            <w:r>
              <w:rPr>
                <w:kern w:val="0"/>
                <w:sz w:val="24"/>
              </w:rPr>
              <w:t>I。</w:t>
            </w:r>
          </w:p>
          <w:p>
            <w:pPr>
              <w:autoSpaceDE w:val="0"/>
              <w:autoSpaceDN w:val="0"/>
              <w:adjustRightInd w:val="0"/>
              <w:spacing w:line="500" w:lineRule="exact"/>
              <w:ind w:firstLine="602" w:firstLineChars="250"/>
              <w:jc w:val="left"/>
              <w:rPr>
                <w:spacing w:val="2"/>
                <w:sz w:val="24"/>
              </w:rPr>
            </w:pPr>
            <w:r>
              <w:rPr>
                <w:b/>
                <w:kern w:val="0"/>
                <w:sz w:val="24"/>
                <w:u w:val="single"/>
              </w:rPr>
              <w:t>评价要求厂区</w:t>
            </w:r>
            <w:r>
              <w:rPr>
                <w:b/>
                <w:bCs/>
                <w:sz w:val="24"/>
                <w:u w:val="single"/>
              </w:rPr>
              <w:t>设置1座6m</w:t>
            </w:r>
            <w:r>
              <w:rPr>
                <w:b/>
                <w:bCs/>
                <w:sz w:val="24"/>
                <w:u w:val="single"/>
                <w:vertAlign w:val="superscript"/>
              </w:rPr>
              <w:t>2</w:t>
            </w:r>
            <w:r>
              <w:rPr>
                <w:b/>
                <w:bCs/>
                <w:sz w:val="24"/>
                <w:u w:val="single"/>
              </w:rPr>
              <w:t>的危险废物暂存间，</w:t>
            </w:r>
            <w:r>
              <w:rPr>
                <w:b/>
                <w:kern w:val="0"/>
                <w:sz w:val="24"/>
                <w:u w:val="single"/>
              </w:rPr>
              <w:t>对于这部分危险废物采用密闭容器收集，</w:t>
            </w:r>
            <w:r>
              <w:rPr>
                <w:b/>
                <w:spacing w:val="2"/>
                <w:sz w:val="24"/>
                <w:u w:val="single"/>
              </w:rPr>
              <w:t>定期交由有资质的危废处置单位运走进行安全处置。</w:t>
            </w:r>
            <w:r>
              <w:rPr>
                <w:rFonts w:hint="eastAsia"/>
                <w:b/>
                <w:sz w:val="24"/>
                <w:u w:val="single"/>
              </w:rPr>
              <w:t>其暂存间建设应按照《危险废物贮存污染控制标准》（</w:t>
            </w:r>
            <w:r>
              <w:rPr>
                <w:b/>
                <w:sz w:val="24"/>
                <w:u w:val="single"/>
              </w:rPr>
              <w:t>GB18597-2001</w:t>
            </w:r>
            <w:r>
              <w:rPr>
                <w:rFonts w:hint="eastAsia"/>
                <w:b/>
                <w:sz w:val="24"/>
                <w:u w:val="single"/>
              </w:rPr>
              <w:t>）要求进行建设，</w:t>
            </w:r>
            <w:r>
              <w:rPr>
                <w:spacing w:val="-4"/>
                <w:sz w:val="24"/>
              </w:rPr>
              <w:t xml:space="preserve"> </w:t>
            </w:r>
            <w:r>
              <w:rPr>
                <w:rFonts w:hint="eastAsia"/>
                <w:bCs/>
                <w:sz w:val="24"/>
              </w:rPr>
              <w:t>相关要求如下：</w:t>
            </w:r>
          </w:p>
          <w:p>
            <w:pPr>
              <w:spacing w:line="500" w:lineRule="exact"/>
              <w:ind w:firstLine="480" w:firstLineChars="200"/>
              <w:rPr>
                <w:sz w:val="24"/>
              </w:rPr>
            </w:pPr>
            <w:r>
              <w:rPr>
                <w:sz w:val="24"/>
              </w:rPr>
              <w:fldChar w:fldCharType="begin"/>
            </w:r>
            <w:r>
              <w:rPr>
                <w:sz w:val="24"/>
              </w:rPr>
              <w:instrText xml:space="preserve"> </w:instrText>
            </w:r>
            <w:r>
              <w:rPr>
                <w:rFonts w:hint="eastAsia"/>
                <w:sz w:val="24"/>
              </w:rPr>
              <w:instrText xml:space="preserve">= 1 \* GB3</w:instrText>
            </w:r>
            <w:r>
              <w:rPr>
                <w:sz w:val="24"/>
              </w:rPr>
              <w:instrText xml:space="preserve"> </w:instrText>
            </w:r>
            <w:r>
              <w:rPr>
                <w:sz w:val="24"/>
              </w:rPr>
              <w:fldChar w:fldCharType="separate"/>
            </w:r>
            <w:r>
              <w:rPr>
                <w:rFonts w:hint="eastAsia"/>
                <w:sz w:val="24"/>
              </w:rPr>
              <w:t>①</w:t>
            </w:r>
            <w:r>
              <w:rPr>
                <w:sz w:val="24"/>
              </w:rPr>
              <w:fldChar w:fldCharType="end"/>
            </w:r>
            <w:r>
              <w:rPr>
                <w:sz w:val="24"/>
              </w:rPr>
              <w:t>危险废物的暂存要求严格按照环境保护部公告2017年第43号《建设项目危险废物环境影响评价指南》中的相关要求，做到“四防”（防风、防雨、防晒、防渗漏），严格做到防渗和渗漏收集措施，</w:t>
            </w:r>
            <w:r>
              <w:rPr>
                <w:rFonts w:hint="eastAsia"/>
                <w:bCs/>
                <w:sz w:val="24"/>
              </w:rPr>
              <w:t>并按相关要求设置危险废物识别标志及</w:t>
            </w:r>
            <w:r>
              <w:rPr>
                <w:bCs/>
                <w:sz w:val="24"/>
              </w:rPr>
              <w:t>存放物品标识</w:t>
            </w:r>
            <w:r>
              <w:rPr>
                <w:rFonts w:hint="eastAsia"/>
                <w:sz w:val="24"/>
              </w:rPr>
              <w:t>；</w:t>
            </w:r>
          </w:p>
          <w:p>
            <w:pPr>
              <w:spacing w:line="500" w:lineRule="exact"/>
              <w:ind w:firstLine="480" w:firstLineChars="200"/>
              <w:rPr>
                <w:sz w:val="24"/>
              </w:rPr>
            </w:pPr>
            <w:r>
              <w:rPr>
                <w:bCs/>
                <w:sz w:val="24"/>
              </w:rPr>
              <w:fldChar w:fldCharType="begin"/>
            </w:r>
            <w:r>
              <w:rPr>
                <w:bCs/>
                <w:sz w:val="24"/>
              </w:rPr>
              <w:instrText xml:space="preserve"> </w:instrText>
            </w:r>
            <w:r>
              <w:rPr>
                <w:rFonts w:hint="eastAsia"/>
                <w:bCs/>
                <w:sz w:val="24"/>
              </w:rPr>
              <w:instrText xml:space="preserve">= 2 \* GB3</w:instrText>
            </w:r>
            <w:r>
              <w:rPr>
                <w:bCs/>
                <w:sz w:val="24"/>
              </w:rPr>
              <w:instrText xml:space="preserve"> </w:instrText>
            </w:r>
            <w:r>
              <w:rPr>
                <w:bCs/>
                <w:sz w:val="24"/>
              </w:rPr>
              <w:fldChar w:fldCharType="separate"/>
            </w:r>
            <w:r>
              <w:rPr>
                <w:rFonts w:hint="eastAsia"/>
                <w:bCs/>
                <w:sz w:val="24"/>
              </w:rPr>
              <w:t>②</w:t>
            </w:r>
            <w:r>
              <w:rPr>
                <w:bCs/>
                <w:sz w:val="24"/>
              </w:rPr>
              <w:fldChar w:fldCharType="end"/>
            </w:r>
            <w:r>
              <w:rPr>
                <w:rFonts w:hint="eastAsia"/>
                <w:bCs/>
                <w:sz w:val="24"/>
              </w:rPr>
              <w:t>危险废物暂存间</w:t>
            </w:r>
            <w:r>
              <w:rPr>
                <w:sz w:val="24"/>
              </w:rPr>
              <w:t>地面进行防渗处理，按《危险废物贮存污染控制标准》（GB18597-2001）及其修改单要求设置，</w:t>
            </w:r>
            <w:r>
              <w:rPr>
                <w:rFonts w:hint="eastAsia"/>
                <w:sz w:val="24"/>
              </w:rPr>
              <w:t>采用</w:t>
            </w:r>
            <w:r>
              <w:rPr>
                <w:sz w:val="24"/>
              </w:rPr>
              <w:t>2mm厚</w:t>
            </w:r>
            <w:r>
              <w:rPr>
                <w:rFonts w:hint="eastAsia"/>
                <w:sz w:val="24"/>
              </w:rPr>
              <w:t>的</w:t>
            </w:r>
            <w:r>
              <w:rPr>
                <w:sz w:val="24"/>
              </w:rPr>
              <w:t>高密度聚乙烯</w:t>
            </w:r>
            <w:r>
              <w:rPr>
                <w:rFonts w:hint="eastAsia"/>
                <w:sz w:val="24"/>
              </w:rPr>
              <w:t>膜，</w:t>
            </w:r>
            <w:r>
              <w:rPr>
                <w:sz w:val="24"/>
              </w:rPr>
              <w:t>渗透系数</w:t>
            </w:r>
            <w:r>
              <w:rPr>
                <w:rFonts w:asciiTheme="minorEastAsia" w:hAnsiTheme="minorEastAsia" w:eastAsiaTheme="minorEastAsia"/>
                <w:sz w:val="24"/>
              </w:rPr>
              <w:t>≤</w:t>
            </w:r>
            <w:r>
              <w:rPr>
                <w:sz w:val="24"/>
              </w:rPr>
              <w:t>10</w:t>
            </w:r>
            <w:r>
              <w:rPr>
                <w:sz w:val="24"/>
                <w:vertAlign w:val="superscript"/>
              </w:rPr>
              <w:t>-10</w:t>
            </w:r>
            <w:r>
              <w:rPr>
                <w:sz w:val="24"/>
              </w:rPr>
              <w:t>cm/s</w:t>
            </w:r>
            <w:r>
              <w:rPr>
                <w:rFonts w:hint="eastAsia"/>
                <w:sz w:val="24"/>
              </w:rPr>
              <w:t>；</w:t>
            </w:r>
          </w:p>
          <w:p>
            <w:pPr>
              <w:spacing w:line="500" w:lineRule="exact"/>
              <w:ind w:firstLine="600" w:firstLineChars="250"/>
              <w:rPr>
                <w:bCs/>
                <w:sz w:val="24"/>
              </w:rPr>
            </w:pPr>
            <w:r>
              <w:rPr>
                <w:bCs/>
                <w:sz w:val="24"/>
              </w:rPr>
              <w:fldChar w:fldCharType="begin"/>
            </w:r>
            <w:r>
              <w:rPr>
                <w:bCs/>
                <w:sz w:val="24"/>
              </w:rPr>
              <w:instrText xml:space="preserve"> </w:instrText>
            </w:r>
            <w:r>
              <w:rPr>
                <w:rFonts w:hint="eastAsia"/>
                <w:bCs/>
                <w:sz w:val="24"/>
              </w:rPr>
              <w:instrText xml:space="preserve">= 3 \* GB3</w:instrText>
            </w:r>
            <w:r>
              <w:rPr>
                <w:bCs/>
                <w:sz w:val="24"/>
              </w:rPr>
              <w:instrText xml:space="preserve"> </w:instrText>
            </w:r>
            <w:r>
              <w:rPr>
                <w:bCs/>
                <w:sz w:val="24"/>
              </w:rPr>
              <w:fldChar w:fldCharType="separate"/>
            </w:r>
            <w:r>
              <w:rPr>
                <w:rFonts w:hint="eastAsia"/>
                <w:bCs/>
                <w:sz w:val="24"/>
              </w:rPr>
              <w:t>③</w:t>
            </w:r>
            <w:r>
              <w:rPr>
                <w:bCs/>
                <w:sz w:val="24"/>
              </w:rPr>
              <w:fldChar w:fldCharType="end"/>
            </w:r>
            <w:r>
              <w:rPr>
                <w:rFonts w:hint="eastAsia"/>
                <w:bCs/>
                <w:sz w:val="24"/>
              </w:rPr>
              <w:t>根据危废种类及性质，必须装入专用危废贮存容器内，定期对所贮存的危险废物包装容器及贮存设施进行检查，发现破损，应及时采取措施清理更换，杜绝跑、冒、滴、漏现象的产生。</w:t>
            </w:r>
          </w:p>
          <w:p>
            <w:pPr>
              <w:spacing w:line="500" w:lineRule="exact"/>
              <w:ind w:firstLine="720" w:firstLineChars="300"/>
              <w:rPr>
                <w:bCs/>
                <w:sz w:val="24"/>
              </w:rPr>
            </w:pPr>
            <w:r>
              <w:rPr>
                <w:bCs/>
                <w:sz w:val="24"/>
              </w:rPr>
              <w:fldChar w:fldCharType="begin"/>
            </w:r>
            <w:r>
              <w:rPr>
                <w:bCs/>
                <w:sz w:val="24"/>
              </w:rPr>
              <w:instrText xml:space="preserve"> </w:instrText>
            </w:r>
            <w:r>
              <w:rPr>
                <w:rFonts w:hint="eastAsia"/>
                <w:bCs/>
                <w:sz w:val="24"/>
              </w:rPr>
              <w:instrText xml:space="preserve">= 3 \* GB3</w:instrText>
            </w:r>
            <w:r>
              <w:rPr>
                <w:bCs/>
                <w:sz w:val="24"/>
              </w:rPr>
              <w:instrText xml:space="preserve"> </w:instrText>
            </w:r>
            <w:r>
              <w:rPr>
                <w:bCs/>
                <w:sz w:val="24"/>
              </w:rPr>
              <w:fldChar w:fldCharType="separate"/>
            </w:r>
            <w:r>
              <w:rPr>
                <w:rFonts w:hint="eastAsia"/>
                <w:bCs/>
                <w:sz w:val="24"/>
              </w:rPr>
              <w:t>③</w:t>
            </w:r>
            <w:r>
              <w:rPr>
                <w:bCs/>
                <w:sz w:val="24"/>
              </w:rPr>
              <w:fldChar w:fldCharType="end"/>
            </w:r>
            <w:r>
              <w:rPr>
                <w:rFonts w:hint="eastAsia"/>
                <w:bCs/>
                <w:sz w:val="24"/>
              </w:rPr>
              <w:t>危废在转运、处理的过程中应严格按照国家《危险废物管理条例》中贮存、运输、处理规定实行危废转运联单制度；厂内危废管理人员应做好进出库的危废名称、数量、日期、存放库位等台账，制定好外运转移计划，保存完整转移联单。</w:t>
            </w:r>
          </w:p>
          <w:p>
            <w:pPr>
              <w:spacing w:line="500" w:lineRule="exact"/>
              <w:ind w:firstLine="720" w:firstLineChars="300"/>
              <w:rPr>
                <w:sz w:val="24"/>
              </w:rPr>
            </w:pPr>
            <w:r>
              <w:rPr>
                <w:sz w:val="24"/>
              </w:rPr>
              <w:t>本项目危险废物由专业公司</w:t>
            </w:r>
            <w:r>
              <w:rPr>
                <w:rFonts w:hint="eastAsia"/>
                <w:sz w:val="24"/>
              </w:rPr>
              <w:t>按照转运要求</w:t>
            </w:r>
            <w:r>
              <w:rPr>
                <w:sz w:val="24"/>
              </w:rPr>
              <w:t>进行处理，委托资质单位进行安全处置，企业不得擅自处理。</w:t>
            </w:r>
          </w:p>
          <w:p>
            <w:pPr>
              <w:autoSpaceDE w:val="0"/>
              <w:autoSpaceDN w:val="0"/>
              <w:adjustRightInd w:val="0"/>
              <w:snapToGrid w:val="0"/>
              <w:spacing w:line="400" w:lineRule="exact"/>
              <w:ind w:firstLine="960" w:firstLineChars="400"/>
              <w:rPr>
                <w:rFonts w:eastAsia="黑体"/>
                <w:sz w:val="24"/>
                <w:szCs w:val="22"/>
              </w:rPr>
            </w:pPr>
            <w:r>
              <w:rPr>
                <w:rFonts w:hint="eastAsia" w:eastAsia="黑体"/>
                <w:sz w:val="24"/>
                <w:szCs w:val="22"/>
              </w:rPr>
              <w:t>表</w:t>
            </w:r>
            <w:r>
              <w:rPr>
                <w:rFonts w:eastAsia="黑体"/>
                <w:sz w:val="24"/>
                <w:szCs w:val="22"/>
              </w:rPr>
              <w:t xml:space="preserve">28       </w:t>
            </w:r>
            <w:r>
              <w:rPr>
                <w:rFonts w:hint="eastAsia" w:eastAsia="黑体"/>
                <w:sz w:val="24"/>
                <w:szCs w:val="22"/>
              </w:rPr>
              <w:t>本项目危险废物产生情况一览表</w:t>
            </w:r>
          </w:p>
          <w:tbl>
            <w:tblPr>
              <w:tblStyle w:val="22"/>
              <w:tblW w:w="7926"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28" w:type="dxa"/>
                <w:bottom w:w="0" w:type="dxa"/>
                <w:right w:w="28" w:type="dxa"/>
              </w:tblCellMar>
            </w:tblPr>
            <w:tblGrid>
              <w:gridCol w:w="419"/>
              <w:gridCol w:w="668"/>
              <w:gridCol w:w="929"/>
              <w:gridCol w:w="750"/>
              <w:gridCol w:w="783"/>
              <w:gridCol w:w="864"/>
              <w:gridCol w:w="507"/>
              <w:gridCol w:w="911"/>
              <w:gridCol w:w="846"/>
              <w:gridCol w:w="539"/>
              <w:gridCol w:w="710"/>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517" w:hRule="atLeast"/>
                <w:jc w:val="center"/>
              </w:trPr>
              <w:tc>
                <w:tcPr>
                  <w:tcW w:w="419" w:type="dxa"/>
                  <w:vAlign w:val="center"/>
                </w:tcPr>
                <w:p>
                  <w:pPr>
                    <w:topLinePunct/>
                    <w:spacing w:line="240" w:lineRule="exact"/>
                    <w:contextualSpacing/>
                    <w:jc w:val="center"/>
                    <w:rPr>
                      <w:bCs/>
                      <w:kern w:val="0"/>
                      <w:szCs w:val="21"/>
                    </w:rPr>
                  </w:pPr>
                  <w:r>
                    <w:rPr>
                      <w:rFonts w:hint="eastAsia"/>
                      <w:bCs/>
                      <w:kern w:val="0"/>
                      <w:szCs w:val="21"/>
                    </w:rPr>
                    <w:t>序号</w:t>
                  </w:r>
                </w:p>
              </w:tc>
              <w:tc>
                <w:tcPr>
                  <w:tcW w:w="668" w:type="dxa"/>
                  <w:vAlign w:val="center"/>
                </w:tcPr>
                <w:p>
                  <w:pPr>
                    <w:topLinePunct/>
                    <w:spacing w:line="240" w:lineRule="exact"/>
                    <w:contextualSpacing/>
                    <w:jc w:val="center"/>
                    <w:rPr>
                      <w:bCs/>
                      <w:kern w:val="0"/>
                      <w:szCs w:val="21"/>
                    </w:rPr>
                  </w:pPr>
                  <w:r>
                    <w:rPr>
                      <w:rFonts w:hint="eastAsia"/>
                      <w:bCs/>
                      <w:kern w:val="0"/>
                      <w:szCs w:val="21"/>
                    </w:rPr>
                    <w:t>危险废物名称</w:t>
                  </w:r>
                </w:p>
              </w:tc>
              <w:tc>
                <w:tcPr>
                  <w:tcW w:w="929" w:type="dxa"/>
                  <w:vAlign w:val="center"/>
                </w:tcPr>
                <w:p>
                  <w:pPr>
                    <w:topLinePunct/>
                    <w:spacing w:line="240" w:lineRule="exact"/>
                    <w:contextualSpacing/>
                    <w:jc w:val="center"/>
                    <w:rPr>
                      <w:bCs/>
                      <w:kern w:val="0"/>
                      <w:szCs w:val="21"/>
                    </w:rPr>
                  </w:pPr>
                  <w:r>
                    <w:rPr>
                      <w:rFonts w:hint="eastAsia"/>
                      <w:bCs/>
                      <w:kern w:val="0"/>
                      <w:szCs w:val="21"/>
                    </w:rPr>
                    <w:t>危险废物类别</w:t>
                  </w:r>
                </w:p>
              </w:tc>
              <w:tc>
                <w:tcPr>
                  <w:tcW w:w="750" w:type="dxa"/>
                  <w:vAlign w:val="center"/>
                </w:tcPr>
                <w:p>
                  <w:pPr>
                    <w:topLinePunct/>
                    <w:spacing w:line="240" w:lineRule="exact"/>
                    <w:contextualSpacing/>
                    <w:jc w:val="center"/>
                    <w:rPr>
                      <w:bCs/>
                      <w:kern w:val="0"/>
                      <w:szCs w:val="21"/>
                    </w:rPr>
                  </w:pPr>
                  <w:r>
                    <w:rPr>
                      <w:rFonts w:hint="eastAsia"/>
                      <w:bCs/>
                      <w:kern w:val="0"/>
                      <w:szCs w:val="21"/>
                    </w:rPr>
                    <w:t>危险废物代码</w:t>
                  </w:r>
                </w:p>
              </w:tc>
              <w:tc>
                <w:tcPr>
                  <w:tcW w:w="783" w:type="dxa"/>
                  <w:vAlign w:val="center"/>
                </w:tcPr>
                <w:p>
                  <w:pPr>
                    <w:topLinePunct/>
                    <w:spacing w:line="240" w:lineRule="exact"/>
                    <w:contextualSpacing/>
                    <w:jc w:val="center"/>
                    <w:rPr>
                      <w:bCs/>
                      <w:kern w:val="0"/>
                      <w:szCs w:val="21"/>
                    </w:rPr>
                  </w:pPr>
                  <w:r>
                    <w:rPr>
                      <w:rFonts w:hint="eastAsia"/>
                      <w:bCs/>
                      <w:kern w:val="0"/>
                      <w:szCs w:val="21"/>
                    </w:rPr>
                    <w:t>产生量（吨</w:t>
                  </w:r>
                  <w:r>
                    <w:rPr>
                      <w:bCs/>
                      <w:kern w:val="0"/>
                      <w:szCs w:val="21"/>
                    </w:rPr>
                    <w:t>/</w:t>
                  </w:r>
                  <w:r>
                    <w:rPr>
                      <w:rFonts w:hint="eastAsia"/>
                      <w:bCs/>
                      <w:kern w:val="0"/>
                      <w:szCs w:val="21"/>
                    </w:rPr>
                    <w:t>年）</w:t>
                  </w:r>
                </w:p>
              </w:tc>
              <w:tc>
                <w:tcPr>
                  <w:tcW w:w="864" w:type="dxa"/>
                  <w:vAlign w:val="center"/>
                </w:tcPr>
                <w:p>
                  <w:pPr>
                    <w:topLinePunct/>
                    <w:spacing w:line="240" w:lineRule="exact"/>
                    <w:contextualSpacing/>
                    <w:jc w:val="center"/>
                    <w:rPr>
                      <w:bCs/>
                      <w:kern w:val="0"/>
                      <w:szCs w:val="21"/>
                    </w:rPr>
                  </w:pPr>
                  <w:r>
                    <w:rPr>
                      <w:rFonts w:hint="eastAsia"/>
                      <w:bCs/>
                      <w:kern w:val="0"/>
                      <w:szCs w:val="21"/>
                    </w:rPr>
                    <w:t>产生工序及装置</w:t>
                  </w:r>
                </w:p>
              </w:tc>
              <w:tc>
                <w:tcPr>
                  <w:tcW w:w="507" w:type="dxa"/>
                  <w:vAlign w:val="center"/>
                </w:tcPr>
                <w:p>
                  <w:pPr>
                    <w:topLinePunct/>
                    <w:spacing w:line="240" w:lineRule="exact"/>
                    <w:contextualSpacing/>
                    <w:jc w:val="center"/>
                    <w:rPr>
                      <w:bCs/>
                      <w:kern w:val="0"/>
                      <w:szCs w:val="21"/>
                    </w:rPr>
                  </w:pPr>
                  <w:r>
                    <w:rPr>
                      <w:rFonts w:hint="eastAsia"/>
                      <w:bCs/>
                      <w:kern w:val="0"/>
                      <w:szCs w:val="21"/>
                    </w:rPr>
                    <w:t>形态</w:t>
                  </w:r>
                </w:p>
              </w:tc>
              <w:tc>
                <w:tcPr>
                  <w:tcW w:w="911" w:type="dxa"/>
                  <w:vAlign w:val="center"/>
                </w:tcPr>
                <w:p>
                  <w:pPr>
                    <w:topLinePunct/>
                    <w:spacing w:line="240" w:lineRule="exact"/>
                    <w:contextualSpacing/>
                    <w:jc w:val="center"/>
                    <w:rPr>
                      <w:bCs/>
                      <w:kern w:val="0"/>
                      <w:szCs w:val="21"/>
                    </w:rPr>
                  </w:pPr>
                  <w:r>
                    <w:rPr>
                      <w:rFonts w:hint="eastAsia"/>
                      <w:bCs/>
                      <w:kern w:val="0"/>
                      <w:szCs w:val="21"/>
                    </w:rPr>
                    <w:t>有害成分</w:t>
                  </w:r>
                </w:p>
              </w:tc>
              <w:tc>
                <w:tcPr>
                  <w:tcW w:w="846" w:type="dxa"/>
                  <w:vAlign w:val="center"/>
                </w:tcPr>
                <w:p>
                  <w:pPr>
                    <w:topLinePunct/>
                    <w:spacing w:line="240" w:lineRule="exact"/>
                    <w:contextualSpacing/>
                    <w:jc w:val="center"/>
                    <w:rPr>
                      <w:bCs/>
                      <w:kern w:val="0"/>
                      <w:szCs w:val="21"/>
                    </w:rPr>
                  </w:pPr>
                  <w:r>
                    <w:rPr>
                      <w:rFonts w:hint="eastAsia"/>
                      <w:bCs/>
                      <w:kern w:val="0"/>
                      <w:szCs w:val="21"/>
                    </w:rPr>
                    <w:t>产废周期</w:t>
                  </w:r>
                </w:p>
              </w:tc>
              <w:tc>
                <w:tcPr>
                  <w:tcW w:w="539" w:type="dxa"/>
                  <w:vAlign w:val="center"/>
                </w:tcPr>
                <w:p>
                  <w:pPr>
                    <w:topLinePunct/>
                    <w:spacing w:line="240" w:lineRule="exact"/>
                    <w:contextualSpacing/>
                    <w:jc w:val="center"/>
                    <w:rPr>
                      <w:bCs/>
                      <w:kern w:val="0"/>
                      <w:szCs w:val="21"/>
                    </w:rPr>
                  </w:pPr>
                  <w:r>
                    <w:rPr>
                      <w:rFonts w:hint="eastAsia"/>
                      <w:bCs/>
                      <w:kern w:val="0"/>
                      <w:szCs w:val="21"/>
                    </w:rPr>
                    <w:t>危险</w:t>
                  </w:r>
                </w:p>
                <w:p>
                  <w:pPr>
                    <w:topLinePunct/>
                    <w:spacing w:line="240" w:lineRule="exact"/>
                    <w:contextualSpacing/>
                    <w:jc w:val="center"/>
                    <w:rPr>
                      <w:bCs/>
                      <w:kern w:val="0"/>
                      <w:szCs w:val="21"/>
                    </w:rPr>
                  </w:pPr>
                  <w:r>
                    <w:rPr>
                      <w:rFonts w:hint="eastAsia"/>
                      <w:bCs/>
                      <w:kern w:val="0"/>
                      <w:szCs w:val="21"/>
                    </w:rPr>
                    <w:t>特性</w:t>
                  </w:r>
                </w:p>
              </w:tc>
              <w:tc>
                <w:tcPr>
                  <w:tcW w:w="710" w:type="dxa"/>
                  <w:vAlign w:val="center"/>
                </w:tcPr>
                <w:p>
                  <w:pPr>
                    <w:topLinePunct/>
                    <w:spacing w:line="240" w:lineRule="exact"/>
                    <w:contextualSpacing/>
                    <w:jc w:val="center"/>
                    <w:rPr>
                      <w:bCs/>
                      <w:kern w:val="0"/>
                      <w:szCs w:val="21"/>
                    </w:rPr>
                  </w:pPr>
                  <w:r>
                    <w:rPr>
                      <w:rFonts w:hint="eastAsia"/>
                      <w:bCs/>
                      <w:kern w:val="0"/>
                      <w:szCs w:val="21"/>
                    </w:rPr>
                    <w:t>污染防治措施</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454" w:hRule="atLeast"/>
                <w:jc w:val="center"/>
              </w:trPr>
              <w:tc>
                <w:tcPr>
                  <w:tcW w:w="419" w:type="dxa"/>
                  <w:vAlign w:val="center"/>
                </w:tcPr>
                <w:p>
                  <w:pPr>
                    <w:topLinePunct/>
                    <w:spacing w:line="240" w:lineRule="exact"/>
                    <w:contextualSpacing/>
                    <w:jc w:val="center"/>
                    <w:rPr>
                      <w:kern w:val="0"/>
                      <w:szCs w:val="21"/>
                    </w:rPr>
                  </w:pPr>
                  <w:r>
                    <w:rPr>
                      <w:kern w:val="0"/>
                      <w:szCs w:val="21"/>
                    </w:rPr>
                    <w:t>1</w:t>
                  </w:r>
                </w:p>
              </w:tc>
              <w:tc>
                <w:tcPr>
                  <w:tcW w:w="668" w:type="dxa"/>
                  <w:vAlign w:val="center"/>
                </w:tcPr>
                <w:p>
                  <w:pPr>
                    <w:topLinePunct/>
                    <w:spacing w:line="240" w:lineRule="exact"/>
                    <w:contextualSpacing/>
                    <w:jc w:val="center"/>
                    <w:rPr>
                      <w:kern w:val="0"/>
                      <w:szCs w:val="21"/>
                    </w:rPr>
                  </w:pPr>
                  <w:r>
                    <w:rPr>
                      <w:rFonts w:hint="eastAsia"/>
                      <w:kern w:val="0"/>
                      <w:szCs w:val="21"/>
                    </w:rPr>
                    <w:t>废矿物油</w:t>
                  </w:r>
                </w:p>
              </w:tc>
              <w:tc>
                <w:tcPr>
                  <w:tcW w:w="929" w:type="dxa"/>
                  <w:vAlign w:val="center"/>
                </w:tcPr>
                <w:p>
                  <w:pPr>
                    <w:topLinePunct/>
                    <w:spacing w:line="240" w:lineRule="exact"/>
                    <w:contextualSpacing/>
                    <w:jc w:val="center"/>
                    <w:rPr>
                      <w:kern w:val="0"/>
                      <w:szCs w:val="21"/>
                    </w:rPr>
                  </w:pPr>
                  <w:r>
                    <w:rPr>
                      <w:kern w:val="0"/>
                      <w:szCs w:val="21"/>
                    </w:rPr>
                    <w:t>HW08</w:t>
                  </w:r>
                </w:p>
                <w:p>
                  <w:pPr>
                    <w:topLinePunct/>
                    <w:spacing w:line="240" w:lineRule="exact"/>
                    <w:contextualSpacing/>
                    <w:jc w:val="center"/>
                    <w:rPr>
                      <w:kern w:val="0"/>
                      <w:szCs w:val="21"/>
                    </w:rPr>
                  </w:pPr>
                  <w:r>
                    <w:rPr>
                      <w:rFonts w:hint="eastAsia"/>
                      <w:kern w:val="0"/>
                      <w:szCs w:val="21"/>
                    </w:rPr>
                    <w:t>废润滑油</w:t>
                  </w:r>
                </w:p>
              </w:tc>
              <w:tc>
                <w:tcPr>
                  <w:tcW w:w="750" w:type="dxa"/>
                  <w:vAlign w:val="center"/>
                </w:tcPr>
                <w:p>
                  <w:pPr>
                    <w:topLinePunct/>
                    <w:spacing w:line="240" w:lineRule="exact"/>
                    <w:contextualSpacing/>
                    <w:jc w:val="center"/>
                    <w:rPr>
                      <w:kern w:val="0"/>
                      <w:szCs w:val="21"/>
                    </w:rPr>
                  </w:pPr>
                  <w:r>
                    <w:rPr>
                      <w:kern w:val="0"/>
                      <w:szCs w:val="21"/>
                    </w:rPr>
                    <w:t>900-217-08</w:t>
                  </w:r>
                </w:p>
              </w:tc>
              <w:tc>
                <w:tcPr>
                  <w:tcW w:w="783" w:type="dxa"/>
                  <w:vAlign w:val="center"/>
                </w:tcPr>
                <w:p>
                  <w:pPr>
                    <w:topLinePunct/>
                    <w:spacing w:line="240" w:lineRule="exact"/>
                    <w:contextualSpacing/>
                    <w:jc w:val="center"/>
                    <w:rPr>
                      <w:kern w:val="0"/>
                      <w:szCs w:val="21"/>
                    </w:rPr>
                  </w:pPr>
                  <w:r>
                    <w:rPr>
                      <w:rFonts w:hint="eastAsia"/>
                      <w:kern w:val="0"/>
                      <w:szCs w:val="21"/>
                    </w:rPr>
                    <w:t>0.</w:t>
                  </w:r>
                  <w:r>
                    <w:rPr>
                      <w:kern w:val="0"/>
                      <w:szCs w:val="21"/>
                    </w:rPr>
                    <w:t>1</w:t>
                  </w:r>
                </w:p>
              </w:tc>
              <w:tc>
                <w:tcPr>
                  <w:tcW w:w="864" w:type="dxa"/>
                  <w:vAlign w:val="center"/>
                </w:tcPr>
                <w:p>
                  <w:pPr>
                    <w:topLinePunct/>
                    <w:spacing w:line="240" w:lineRule="exact"/>
                    <w:contextualSpacing/>
                    <w:jc w:val="center"/>
                    <w:rPr>
                      <w:kern w:val="0"/>
                      <w:szCs w:val="21"/>
                    </w:rPr>
                  </w:pPr>
                  <w:r>
                    <w:rPr>
                      <w:rFonts w:hint="eastAsia"/>
                      <w:kern w:val="0"/>
                      <w:szCs w:val="21"/>
                    </w:rPr>
                    <w:t>设备维护</w:t>
                  </w:r>
                </w:p>
              </w:tc>
              <w:tc>
                <w:tcPr>
                  <w:tcW w:w="507" w:type="dxa"/>
                  <w:vAlign w:val="center"/>
                </w:tcPr>
                <w:p>
                  <w:pPr>
                    <w:topLinePunct/>
                    <w:spacing w:line="240" w:lineRule="exact"/>
                    <w:contextualSpacing/>
                    <w:jc w:val="center"/>
                    <w:rPr>
                      <w:kern w:val="0"/>
                      <w:szCs w:val="21"/>
                    </w:rPr>
                  </w:pPr>
                  <w:r>
                    <w:rPr>
                      <w:rFonts w:hint="eastAsia"/>
                      <w:kern w:val="0"/>
                      <w:szCs w:val="21"/>
                    </w:rPr>
                    <w:t>液态</w:t>
                  </w:r>
                </w:p>
              </w:tc>
              <w:tc>
                <w:tcPr>
                  <w:tcW w:w="911" w:type="dxa"/>
                  <w:vAlign w:val="center"/>
                </w:tcPr>
                <w:p>
                  <w:pPr>
                    <w:topLinePunct/>
                    <w:spacing w:line="240" w:lineRule="exact"/>
                    <w:contextualSpacing/>
                    <w:jc w:val="center"/>
                    <w:rPr>
                      <w:kern w:val="0"/>
                      <w:szCs w:val="21"/>
                    </w:rPr>
                  </w:pPr>
                  <w:r>
                    <w:rPr>
                      <w:rFonts w:hint="eastAsia"/>
                      <w:kern w:val="0"/>
                      <w:szCs w:val="21"/>
                    </w:rPr>
                    <w:t>有机化合物</w:t>
                  </w:r>
                </w:p>
              </w:tc>
              <w:tc>
                <w:tcPr>
                  <w:tcW w:w="846" w:type="dxa"/>
                  <w:vAlign w:val="center"/>
                </w:tcPr>
                <w:p>
                  <w:pPr>
                    <w:topLinePunct/>
                    <w:spacing w:line="240" w:lineRule="exact"/>
                    <w:contextualSpacing/>
                    <w:jc w:val="center"/>
                    <w:rPr>
                      <w:kern w:val="0"/>
                      <w:szCs w:val="21"/>
                    </w:rPr>
                  </w:pPr>
                  <w:r>
                    <w:rPr>
                      <w:rFonts w:hint="eastAsia"/>
                      <w:kern w:val="0"/>
                      <w:szCs w:val="21"/>
                    </w:rPr>
                    <w:t>1~2年</w:t>
                  </w:r>
                </w:p>
              </w:tc>
              <w:tc>
                <w:tcPr>
                  <w:tcW w:w="539" w:type="dxa"/>
                  <w:vAlign w:val="center"/>
                </w:tcPr>
                <w:p>
                  <w:pPr>
                    <w:topLinePunct/>
                    <w:spacing w:line="240" w:lineRule="exact"/>
                    <w:contextualSpacing/>
                    <w:jc w:val="center"/>
                    <w:rPr>
                      <w:kern w:val="0"/>
                      <w:szCs w:val="21"/>
                    </w:rPr>
                  </w:pPr>
                  <w:r>
                    <w:rPr>
                      <w:kern w:val="0"/>
                      <w:szCs w:val="21"/>
                    </w:rPr>
                    <w:t>T</w:t>
                  </w:r>
                  <w:r>
                    <w:rPr>
                      <w:rFonts w:hint="eastAsia"/>
                      <w:kern w:val="0"/>
                      <w:szCs w:val="21"/>
                    </w:rPr>
                    <w:t>、I</w:t>
                  </w:r>
                </w:p>
              </w:tc>
              <w:tc>
                <w:tcPr>
                  <w:tcW w:w="710" w:type="dxa"/>
                  <w:vAlign w:val="center"/>
                </w:tcPr>
                <w:p>
                  <w:pPr>
                    <w:topLinePunct/>
                    <w:spacing w:line="240" w:lineRule="exact"/>
                    <w:contextualSpacing/>
                    <w:jc w:val="center"/>
                    <w:rPr>
                      <w:kern w:val="0"/>
                      <w:szCs w:val="21"/>
                    </w:rPr>
                  </w:pPr>
                  <w:r>
                    <w:rPr>
                      <w:rFonts w:hint="eastAsia"/>
                      <w:szCs w:val="21"/>
                    </w:rPr>
                    <w:t>委托资质单位进行安全处置</w:t>
                  </w:r>
                </w:p>
              </w:tc>
            </w:tr>
          </w:tbl>
          <w:p>
            <w:pPr>
              <w:spacing w:line="480" w:lineRule="exact"/>
              <w:ind w:firstLine="120" w:firstLineChars="50"/>
              <w:rPr>
                <w:rFonts w:eastAsiaTheme="minorEastAsia"/>
                <w:snapToGrid w:val="0"/>
                <w:kern w:val="0"/>
                <w:sz w:val="24"/>
              </w:rPr>
            </w:pPr>
            <w:r>
              <w:rPr>
                <w:rFonts w:eastAsiaTheme="minorEastAsia"/>
                <w:snapToGrid w:val="0"/>
                <w:kern w:val="0"/>
                <w:sz w:val="24"/>
              </w:rPr>
              <w:t>（4）生活垃圾</w:t>
            </w:r>
          </w:p>
          <w:p>
            <w:pPr>
              <w:spacing w:line="480" w:lineRule="exact"/>
              <w:ind w:firstLine="480" w:firstLineChars="200"/>
              <w:rPr>
                <w:rFonts w:eastAsiaTheme="minorEastAsia"/>
                <w:snapToGrid w:val="0"/>
                <w:kern w:val="0"/>
                <w:sz w:val="24"/>
              </w:rPr>
            </w:pPr>
            <w:r>
              <w:rPr>
                <w:rFonts w:eastAsiaTheme="minorEastAsia"/>
                <w:snapToGrid w:val="0"/>
                <w:kern w:val="0"/>
                <w:sz w:val="24"/>
              </w:rPr>
              <w:t>本项目劳动定员4人，生活垃圾产生量按每人每天1.0kg计算，则本项目生活垃圾产生量约为4kg/d</w:t>
            </w:r>
            <w:r>
              <w:rPr>
                <w:rFonts w:hint="eastAsia" w:eastAsiaTheme="minorEastAsia"/>
                <w:snapToGrid w:val="0"/>
                <w:kern w:val="0"/>
                <w:sz w:val="24"/>
              </w:rPr>
              <w:t>，预计</w:t>
            </w:r>
            <w:r>
              <w:rPr>
                <w:rFonts w:eastAsiaTheme="minorEastAsia"/>
                <w:snapToGrid w:val="0"/>
                <w:kern w:val="0"/>
                <w:sz w:val="24"/>
              </w:rPr>
              <w:t>1t/a，</w:t>
            </w:r>
            <w:r>
              <w:rPr>
                <w:rFonts w:hint="eastAsia" w:eastAsiaTheme="minorEastAsia"/>
                <w:snapToGrid w:val="0"/>
                <w:kern w:val="0"/>
                <w:sz w:val="24"/>
              </w:rPr>
              <w:t>为</w:t>
            </w:r>
            <w:r>
              <w:rPr>
                <w:rFonts w:eastAsiaTheme="minorEastAsia"/>
                <w:snapToGrid w:val="0"/>
                <w:kern w:val="0"/>
                <w:sz w:val="24"/>
              </w:rPr>
              <w:t>一般固废，</w:t>
            </w:r>
            <w:r>
              <w:rPr>
                <w:rFonts w:hint="eastAsia" w:eastAsiaTheme="minorEastAsia"/>
                <w:snapToGrid w:val="0"/>
                <w:kern w:val="0"/>
                <w:sz w:val="24"/>
              </w:rPr>
              <w:t>垃圾箱</w:t>
            </w:r>
            <w:r>
              <w:rPr>
                <w:rFonts w:eastAsiaTheme="minorEastAsia"/>
                <w:snapToGrid w:val="0"/>
                <w:kern w:val="0"/>
                <w:sz w:val="24"/>
              </w:rPr>
              <w:t>收集后由环卫部门</w:t>
            </w:r>
            <w:r>
              <w:rPr>
                <w:rFonts w:hint="eastAsia" w:eastAsiaTheme="minorEastAsia"/>
                <w:snapToGrid w:val="0"/>
                <w:kern w:val="0"/>
                <w:sz w:val="24"/>
              </w:rPr>
              <w:t>运走</w:t>
            </w:r>
            <w:r>
              <w:rPr>
                <w:rFonts w:eastAsiaTheme="minorEastAsia"/>
                <w:snapToGrid w:val="0"/>
                <w:kern w:val="0"/>
                <w:sz w:val="24"/>
              </w:rPr>
              <w:t>处置。</w:t>
            </w:r>
          </w:p>
          <w:p>
            <w:pPr>
              <w:spacing w:line="480" w:lineRule="exact"/>
              <w:ind w:firstLine="480" w:firstLineChars="200"/>
              <w:rPr>
                <w:rFonts w:eastAsiaTheme="minorEastAsia"/>
                <w:sz w:val="24"/>
              </w:rPr>
            </w:pPr>
            <w:r>
              <w:rPr>
                <w:rFonts w:eastAsiaTheme="minorEastAsia"/>
                <w:sz w:val="24"/>
              </w:rPr>
              <w:t>本项目固体废物产生种类及处理措施一览表见表29。</w:t>
            </w:r>
          </w:p>
          <w:p>
            <w:pPr>
              <w:autoSpaceDE w:val="0"/>
              <w:autoSpaceDN w:val="0"/>
              <w:adjustRightInd w:val="0"/>
              <w:snapToGrid w:val="0"/>
              <w:spacing w:line="440" w:lineRule="exact"/>
              <w:ind w:firstLine="720" w:firstLineChars="300"/>
              <w:rPr>
                <w:rFonts w:eastAsia="黑体"/>
                <w:sz w:val="24"/>
                <w:szCs w:val="22"/>
              </w:rPr>
            </w:pPr>
            <w:r>
              <w:rPr>
                <w:rFonts w:hint="eastAsia" w:eastAsia="黑体"/>
                <w:sz w:val="24"/>
                <w:szCs w:val="22"/>
              </w:rPr>
              <w:t>表</w:t>
            </w:r>
            <w:r>
              <w:rPr>
                <w:rFonts w:eastAsia="黑体"/>
                <w:sz w:val="24"/>
                <w:szCs w:val="22"/>
              </w:rPr>
              <w:t xml:space="preserve">29    </w:t>
            </w:r>
            <w:r>
              <w:rPr>
                <w:rFonts w:hint="eastAsia" w:eastAsia="黑体"/>
                <w:sz w:val="24"/>
                <w:szCs w:val="22"/>
              </w:rPr>
              <w:t>项目固体废物种类及处理处置措施一览表</w:t>
            </w:r>
          </w:p>
          <w:tbl>
            <w:tblPr>
              <w:tblStyle w:val="22"/>
              <w:tblW w:w="7936" w:type="dxa"/>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661"/>
              <w:gridCol w:w="1361"/>
              <w:gridCol w:w="1264"/>
              <w:gridCol w:w="1478"/>
              <w:gridCol w:w="1404"/>
              <w:gridCol w:w="1768"/>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661" w:type="dxa"/>
                  <w:vAlign w:val="center"/>
                </w:tcPr>
                <w:p>
                  <w:pPr>
                    <w:contextualSpacing/>
                    <w:jc w:val="center"/>
                    <w:rPr>
                      <w:b/>
                      <w:bCs/>
                      <w:szCs w:val="21"/>
                    </w:rPr>
                  </w:pPr>
                  <w:r>
                    <w:rPr>
                      <w:rFonts w:hint="eastAsia"/>
                      <w:b/>
                      <w:bCs/>
                      <w:szCs w:val="21"/>
                    </w:rPr>
                    <w:t>序号</w:t>
                  </w:r>
                </w:p>
              </w:tc>
              <w:tc>
                <w:tcPr>
                  <w:tcW w:w="1361" w:type="dxa"/>
                  <w:vAlign w:val="center"/>
                </w:tcPr>
                <w:p>
                  <w:pPr>
                    <w:contextualSpacing/>
                    <w:jc w:val="center"/>
                    <w:rPr>
                      <w:b/>
                      <w:bCs/>
                      <w:szCs w:val="21"/>
                    </w:rPr>
                  </w:pPr>
                  <w:r>
                    <w:rPr>
                      <w:rFonts w:hint="eastAsia"/>
                      <w:b/>
                      <w:bCs/>
                      <w:szCs w:val="21"/>
                    </w:rPr>
                    <w:t>名称</w:t>
                  </w:r>
                </w:p>
              </w:tc>
              <w:tc>
                <w:tcPr>
                  <w:tcW w:w="1264" w:type="dxa"/>
                  <w:vAlign w:val="center"/>
                </w:tcPr>
                <w:p>
                  <w:pPr>
                    <w:contextualSpacing/>
                    <w:jc w:val="center"/>
                    <w:rPr>
                      <w:b/>
                      <w:bCs/>
                      <w:szCs w:val="21"/>
                    </w:rPr>
                  </w:pPr>
                  <w:r>
                    <w:rPr>
                      <w:rFonts w:hint="eastAsia"/>
                      <w:b/>
                      <w:bCs/>
                      <w:szCs w:val="21"/>
                    </w:rPr>
                    <w:t>属性</w:t>
                  </w:r>
                </w:p>
              </w:tc>
              <w:tc>
                <w:tcPr>
                  <w:tcW w:w="1478" w:type="dxa"/>
                  <w:vAlign w:val="center"/>
                </w:tcPr>
                <w:p>
                  <w:pPr>
                    <w:contextualSpacing/>
                    <w:jc w:val="center"/>
                    <w:rPr>
                      <w:b/>
                      <w:bCs/>
                      <w:szCs w:val="21"/>
                    </w:rPr>
                  </w:pPr>
                  <w:r>
                    <w:rPr>
                      <w:rFonts w:hint="eastAsia"/>
                      <w:b/>
                      <w:bCs/>
                      <w:szCs w:val="21"/>
                    </w:rPr>
                    <w:t>产生量（t/a）</w:t>
                  </w:r>
                </w:p>
              </w:tc>
              <w:tc>
                <w:tcPr>
                  <w:tcW w:w="1404" w:type="dxa"/>
                  <w:vAlign w:val="center"/>
                </w:tcPr>
                <w:p>
                  <w:pPr>
                    <w:contextualSpacing/>
                    <w:jc w:val="center"/>
                    <w:rPr>
                      <w:b/>
                      <w:bCs/>
                      <w:szCs w:val="21"/>
                    </w:rPr>
                  </w:pPr>
                  <w:r>
                    <w:rPr>
                      <w:rFonts w:hint="eastAsia"/>
                      <w:b/>
                      <w:bCs/>
                      <w:szCs w:val="21"/>
                    </w:rPr>
                    <w:t>处理量（t/a）</w:t>
                  </w:r>
                </w:p>
              </w:tc>
              <w:tc>
                <w:tcPr>
                  <w:tcW w:w="1768" w:type="dxa"/>
                  <w:vAlign w:val="center"/>
                </w:tcPr>
                <w:p>
                  <w:pPr>
                    <w:contextualSpacing/>
                    <w:jc w:val="center"/>
                    <w:rPr>
                      <w:b/>
                      <w:bCs/>
                      <w:szCs w:val="21"/>
                    </w:rPr>
                  </w:pPr>
                  <w:r>
                    <w:rPr>
                      <w:rFonts w:hint="eastAsia"/>
                      <w:b/>
                      <w:bCs/>
                      <w:szCs w:val="21"/>
                    </w:rPr>
                    <w:t>最终去向</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661" w:type="dxa"/>
                  <w:vAlign w:val="center"/>
                </w:tcPr>
                <w:p>
                  <w:pPr>
                    <w:contextualSpacing/>
                    <w:jc w:val="center"/>
                    <w:rPr>
                      <w:b/>
                      <w:szCs w:val="21"/>
                    </w:rPr>
                  </w:pPr>
                  <w:r>
                    <w:rPr>
                      <w:rFonts w:hint="eastAsia"/>
                      <w:b/>
                      <w:szCs w:val="21"/>
                    </w:rPr>
                    <w:t>1</w:t>
                  </w:r>
                </w:p>
              </w:tc>
              <w:tc>
                <w:tcPr>
                  <w:tcW w:w="1361" w:type="dxa"/>
                  <w:vAlign w:val="center"/>
                </w:tcPr>
                <w:p>
                  <w:pPr>
                    <w:contextualSpacing/>
                    <w:jc w:val="center"/>
                    <w:rPr>
                      <w:b/>
                      <w:szCs w:val="21"/>
                    </w:rPr>
                  </w:pPr>
                  <w:r>
                    <w:rPr>
                      <w:rFonts w:hint="eastAsia"/>
                      <w:b/>
                      <w:szCs w:val="21"/>
                    </w:rPr>
                    <w:t>除尘器收集颗粒物</w:t>
                  </w:r>
                </w:p>
              </w:tc>
              <w:tc>
                <w:tcPr>
                  <w:tcW w:w="1264" w:type="dxa"/>
                  <w:vAlign w:val="center"/>
                </w:tcPr>
                <w:p>
                  <w:pPr>
                    <w:contextualSpacing/>
                    <w:jc w:val="center"/>
                    <w:rPr>
                      <w:b/>
                      <w:szCs w:val="21"/>
                    </w:rPr>
                  </w:pPr>
                  <w:r>
                    <w:rPr>
                      <w:rFonts w:hint="eastAsia"/>
                      <w:b/>
                      <w:szCs w:val="21"/>
                    </w:rPr>
                    <w:t>一般固废</w:t>
                  </w:r>
                </w:p>
              </w:tc>
              <w:tc>
                <w:tcPr>
                  <w:tcW w:w="1478" w:type="dxa"/>
                  <w:vAlign w:val="center"/>
                </w:tcPr>
                <w:p>
                  <w:pPr>
                    <w:contextualSpacing/>
                    <w:jc w:val="center"/>
                    <w:rPr>
                      <w:b/>
                      <w:szCs w:val="21"/>
                    </w:rPr>
                  </w:pPr>
                  <w:r>
                    <w:rPr>
                      <w:b/>
                      <w:szCs w:val="21"/>
                    </w:rPr>
                    <w:t>51.71</w:t>
                  </w:r>
                </w:p>
              </w:tc>
              <w:tc>
                <w:tcPr>
                  <w:tcW w:w="1404" w:type="dxa"/>
                  <w:vAlign w:val="center"/>
                </w:tcPr>
                <w:p>
                  <w:pPr>
                    <w:contextualSpacing/>
                    <w:jc w:val="center"/>
                    <w:rPr>
                      <w:b/>
                      <w:szCs w:val="21"/>
                    </w:rPr>
                  </w:pPr>
                  <w:r>
                    <w:rPr>
                      <w:b/>
                      <w:szCs w:val="21"/>
                    </w:rPr>
                    <w:t>51.71</w:t>
                  </w:r>
                </w:p>
              </w:tc>
              <w:tc>
                <w:tcPr>
                  <w:tcW w:w="1768" w:type="dxa"/>
                  <w:vAlign w:val="center"/>
                </w:tcPr>
                <w:p>
                  <w:pPr>
                    <w:contextualSpacing/>
                    <w:jc w:val="center"/>
                    <w:rPr>
                      <w:b/>
                      <w:szCs w:val="21"/>
                    </w:rPr>
                  </w:pPr>
                  <w:r>
                    <w:rPr>
                      <w:rFonts w:hint="eastAsia"/>
                      <w:b/>
                      <w:szCs w:val="21"/>
                    </w:rPr>
                    <w:t>作为产品外售</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661" w:type="dxa"/>
                  <w:vAlign w:val="center"/>
                </w:tcPr>
                <w:p>
                  <w:pPr>
                    <w:contextualSpacing/>
                    <w:jc w:val="center"/>
                    <w:rPr>
                      <w:b/>
                      <w:szCs w:val="21"/>
                    </w:rPr>
                  </w:pPr>
                  <w:r>
                    <w:rPr>
                      <w:rFonts w:hint="eastAsia"/>
                      <w:b/>
                      <w:szCs w:val="21"/>
                    </w:rPr>
                    <w:t>2</w:t>
                  </w:r>
                </w:p>
              </w:tc>
              <w:tc>
                <w:tcPr>
                  <w:tcW w:w="1361" w:type="dxa"/>
                  <w:vAlign w:val="center"/>
                </w:tcPr>
                <w:p>
                  <w:pPr>
                    <w:contextualSpacing/>
                    <w:jc w:val="center"/>
                    <w:rPr>
                      <w:b/>
                      <w:szCs w:val="21"/>
                    </w:rPr>
                  </w:pPr>
                  <w:r>
                    <w:rPr>
                      <w:rFonts w:hint="eastAsia"/>
                      <w:b/>
                      <w:szCs w:val="21"/>
                    </w:rPr>
                    <w:t>沉淀池</w:t>
                  </w:r>
                  <w:r>
                    <w:rPr>
                      <w:b/>
                      <w:szCs w:val="21"/>
                    </w:rPr>
                    <w:t>沉渣</w:t>
                  </w:r>
                </w:p>
              </w:tc>
              <w:tc>
                <w:tcPr>
                  <w:tcW w:w="1264" w:type="dxa"/>
                  <w:vAlign w:val="center"/>
                </w:tcPr>
                <w:p>
                  <w:pPr>
                    <w:contextualSpacing/>
                    <w:jc w:val="center"/>
                    <w:rPr>
                      <w:b/>
                      <w:szCs w:val="21"/>
                    </w:rPr>
                  </w:pPr>
                  <w:r>
                    <w:rPr>
                      <w:rFonts w:hint="eastAsia"/>
                      <w:b/>
                      <w:szCs w:val="21"/>
                    </w:rPr>
                    <w:t>一般固废</w:t>
                  </w:r>
                </w:p>
              </w:tc>
              <w:tc>
                <w:tcPr>
                  <w:tcW w:w="1478" w:type="dxa"/>
                  <w:vAlign w:val="center"/>
                </w:tcPr>
                <w:p>
                  <w:pPr>
                    <w:contextualSpacing/>
                    <w:jc w:val="center"/>
                    <w:rPr>
                      <w:b/>
                      <w:szCs w:val="21"/>
                    </w:rPr>
                  </w:pPr>
                  <w:r>
                    <w:rPr>
                      <w:rFonts w:hint="eastAsia"/>
                      <w:b/>
                      <w:szCs w:val="21"/>
                    </w:rPr>
                    <w:t>0.5</w:t>
                  </w:r>
                </w:p>
              </w:tc>
              <w:tc>
                <w:tcPr>
                  <w:tcW w:w="1404" w:type="dxa"/>
                  <w:vAlign w:val="center"/>
                </w:tcPr>
                <w:p>
                  <w:pPr>
                    <w:contextualSpacing/>
                    <w:jc w:val="center"/>
                    <w:rPr>
                      <w:b/>
                      <w:szCs w:val="21"/>
                    </w:rPr>
                  </w:pPr>
                  <w:r>
                    <w:rPr>
                      <w:rFonts w:hint="eastAsia"/>
                      <w:b/>
                      <w:szCs w:val="21"/>
                    </w:rPr>
                    <w:t>0.5</w:t>
                  </w:r>
                </w:p>
              </w:tc>
              <w:tc>
                <w:tcPr>
                  <w:tcW w:w="1768" w:type="dxa"/>
                  <w:vAlign w:val="center"/>
                </w:tcPr>
                <w:p>
                  <w:pPr>
                    <w:contextualSpacing/>
                    <w:jc w:val="center"/>
                    <w:rPr>
                      <w:b/>
                      <w:szCs w:val="21"/>
                    </w:rPr>
                  </w:pPr>
                  <w:r>
                    <w:rPr>
                      <w:rFonts w:hint="eastAsia"/>
                      <w:b/>
                      <w:szCs w:val="21"/>
                    </w:rPr>
                    <w:t>作为</w:t>
                  </w:r>
                  <w:r>
                    <w:rPr>
                      <w:b/>
                      <w:szCs w:val="21"/>
                    </w:rPr>
                    <w:t>绿化用土使用</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661" w:type="dxa"/>
                  <w:vAlign w:val="center"/>
                </w:tcPr>
                <w:p>
                  <w:pPr>
                    <w:contextualSpacing/>
                    <w:jc w:val="center"/>
                    <w:rPr>
                      <w:b/>
                      <w:szCs w:val="21"/>
                    </w:rPr>
                  </w:pPr>
                  <w:r>
                    <w:rPr>
                      <w:b/>
                      <w:szCs w:val="21"/>
                    </w:rPr>
                    <w:t>3</w:t>
                  </w:r>
                </w:p>
              </w:tc>
              <w:tc>
                <w:tcPr>
                  <w:tcW w:w="1361" w:type="dxa"/>
                  <w:vAlign w:val="center"/>
                </w:tcPr>
                <w:p>
                  <w:pPr>
                    <w:contextualSpacing/>
                    <w:jc w:val="center"/>
                    <w:rPr>
                      <w:b/>
                      <w:szCs w:val="21"/>
                    </w:rPr>
                  </w:pPr>
                  <w:r>
                    <w:rPr>
                      <w:rFonts w:hint="eastAsia"/>
                      <w:b/>
                      <w:szCs w:val="21"/>
                    </w:rPr>
                    <w:t>废润滑油</w:t>
                  </w:r>
                </w:p>
              </w:tc>
              <w:tc>
                <w:tcPr>
                  <w:tcW w:w="1264" w:type="dxa"/>
                  <w:vAlign w:val="center"/>
                </w:tcPr>
                <w:p>
                  <w:pPr>
                    <w:contextualSpacing/>
                    <w:jc w:val="center"/>
                    <w:rPr>
                      <w:b/>
                      <w:szCs w:val="21"/>
                    </w:rPr>
                  </w:pPr>
                  <w:r>
                    <w:rPr>
                      <w:rFonts w:hint="eastAsia"/>
                      <w:b/>
                      <w:szCs w:val="21"/>
                    </w:rPr>
                    <w:t>危险废物</w:t>
                  </w:r>
                </w:p>
              </w:tc>
              <w:tc>
                <w:tcPr>
                  <w:tcW w:w="1478" w:type="dxa"/>
                  <w:vAlign w:val="center"/>
                </w:tcPr>
                <w:p>
                  <w:pPr>
                    <w:contextualSpacing/>
                    <w:jc w:val="center"/>
                    <w:rPr>
                      <w:b/>
                      <w:szCs w:val="21"/>
                    </w:rPr>
                  </w:pPr>
                  <w:r>
                    <w:rPr>
                      <w:b/>
                      <w:bCs/>
                      <w:szCs w:val="21"/>
                    </w:rPr>
                    <w:t>0.1</w:t>
                  </w:r>
                </w:p>
              </w:tc>
              <w:tc>
                <w:tcPr>
                  <w:tcW w:w="1404" w:type="dxa"/>
                  <w:vAlign w:val="center"/>
                </w:tcPr>
                <w:p>
                  <w:pPr>
                    <w:contextualSpacing/>
                    <w:jc w:val="center"/>
                    <w:rPr>
                      <w:b/>
                      <w:szCs w:val="21"/>
                    </w:rPr>
                  </w:pPr>
                  <w:r>
                    <w:rPr>
                      <w:b/>
                      <w:bCs/>
                      <w:szCs w:val="21"/>
                    </w:rPr>
                    <w:t>0.1</w:t>
                  </w:r>
                </w:p>
              </w:tc>
              <w:tc>
                <w:tcPr>
                  <w:tcW w:w="1768" w:type="dxa"/>
                  <w:vAlign w:val="center"/>
                </w:tcPr>
                <w:p>
                  <w:pPr>
                    <w:contextualSpacing/>
                    <w:jc w:val="center"/>
                    <w:rPr>
                      <w:b/>
                      <w:szCs w:val="21"/>
                    </w:rPr>
                  </w:pPr>
                  <w:r>
                    <w:rPr>
                      <w:rFonts w:hint="eastAsia"/>
                      <w:b/>
                      <w:szCs w:val="21"/>
                    </w:rPr>
                    <w:t>交有资质的单位处置</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661" w:type="dxa"/>
                  <w:vAlign w:val="center"/>
                </w:tcPr>
                <w:p>
                  <w:pPr>
                    <w:contextualSpacing/>
                    <w:jc w:val="center"/>
                    <w:rPr>
                      <w:b/>
                      <w:szCs w:val="21"/>
                    </w:rPr>
                  </w:pPr>
                  <w:r>
                    <w:rPr>
                      <w:b/>
                      <w:szCs w:val="21"/>
                    </w:rPr>
                    <w:t>4</w:t>
                  </w:r>
                </w:p>
              </w:tc>
              <w:tc>
                <w:tcPr>
                  <w:tcW w:w="1361" w:type="dxa"/>
                  <w:vAlign w:val="center"/>
                </w:tcPr>
                <w:p>
                  <w:pPr>
                    <w:contextualSpacing/>
                    <w:jc w:val="center"/>
                    <w:rPr>
                      <w:b/>
                      <w:szCs w:val="21"/>
                    </w:rPr>
                  </w:pPr>
                  <w:r>
                    <w:rPr>
                      <w:rFonts w:hint="eastAsia"/>
                      <w:b/>
                      <w:szCs w:val="21"/>
                    </w:rPr>
                    <w:t>生活垃圾</w:t>
                  </w:r>
                </w:p>
              </w:tc>
              <w:tc>
                <w:tcPr>
                  <w:tcW w:w="1264" w:type="dxa"/>
                  <w:vAlign w:val="center"/>
                </w:tcPr>
                <w:p>
                  <w:pPr>
                    <w:contextualSpacing/>
                    <w:jc w:val="center"/>
                    <w:rPr>
                      <w:b/>
                      <w:szCs w:val="21"/>
                    </w:rPr>
                  </w:pPr>
                  <w:r>
                    <w:rPr>
                      <w:rFonts w:hint="eastAsia"/>
                      <w:b/>
                      <w:szCs w:val="21"/>
                    </w:rPr>
                    <w:t>一般固废</w:t>
                  </w:r>
                </w:p>
              </w:tc>
              <w:tc>
                <w:tcPr>
                  <w:tcW w:w="1478" w:type="dxa"/>
                  <w:vAlign w:val="center"/>
                </w:tcPr>
                <w:p>
                  <w:pPr>
                    <w:contextualSpacing/>
                    <w:jc w:val="center"/>
                    <w:rPr>
                      <w:b/>
                      <w:szCs w:val="21"/>
                    </w:rPr>
                  </w:pPr>
                  <w:r>
                    <w:rPr>
                      <w:b/>
                      <w:szCs w:val="21"/>
                    </w:rPr>
                    <w:t>1.0</w:t>
                  </w:r>
                </w:p>
              </w:tc>
              <w:tc>
                <w:tcPr>
                  <w:tcW w:w="1404" w:type="dxa"/>
                  <w:vAlign w:val="center"/>
                </w:tcPr>
                <w:p>
                  <w:pPr>
                    <w:contextualSpacing/>
                    <w:jc w:val="center"/>
                    <w:rPr>
                      <w:b/>
                      <w:szCs w:val="21"/>
                    </w:rPr>
                  </w:pPr>
                  <w:r>
                    <w:rPr>
                      <w:b/>
                      <w:szCs w:val="21"/>
                    </w:rPr>
                    <w:t>1.0</w:t>
                  </w:r>
                </w:p>
              </w:tc>
              <w:tc>
                <w:tcPr>
                  <w:tcW w:w="1768" w:type="dxa"/>
                  <w:vAlign w:val="center"/>
                </w:tcPr>
                <w:p>
                  <w:pPr>
                    <w:contextualSpacing/>
                    <w:jc w:val="center"/>
                    <w:rPr>
                      <w:b/>
                      <w:szCs w:val="21"/>
                    </w:rPr>
                  </w:pPr>
                  <w:r>
                    <w:rPr>
                      <w:rFonts w:hint="eastAsia"/>
                      <w:b/>
                      <w:szCs w:val="21"/>
                    </w:rPr>
                    <w:t>集中收集后，由环卫部门处置</w:t>
                  </w:r>
                </w:p>
              </w:tc>
            </w:tr>
          </w:tbl>
          <w:p>
            <w:pPr>
              <w:spacing w:line="40" w:lineRule="exact"/>
              <w:ind w:firstLine="480" w:firstLineChars="200"/>
              <w:contextualSpacing/>
              <w:rPr>
                <w:sz w:val="24"/>
              </w:rPr>
            </w:pPr>
          </w:p>
          <w:p>
            <w:pPr>
              <w:spacing w:line="440" w:lineRule="exact"/>
              <w:ind w:firstLine="480" w:firstLineChars="200"/>
              <w:contextualSpacing/>
              <w:rPr>
                <w:sz w:val="24"/>
              </w:rPr>
            </w:pPr>
            <w:r>
              <w:rPr>
                <w:sz w:val="24"/>
              </w:rPr>
              <w:t>综上所述，本项目产生的固体废物均得到了综合利用或合理处置，</w:t>
            </w:r>
            <w:r>
              <w:rPr>
                <w:rFonts w:hint="eastAsia"/>
                <w:sz w:val="24"/>
              </w:rPr>
              <w:t>对</w:t>
            </w:r>
            <w:r>
              <w:rPr>
                <w:sz w:val="24"/>
              </w:rPr>
              <w:t>区域环境</w:t>
            </w:r>
            <w:r>
              <w:rPr>
                <w:rFonts w:hint="eastAsia"/>
                <w:sz w:val="24"/>
              </w:rPr>
              <w:t>影响</w:t>
            </w:r>
            <w:r>
              <w:rPr>
                <w:sz w:val="24"/>
              </w:rPr>
              <w:t>较小。</w:t>
            </w:r>
          </w:p>
          <w:p>
            <w:pPr>
              <w:adjustRightInd w:val="0"/>
              <w:snapToGrid w:val="0"/>
              <w:spacing w:before="120" w:beforeLines="50" w:line="440" w:lineRule="exact"/>
              <w:ind w:firstLine="482" w:firstLineChars="200"/>
              <w:jc w:val="left"/>
              <w:rPr>
                <w:b/>
                <w:snapToGrid w:val="0"/>
                <w:kern w:val="0"/>
                <w:sz w:val="24"/>
              </w:rPr>
            </w:pPr>
            <w:r>
              <w:rPr>
                <w:rFonts w:hint="eastAsia"/>
                <w:b/>
                <w:snapToGrid w:val="0"/>
                <w:kern w:val="0"/>
                <w:sz w:val="24"/>
              </w:rPr>
              <w:t>5、地下水防治措施</w:t>
            </w:r>
          </w:p>
          <w:p>
            <w:pPr>
              <w:spacing w:line="440" w:lineRule="exact"/>
              <w:ind w:firstLine="480" w:firstLineChars="200"/>
              <w:rPr>
                <w:rFonts w:eastAsiaTheme="majorEastAsia"/>
                <w:bCs/>
                <w:sz w:val="24"/>
              </w:rPr>
            </w:pPr>
            <w:r>
              <w:rPr>
                <w:rFonts w:eastAsiaTheme="majorEastAsia"/>
                <w:sz w:val="24"/>
              </w:rPr>
              <w:t>对照《环境影响评价技术导则 地下水环境（HJ610-2016）》，本项目属废旧资源（含生物质）加工、再生利用报告表类项目，为</w:t>
            </w:r>
            <w:r>
              <w:rPr>
                <w:rFonts w:hint="eastAsia" w:ascii="宋体" w:hAnsi="宋体" w:cs="宋体"/>
                <w:sz w:val="24"/>
              </w:rPr>
              <w:t>Ⅳ</w:t>
            </w:r>
            <w:r>
              <w:rPr>
                <w:rFonts w:eastAsiaTheme="majorEastAsia"/>
                <w:sz w:val="24"/>
              </w:rPr>
              <w:t>类项目，可不开展地下水评价工作</w:t>
            </w:r>
            <w:r>
              <w:rPr>
                <w:rFonts w:hint="eastAsia" w:eastAsiaTheme="majorEastAsia"/>
                <w:sz w:val="24"/>
              </w:rPr>
              <w:t>，</w:t>
            </w:r>
            <w:r>
              <w:rPr>
                <w:rFonts w:eastAsiaTheme="majorEastAsia"/>
                <w:sz w:val="24"/>
              </w:rPr>
              <w:t>本次</w:t>
            </w:r>
            <w:r>
              <w:rPr>
                <w:rFonts w:hint="eastAsia" w:eastAsiaTheme="majorEastAsia"/>
                <w:sz w:val="24"/>
              </w:rPr>
              <w:t>仅做</w:t>
            </w:r>
            <w:r>
              <w:rPr>
                <w:rFonts w:eastAsiaTheme="majorEastAsia"/>
                <w:sz w:val="24"/>
              </w:rPr>
              <w:t>定性简要分析。</w:t>
            </w:r>
          </w:p>
          <w:p>
            <w:pPr>
              <w:autoSpaceDE w:val="0"/>
              <w:autoSpaceDN w:val="0"/>
              <w:adjustRightInd w:val="0"/>
              <w:snapToGrid w:val="0"/>
              <w:spacing w:line="440" w:lineRule="exact"/>
              <w:ind w:firstLine="480" w:firstLineChars="200"/>
              <w:rPr>
                <w:rFonts w:eastAsiaTheme="majorEastAsia"/>
                <w:sz w:val="24"/>
              </w:rPr>
            </w:pPr>
            <w:r>
              <w:rPr>
                <w:rFonts w:eastAsiaTheme="majorEastAsia"/>
                <w:sz w:val="24"/>
              </w:rPr>
              <w:t>项目对地下水影响主要为危险废物暂存间的废润滑油泄漏后下渗，对地下水产生不利影响</w:t>
            </w:r>
            <w:r>
              <w:rPr>
                <w:rFonts w:hint="eastAsia" w:eastAsiaTheme="majorEastAsia"/>
                <w:sz w:val="24"/>
              </w:rPr>
              <w:t>，评价建议</w:t>
            </w:r>
            <w:r>
              <w:rPr>
                <w:rFonts w:eastAsiaTheme="majorEastAsia"/>
                <w:sz w:val="24"/>
              </w:rPr>
              <w:t>根据《环境影响评价技术导则地下水环境》（HJ610-2016）地下水污染防渗分区要求，项目厂区按照重点防渗区、简单防渗区进行防渗处理。本项目地下水防渗要求见下表。</w:t>
            </w:r>
          </w:p>
          <w:p>
            <w:pPr>
              <w:autoSpaceDE w:val="0"/>
              <w:autoSpaceDN w:val="0"/>
              <w:adjustRightInd w:val="0"/>
              <w:snapToGrid w:val="0"/>
              <w:spacing w:line="400" w:lineRule="exact"/>
              <w:ind w:firstLine="960" w:firstLineChars="400"/>
              <w:rPr>
                <w:rFonts w:eastAsia="黑体"/>
                <w:sz w:val="24"/>
                <w:szCs w:val="22"/>
              </w:rPr>
            </w:pPr>
            <w:r>
              <w:rPr>
                <w:rFonts w:hint="eastAsia" w:eastAsia="黑体"/>
                <w:sz w:val="24"/>
                <w:szCs w:val="22"/>
              </w:rPr>
              <w:t>表</w:t>
            </w:r>
            <w:r>
              <w:rPr>
                <w:rFonts w:eastAsia="黑体"/>
                <w:sz w:val="24"/>
                <w:szCs w:val="22"/>
              </w:rPr>
              <w:t>30</w:t>
            </w:r>
            <w:r>
              <w:rPr>
                <w:rFonts w:hint="eastAsia" w:eastAsia="黑体"/>
                <w:sz w:val="24"/>
                <w:szCs w:val="22"/>
              </w:rPr>
              <w:t xml:space="preserve">    </w:t>
            </w:r>
            <w:r>
              <w:rPr>
                <w:rFonts w:eastAsia="黑体"/>
                <w:sz w:val="24"/>
                <w:szCs w:val="22"/>
              </w:rPr>
              <w:t xml:space="preserve">       </w:t>
            </w:r>
            <w:r>
              <w:rPr>
                <w:rFonts w:hint="eastAsia" w:eastAsia="黑体"/>
                <w:sz w:val="24"/>
                <w:szCs w:val="22"/>
              </w:rPr>
              <w:t>本项目防渗分区一览表</w:t>
            </w:r>
          </w:p>
          <w:tbl>
            <w:tblPr>
              <w:tblStyle w:val="22"/>
              <w:tblW w:w="7946" w:type="dxa"/>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3103"/>
              <w:gridCol w:w="1415"/>
              <w:gridCol w:w="3428"/>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3103" w:type="dxa"/>
                  <w:vAlign w:val="center"/>
                </w:tcPr>
                <w:p>
                  <w:pPr>
                    <w:autoSpaceDE w:val="0"/>
                    <w:autoSpaceDN w:val="0"/>
                    <w:adjustRightInd w:val="0"/>
                    <w:snapToGrid w:val="0"/>
                    <w:jc w:val="center"/>
                    <w:rPr>
                      <w:bCs/>
                      <w:szCs w:val="21"/>
                    </w:rPr>
                  </w:pPr>
                  <w:r>
                    <w:rPr>
                      <w:rFonts w:hint="eastAsia"/>
                      <w:bCs/>
                      <w:szCs w:val="21"/>
                    </w:rPr>
                    <w:t>区域</w:t>
                  </w:r>
                </w:p>
              </w:tc>
              <w:tc>
                <w:tcPr>
                  <w:tcW w:w="1415" w:type="dxa"/>
                  <w:vAlign w:val="center"/>
                </w:tcPr>
                <w:p>
                  <w:pPr>
                    <w:autoSpaceDE w:val="0"/>
                    <w:autoSpaceDN w:val="0"/>
                    <w:adjustRightInd w:val="0"/>
                    <w:snapToGrid w:val="0"/>
                    <w:jc w:val="center"/>
                    <w:rPr>
                      <w:bCs/>
                      <w:szCs w:val="21"/>
                    </w:rPr>
                  </w:pPr>
                  <w:r>
                    <w:rPr>
                      <w:rFonts w:hint="eastAsia"/>
                      <w:bCs/>
                      <w:szCs w:val="21"/>
                    </w:rPr>
                    <w:t>防渗分区</w:t>
                  </w:r>
                </w:p>
              </w:tc>
              <w:tc>
                <w:tcPr>
                  <w:tcW w:w="3428" w:type="dxa"/>
                  <w:vAlign w:val="center"/>
                </w:tcPr>
                <w:p>
                  <w:pPr>
                    <w:autoSpaceDE w:val="0"/>
                    <w:autoSpaceDN w:val="0"/>
                    <w:adjustRightInd w:val="0"/>
                    <w:snapToGrid w:val="0"/>
                    <w:jc w:val="center"/>
                    <w:rPr>
                      <w:bCs/>
                      <w:szCs w:val="21"/>
                    </w:rPr>
                  </w:pPr>
                  <w:r>
                    <w:rPr>
                      <w:rFonts w:hint="eastAsia"/>
                      <w:bCs/>
                      <w:szCs w:val="21"/>
                    </w:rPr>
                    <w:t>防渗技术要求</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3103" w:type="dxa"/>
                  <w:vAlign w:val="center"/>
                </w:tcPr>
                <w:p>
                  <w:pPr>
                    <w:autoSpaceDE w:val="0"/>
                    <w:autoSpaceDN w:val="0"/>
                    <w:adjustRightInd w:val="0"/>
                    <w:snapToGrid w:val="0"/>
                    <w:jc w:val="center"/>
                    <w:rPr>
                      <w:szCs w:val="21"/>
                    </w:rPr>
                  </w:pPr>
                  <w:r>
                    <w:rPr>
                      <w:rFonts w:hint="eastAsia"/>
                      <w:szCs w:val="21"/>
                    </w:rPr>
                    <w:t>危废暂存间</w:t>
                  </w:r>
                </w:p>
              </w:tc>
              <w:tc>
                <w:tcPr>
                  <w:tcW w:w="1415" w:type="dxa"/>
                  <w:vAlign w:val="center"/>
                </w:tcPr>
                <w:p>
                  <w:pPr>
                    <w:autoSpaceDE w:val="0"/>
                    <w:autoSpaceDN w:val="0"/>
                    <w:adjustRightInd w:val="0"/>
                    <w:snapToGrid w:val="0"/>
                    <w:jc w:val="center"/>
                    <w:rPr>
                      <w:szCs w:val="21"/>
                    </w:rPr>
                  </w:pPr>
                  <w:r>
                    <w:rPr>
                      <w:rFonts w:hint="eastAsia"/>
                      <w:szCs w:val="21"/>
                    </w:rPr>
                    <w:t>重点防渗区</w:t>
                  </w:r>
                </w:p>
              </w:tc>
              <w:tc>
                <w:tcPr>
                  <w:tcW w:w="3428" w:type="dxa"/>
                  <w:vAlign w:val="center"/>
                </w:tcPr>
                <w:p>
                  <w:pPr>
                    <w:autoSpaceDE w:val="0"/>
                    <w:autoSpaceDN w:val="0"/>
                    <w:adjustRightInd w:val="0"/>
                    <w:snapToGrid w:val="0"/>
                    <w:jc w:val="center"/>
                    <w:rPr>
                      <w:szCs w:val="21"/>
                    </w:rPr>
                  </w:pPr>
                  <w:r>
                    <w:rPr>
                      <w:rFonts w:hint="eastAsia"/>
                      <w:szCs w:val="21"/>
                    </w:rPr>
                    <w:t>等效粘土防渗层Mb≥6m，K≤1×10</w:t>
                  </w:r>
                  <w:r>
                    <w:rPr>
                      <w:rFonts w:hint="eastAsia"/>
                      <w:szCs w:val="21"/>
                      <w:vertAlign w:val="superscript"/>
                    </w:rPr>
                    <w:t>-7</w:t>
                  </w:r>
                  <w:r>
                    <w:rPr>
                      <w:rFonts w:hint="eastAsia"/>
                      <w:szCs w:val="21"/>
                    </w:rPr>
                    <w:t>cm/s；或参照GB16889执行</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3103" w:type="dxa"/>
                  <w:vAlign w:val="center"/>
                </w:tcPr>
                <w:p>
                  <w:pPr>
                    <w:autoSpaceDE w:val="0"/>
                    <w:autoSpaceDN w:val="0"/>
                    <w:adjustRightInd w:val="0"/>
                    <w:snapToGrid w:val="0"/>
                    <w:jc w:val="center"/>
                    <w:rPr>
                      <w:szCs w:val="21"/>
                    </w:rPr>
                  </w:pPr>
                  <w:r>
                    <w:rPr>
                      <w:rFonts w:hint="eastAsia"/>
                      <w:szCs w:val="21"/>
                    </w:rPr>
                    <w:t>生产车间、办公区、厂区道路等</w:t>
                  </w:r>
                </w:p>
              </w:tc>
              <w:tc>
                <w:tcPr>
                  <w:tcW w:w="1415" w:type="dxa"/>
                  <w:vAlign w:val="center"/>
                </w:tcPr>
                <w:p>
                  <w:pPr>
                    <w:autoSpaceDE w:val="0"/>
                    <w:autoSpaceDN w:val="0"/>
                    <w:adjustRightInd w:val="0"/>
                    <w:snapToGrid w:val="0"/>
                    <w:jc w:val="center"/>
                    <w:rPr>
                      <w:szCs w:val="21"/>
                    </w:rPr>
                  </w:pPr>
                  <w:r>
                    <w:rPr>
                      <w:rFonts w:hint="eastAsia"/>
                      <w:szCs w:val="21"/>
                    </w:rPr>
                    <w:t>简单防渗区</w:t>
                  </w:r>
                </w:p>
              </w:tc>
              <w:tc>
                <w:tcPr>
                  <w:tcW w:w="3428" w:type="dxa"/>
                  <w:vAlign w:val="center"/>
                </w:tcPr>
                <w:p>
                  <w:pPr>
                    <w:autoSpaceDE w:val="0"/>
                    <w:autoSpaceDN w:val="0"/>
                    <w:adjustRightInd w:val="0"/>
                    <w:snapToGrid w:val="0"/>
                    <w:jc w:val="center"/>
                    <w:rPr>
                      <w:szCs w:val="21"/>
                    </w:rPr>
                  </w:pPr>
                  <w:r>
                    <w:rPr>
                      <w:rFonts w:hint="eastAsia"/>
                      <w:szCs w:val="21"/>
                    </w:rPr>
                    <w:t>一般地面硬化</w:t>
                  </w:r>
                </w:p>
              </w:tc>
            </w:tr>
          </w:tbl>
          <w:p>
            <w:pPr>
              <w:autoSpaceDE w:val="0"/>
              <w:autoSpaceDN w:val="0"/>
              <w:adjustRightInd w:val="0"/>
              <w:snapToGrid w:val="0"/>
              <w:spacing w:line="160" w:lineRule="exact"/>
              <w:ind w:firstLine="480" w:firstLineChars="200"/>
              <w:jc w:val="left"/>
              <w:rPr>
                <w:sz w:val="24"/>
              </w:rPr>
            </w:pPr>
          </w:p>
          <w:p>
            <w:pPr>
              <w:autoSpaceDE w:val="0"/>
              <w:autoSpaceDN w:val="0"/>
              <w:adjustRightInd w:val="0"/>
              <w:snapToGrid w:val="0"/>
              <w:spacing w:line="360" w:lineRule="auto"/>
              <w:ind w:firstLine="480" w:firstLineChars="200"/>
              <w:jc w:val="left"/>
              <w:rPr>
                <w:sz w:val="24"/>
              </w:rPr>
            </w:pPr>
            <w:r>
              <w:rPr>
                <w:rFonts w:hint="eastAsia"/>
                <w:sz w:val="24"/>
              </w:rPr>
              <w:t>重点防渗区采用2mm厚高密度聚乙烯膜进行防渗处理，渗透系数≤10</w:t>
            </w:r>
            <w:r>
              <w:rPr>
                <w:rFonts w:hint="eastAsia"/>
                <w:sz w:val="24"/>
                <w:vertAlign w:val="superscript"/>
              </w:rPr>
              <w:t>-10</w:t>
            </w:r>
            <w:r>
              <w:rPr>
                <w:rFonts w:hint="eastAsia"/>
                <w:sz w:val="24"/>
              </w:rPr>
              <w:t>cm/s，然后表面全部进行硬化。在</w:t>
            </w:r>
            <w:r>
              <w:rPr>
                <w:sz w:val="24"/>
              </w:rPr>
              <w:t>采取以上防渗措施后，项目建设对区域地下水环境影响较小。</w:t>
            </w:r>
          </w:p>
          <w:p>
            <w:pPr>
              <w:adjustRightInd w:val="0"/>
              <w:snapToGrid w:val="0"/>
              <w:spacing w:line="480" w:lineRule="exact"/>
              <w:ind w:firstLine="482" w:firstLineChars="200"/>
              <w:jc w:val="left"/>
              <w:rPr>
                <w:b/>
                <w:snapToGrid w:val="0"/>
                <w:kern w:val="0"/>
                <w:sz w:val="24"/>
              </w:rPr>
            </w:pPr>
            <w:r>
              <w:rPr>
                <w:rFonts w:hint="eastAsia"/>
                <w:b/>
                <w:snapToGrid w:val="0"/>
                <w:kern w:val="0"/>
                <w:sz w:val="24"/>
              </w:rPr>
              <w:t>6、土壤环境影响分析</w:t>
            </w:r>
          </w:p>
          <w:p>
            <w:pPr>
              <w:autoSpaceDE w:val="0"/>
              <w:autoSpaceDN w:val="0"/>
              <w:adjustRightInd w:val="0"/>
              <w:snapToGrid w:val="0"/>
              <w:spacing w:line="480" w:lineRule="exact"/>
              <w:ind w:firstLine="480" w:firstLineChars="200"/>
              <w:jc w:val="left"/>
              <w:rPr>
                <w:sz w:val="24"/>
              </w:rPr>
            </w:pPr>
            <w:r>
              <w:rPr>
                <w:rFonts w:hint="eastAsia"/>
                <w:sz w:val="24"/>
              </w:rPr>
              <w:t>本项目建设对土壤环境的影响主要发生在运营期，主要</w:t>
            </w:r>
            <w:r>
              <w:rPr>
                <w:sz w:val="24"/>
              </w:rPr>
              <w:t>影响途径为大气沉降及</w:t>
            </w:r>
            <w:r>
              <w:rPr>
                <w:rFonts w:hint="eastAsia"/>
                <w:sz w:val="24"/>
              </w:rPr>
              <w:t>废润滑油</w:t>
            </w:r>
            <w:r>
              <w:rPr>
                <w:sz w:val="24"/>
              </w:rPr>
              <w:t>渗</w:t>
            </w:r>
            <w:r>
              <w:rPr>
                <w:rFonts w:hint="eastAsia"/>
                <w:sz w:val="24"/>
              </w:rPr>
              <w:t>漏</w:t>
            </w:r>
            <w:r>
              <w:rPr>
                <w:sz w:val="24"/>
              </w:rPr>
              <w:t>对土壤</w:t>
            </w:r>
            <w:r>
              <w:rPr>
                <w:rFonts w:hint="eastAsia"/>
                <w:sz w:val="24"/>
              </w:rPr>
              <w:t>环境</w:t>
            </w:r>
            <w:r>
              <w:rPr>
                <w:sz w:val="24"/>
              </w:rPr>
              <w:t>的影响。</w:t>
            </w:r>
          </w:p>
          <w:p>
            <w:pPr>
              <w:autoSpaceDE w:val="0"/>
              <w:autoSpaceDN w:val="0"/>
              <w:adjustRightInd w:val="0"/>
              <w:snapToGrid w:val="0"/>
              <w:spacing w:line="480" w:lineRule="exact"/>
              <w:ind w:firstLine="600" w:firstLineChars="250"/>
              <w:jc w:val="left"/>
              <w:rPr>
                <w:sz w:val="24"/>
              </w:rPr>
            </w:pPr>
            <w:r>
              <w:rPr>
                <w:rFonts w:hint="eastAsia"/>
                <w:sz w:val="24"/>
              </w:rPr>
              <w:t>本项目废气排放的主要污染物为粉煤灰颗粒物，根据</w:t>
            </w:r>
            <w:r>
              <w:rPr>
                <w:sz w:val="24"/>
              </w:rPr>
              <w:t>《</w:t>
            </w:r>
            <w:r>
              <w:rPr>
                <w:rFonts w:hint="eastAsia"/>
                <w:sz w:val="24"/>
              </w:rPr>
              <w:t>粉煤灰</w:t>
            </w:r>
            <w:r>
              <w:rPr>
                <w:sz w:val="24"/>
              </w:rPr>
              <w:t>对土壤和作物生产的影响》</w:t>
            </w:r>
            <w:r>
              <w:rPr>
                <w:rFonts w:hint="eastAsia"/>
                <w:sz w:val="24"/>
              </w:rPr>
              <w:t>（汪</w:t>
            </w:r>
            <w:r>
              <w:rPr>
                <w:sz w:val="24"/>
              </w:rPr>
              <w:t>海珍等</w:t>
            </w:r>
            <w:r>
              <w:rPr>
                <w:rFonts w:hint="eastAsia"/>
                <w:sz w:val="24"/>
              </w:rPr>
              <w:t>），</w:t>
            </w:r>
            <w:r>
              <w:rPr>
                <w:sz w:val="24"/>
              </w:rPr>
              <w:t>其粉煤灰主要</w:t>
            </w:r>
            <w:r>
              <w:rPr>
                <w:rFonts w:hint="eastAsia"/>
                <w:sz w:val="24"/>
              </w:rPr>
              <w:t>化学</w:t>
            </w:r>
            <w:r>
              <w:rPr>
                <w:sz w:val="24"/>
              </w:rPr>
              <w:t>成分与土壤相类似，同时</w:t>
            </w:r>
            <w:r>
              <w:rPr>
                <w:rFonts w:hint="eastAsia"/>
                <w:sz w:val="24"/>
              </w:rPr>
              <w:t>工艺各产尘环节均进行了密闭</w:t>
            </w:r>
            <w:r>
              <w:rPr>
                <w:sz w:val="24"/>
              </w:rPr>
              <w:t>，</w:t>
            </w:r>
            <w:r>
              <w:rPr>
                <w:rFonts w:hint="eastAsia"/>
                <w:sz w:val="24"/>
              </w:rPr>
              <w:t>厂区</w:t>
            </w:r>
            <w:r>
              <w:rPr>
                <w:sz w:val="24"/>
              </w:rPr>
              <w:t>除</w:t>
            </w:r>
            <w:r>
              <w:rPr>
                <w:rFonts w:hint="eastAsia"/>
                <w:sz w:val="24"/>
              </w:rPr>
              <w:t>绿化地</w:t>
            </w:r>
            <w:r>
              <w:rPr>
                <w:sz w:val="24"/>
              </w:rPr>
              <w:t>之外</w:t>
            </w:r>
            <w:r>
              <w:rPr>
                <w:rFonts w:hint="eastAsia"/>
                <w:sz w:val="24"/>
              </w:rPr>
              <w:t>其余</w:t>
            </w:r>
            <w:r>
              <w:rPr>
                <w:sz w:val="24"/>
              </w:rPr>
              <w:t>土地均</w:t>
            </w:r>
            <w:r>
              <w:rPr>
                <w:rFonts w:hint="eastAsia"/>
                <w:sz w:val="24"/>
              </w:rPr>
              <w:t>进行</w:t>
            </w:r>
            <w:r>
              <w:rPr>
                <w:sz w:val="24"/>
              </w:rPr>
              <w:t>硬化处理</w:t>
            </w:r>
            <w:r>
              <w:rPr>
                <w:rFonts w:hint="eastAsia"/>
                <w:sz w:val="24"/>
              </w:rPr>
              <w:t>，因此，项目废气颗粒物沉降不会对周边土壤产生明显影响。</w:t>
            </w:r>
          </w:p>
          <w:p>
            <w:pPr>
              <w:autoSpaceDE w:val="0"/>
              <w:autoSpaceDN w:val="0"/>
              <w:adjustRightInd w:val="0"/>
              <w:snapToGrid w:val="0"/>
              <w:spacing w:line="480" w:lineRule="exact"/>
              <w:ind w:firstLine="480" w:firstLineChars="200"/>
              <w:jc w:val="left"/>
              <w:rPr>
                <w:sz w:val="24"/>
              </w:rPr>
            </w:pPr>
            <w:r>
              <w:rPr>
                <w:rFonts w:hint="eastAsia"/>
                <w:sz w:val="24"/>
              </w:rPr>
              <w:t>厂区设置1座6</w:t>
            </w:r>
            <w:r>
              <w:rPr>
                <w:sz w:val="24"/>
              </w:rPr>
              <w:t>m</w:t>
            </w:r>
            <w:r>
              <w:rPr>
                <w:sz w:val="24"/>
                <w:vertAlign w:val="superscript"/>
              </w:rPr>
              <w:t>2</w:t>
            </w:r>
            <w:r>
              <w:rPr>
                <w:sz w:val="24"/>
              </w:rPr>
              <w:t>的</w:t>
            </w:r>
            <w:r>
              <w:rPr>
                <w:rFonts w:hint="eastAsia"/>
                <w:sz w:val="24"/>
              </w:rPr>
              <w:t>危险</w:t>
            </w:r>
            <w:r>
              <w:rPr>
                <w:sz w:val="24"/>
              </w:rPr>
              <w:t>废物暂存间，</w:t>
            </w:r>
            <w:r>
              <w:rPr>
                <w:rFonts w:hint="eastAsia"/>
                <w:sz w:val="24"/>
              </w:rPr>
              <w:t>贮存</w:t>
            </w:r>
            <w:r>
              <w:rPr>
                <w:sz w:val="24"/>
              </w:rPr>
              <w:t>项目</w:t>
            </w:r>
            <w:r>
              <w:rPr>
                <w:rFonts w:hint="eastAsia"/>
                <w:sz w:val="24"/>
              </w:rPr>
              <w:t>产生</w:t>
            </w:r>
            <w:r>
              <w:rPr>
                <w:sz w:val="24"/>
              </w:rPr>
              <w:t>的废润滑油，</w:t>
            </w:r>
            <w:r>
              <w:rPr>
                <w:rFonts w:hint="eastAsia"/>
                <w:sz w:val="24"/>
              </w:rPr>
              <w:t>该</w:t>
            </w:r>
            <w:r>
              <w:rPr>
                <w:sz w:val="24"/>
              </w:rPr>
              <w:t>暂存间</w:t>
            </w:r>
            <w:r>
              <w:rPr>
                <w:rFonts w:hint="eastAsia"/>
                <w:sz w:val="24"/>
              </w:rPr>
              <w:t>按《危险废物贮存污染控制标准》（</w:t>
            </w:r>
            <w:r>
              <w:rPr>
                <w:sz w:val="24"/>
              </w:rPr>
              <w:t>GB18597-2001</w:t>
            </w:r>
            <w:r>
              <w:rPr>
                <w:rFonts w:hint="eastAsia"/>
                <w:sz w:val="24"/>
              </w:rPr>
              <w:t>）要求进行防渗处理，派</w:t>
            </w:r>
            <w:r>
              <w:rPr>
                <w:sz w:val="24"/>
              </w:rPr>
              <w:t>专人对危险废物进行</w:t>
            </w:r>
            <w:r>
              <w:rPr>
                <w:rFonts w:hint="eastAsia"/>
                <w:sz w:val="24"/>
              </w:rPr>
              <w:t>管理，定期进行检查，不得</w:t>
            </w:r>
            <w:r>
              <w:rPr>
                <w:sz w:val="24"/>
              </w:rPr>
              <w:t>露天随意</w:t>
            </w:r>
            <w:r>
              <w:rPr>
                <w:rFonts w:hint="eastAsia"/>
                <w:sz w:val="24"/>
              </w:rPr>
              <w:t>堆存，在</w:t>
            </w:r>
            <w:r>
              <w:rPr>
                <w:sz w:val="24"/>
              </w:rPr>
              <w:t>采取以上措施后，</w:t>
            </w:r>
            <w:r>
              <w:rPr>
                <w:rFonts w:hint="eastAsia"/>
                <w:sz w:val="24"/>
              </w:rPr>
              <w:t>项目</w:t>
            </w:r>
            <w:r>
              <w:rPr>
                <w:sz w:val="24"/>
              </w:rPr>
              <w:t>产生的危险废物</w:t>
            </w:r>
            <w:r>
              <w:rPr>
                <w:rFonts w:hint="eastAsia"/>
                <w:sz w:val="24"/>
              </w:rPr>
              <w:t>不会对周边土壤产生明显影响。</w:t>
            </w:r>
          </w:p>
          <w:p>
            <w:pPr>
              <w:spacing w:line="480" w:lineRule="exact"/>
              <w:ind w:firstLine="480" w:firstLineChars="200"/>
              <w:rPr>
                <w:sz w:val="24"/>
              </w:rPr>
            </w:pPr>
            <w:r>
              <w:rPr>
                <w:rFonts w:hint="eastAsia"/>
                <w:sz w:val="24"/>
              </w:rPr>
              <w:t>综上所述，评价认为</w:t>
            </w:r>
            <w:r>
              <w:rPr>
                <w:sz w:val="24"/>
              </w:rPr>
              <w:t>在采取相关</w:t>
            </w:r>
            <w:r>
              <w:rPr>
                <w:rFonts w:hint="eastAsia"/>
                <w:sz w:val="24"/>
              </w:rPr>
              <w:t>环保</w:t>
            </w:r>
            <w:r>
              <w:rPr>
                <w:sz w:val="24"/>
              </w:rPr>
              <w:t>措施后</w:t>
            </w:r>
            <w:r>
              <w:rPr>
                <w:rFonts w:hint="eastAsia"/>
                <w:sz w:val="24"/>
              </w:rPr>
              <w:t>，本项目建设对土壤环境影响较小。</w:t>
            </w:r>
          </w:p>
          <w:p>
            <w:pPr>
              <w:adjustRightInd w:val="0"/>
              <w:snapToGrid w:val="0"/>
              <w:spacing w:line="440" w:lineRule="exact"/>
              <w:ind w:firstLine="482" w:firstLineChars="200"/>
              <w:jc w:val="left"/>
              <w:rPr>
                <w:b/>
                <w:snapToGrid w:val="0"/>
                <w:kern w:val="0"/>
                <w:sz w:val="24"/>
              </w:rPr>
            </w:pPr>
            <w:r>
              <w:rPr>
                <w:rFonts w:hint="eastAsia"/>
                <w:b/>
                <w:snapToGrid w:val="0"/>
                <w:kern w:val="0"/>
                <w:sz w:val="24"/>
              </w:rPr>
              <w:t>7、</w:t>
            </w:r>
            <w:r>
              <w:rPr>
                <w:b/>
                <w:snapToGrid w:val="0"/>
                <w:kern w:val="0"/>
                <w:sz w:val="24"/>
              </w:rPr>
              <w:t>环境风险</w:t>
            </w:r>
          </w:p>
          <w:p>
            <w:pPr>
              <w:adjustRightInd w:val="0"/>
              <w:snapToGrid w:val="0"/>
              <w:spacing w:line="440" w:lineRule="exact"/>
              <w:ind w:firstLine="480" w:firstLineChars="200"/>
              <w:rPr>
                <w:sz w:val="24"/>
              </w:rPr>
            </w:pPr>
            <w:r>
              <w:rPr>
                <w:rFonts w:ascii="宋体" w:hAnsi="宋体"/>
                <w:sz w:val="24"/>
              </w:rPr>
              <w:t>本</w:t>
            </w:r>
            <w:r>
              <w:rPr>
                <w:rFonts w:hint="eastAsia"/>
                <w:sz w:val="24"/>
              </w:rPr>
              <w:t>项目为非金属废料和碎屑加工业项目，根据《建设项目环境风险评价技术导则》（HJ169-2018）中规定的物质危险性识别标准及所在区域类别可知，项目不存在重大危险源。本项目涉及环境危险物质为运行过程中产生的危险废物泄漏</w:t>
            </w:r>
            <w:r>
              <w:rPr>
                <w:sz w:val="24"/>
              </w:rPr>
              <w:t>对</w:t>
            </w:r>
            <w:r>
              <w:rPr>
                <w:rFonts w:hint="eastAsia"/>
                <w:sz w:val="24"/>
              </w:rPr>
              <w:t>土壤</w:t>
            </w:r>
            <w:r>
              <w:rPr>
                <w:sz w:val="24"/>
              </w:rPr>
              <w:t>及地下水的影响</w:t>
            </w:r>
            <w:r>
              <w:rPr>
                <w:rFonts w:hint="eastAsia"/>
                <w:sz w:val="24"/>
              </w:rPr>
              <w:t>。危险废物废润滑油产量很小，采用收集桶密闭保存，防止二次污染。危险废物暂存间地面做防渗处理，危废暂存间设置明显标志，并由专人管理，做好出入库核查登记，并定期检查，采取</w:t>
            </w:r>
            <w:r>
              <w:rPr>
                <w:sz w:val="24"/>
              </w:rPr>
              <w:t>以上措施后，</w:t>
            </w:r>
            <w:r>
              <w:rPr>
                <w:rFonts w:hint="eastAsia"/>
                <w:sz w:val="24"/>
              </w:rPr>
              <w:t>项目环境较小。</w:t>
            </w:r>
          </w:p>
          <w:p>
            <w:pPr>
              <w:spacing w:line="440" w:lineRule="exact"/>
              <w:ind w:firstLine="482" w:firstLineChars="200"/>
              <w:rPr>
                <w:b/>
                <w:bCs/>
                <w:sz w:val="24"/>
              </w:rPr>
            </w:pPr>
            <w:r>
              <w:rPr>
                <w:b/>
                <w:bCs/>
                <w:sz w:val="24"/>
              </w:rPr>
              <w:t>8</w:t>
            </w:r>
            <w:r>
              <w:rPr>
                <w:rFonts w:hint="eastAsia"/>
                <w:b/>
                <w:bCs/>
                <w:sz w:val="24"/>
              </w:rPr>
              <w:t>、项目选址可行性分析</w:t>
            </w:r>
          </w:p>
          <w:p>
            <w:pPr>
              <w:spacing w:line="440" w:lineRule="exact"/>
              <w:ind w:firstLine="480" w:firstLineChars="200"/>
              <w:rPr>
                <w:bCs/>
                <w:sz w:val="24"/>
              </w:rPr>
            </w:pPr>
            <w:r>
              <w:rPr>
                <w:rFonts w:hint="eastAsia"/>
                <w:bCs/>
                <w:sz w:val="24"/>
              </w:rPr>
              <w:t>（1）本项目位于平顶山市鲁山县辛集乡曲店村三组，租用</w:t>
            </w:r>
            <w:r>
              <w:rPr>
                <w:rFonts w:hint="eastAsia" w:cs="宋体"/>
                <w:bCs/>
                <w:kern w:val="0"/>
                <w:sz w:val="24"/>
              </w:rPr>
              <w:t>鲁山县远宏炭素材料有限公司</w:t>
            </w:r>
            <w:r>
              <w:rPr>
                <w:rFonts w:hint="eastAsia"/>
                <w:bCs/>
                <w:sz w:val="24"/>
              </w:rPr>
              <w:t>部分空地进行建设，根据鲁山县自然资源局出具的证明，项目占地符合辛集乡</w:t>
            </w:r>
            <w:r>
              <w:rPr>
                <w:bCs/>
                <w:sz w:val="24"/>
              </w:rPr>
              <w:t>土地利用</w:t>
            </w:r>
            <w:r>
              <w:rPr>
                <w:rFonts w:hint="eastAsia"/>
                <w:bCs/>
                <w:sz w:val="24"/>
              </w:rPr>
              <w:t>总体规划。</w:t>
            </w:r>
          </w:p>
          <w:p>
            <w:pPr>
              <w:pStyle w:val="21"/>
              <w:spacing w:after="0" w:line="440" w:lineRule="exact"/>
              <w:ind w:left="0" w:leftChars="0" w:firstLine="480"/>
              <w:rPr>
                <w:kern w:val="0"/>
                <w:szCs w:val="24"/>
              </w:rPr>
            </w:pPr>
            <w:r>
              <w:rPr>
                <w:rFonts w:hint="eastAsia"/>
                <w:kern w:val="0"/>
                <w:szCs w:val="24"/>
              </w:rPr>
              <w:t>（2）本项目选址不在</w:t>
            </w:r>
            <w:r>
              <w:rPr>
                <w:rFonts w:hAnsi="宋体"/>
                <w:szCs w:val="24"/>
              </w:rPr>
              <w:t>南水北调</w:t>
            </w:r>
            <w:r>
              <w:rPr>
                <w:rFonts w:hint="eastAsia" w:hAnsi="宋体"/>
                <w:szCs w:val="24"/>
              </w:rPr>
              <w:t>中线</w:t>
            </w:r>
            <w:r>
              <w:rPr>
                <w:rFonts w:hAnsi="宋体"/>
                <w:szCs w:val="24"/>
              </w:rPr>
              <w:t>工程</w:t>
            </w:r>
            <w:r>
              <w:rPr>
                <w:rFonts w:hint="eastAsia" w:hAnsi="宋体"/>
                <w:szCs w:val="24"/>
              </w:rPr>
              <w:t>保护区</w:t>
            </w:r>
            <w:r>
              <w:rPr>
                <w:rFonts w:hAnsi="宋体"/>
                <w:szCs w:val="24"/>
              </w:rPr>
              <w:t>、</w:t>
            </w:r>
            <w:r>
              <w:rPr>
                <w:rFonts w:hint="eastAsia"/>
                <w:kern w:val="0"/>
                <w:szCs w:val="24"/>
              </w:rPr>
              <w:t>平顶山及</w:t>
            </w:r>
            <w:r>
              <w:rPr>
                <w:kern w:val="0"/>
                <w:szCs w:val="24"/>
              </w:rPr>
              <w:t>鲁山</w:t>
            </w:r>
            <w:r>
              <w:rPr>
                <w:rFonts w:hint="eastAsia"/>
                <w:kern w:val="0"/>
                <w:szCs w:val="24"/>
              </w:rPr>
              <w:t>饮用水源保护区、风景名胜区、生态保护区等区域；项目所在区域水电能源充足，可满足项目建设需求。</w:t>
            </w:r>
          </w:p>
          <w:p>
            <w:pPr>
              <w:pStyle w:val="21"/>
              <w:spacing w:after="0" w:line="480" w:lineRule="exact"/>
              <w:ind w:left="0" w:leftChars="0" w:firstLine="480"/>
              <w:rPr>
                <w:szCs w:val="24"/>
              </w:rPr>
            </w:pPr>
            <w:r>
              <w:rPr>
                <w:rFonts w:hint="eastAsia"/>
                <w:kern w:val="0"/>
                <w:szCs w:val="24"/>
              </w:rPr>
              <w:t>（3）</w:t>
            </w:r>
            <w:r>
              <w:rPr>
                <w:kern w:val="0"/>
                <w:szCs w:val="24"/>
              </w:rPr>
              <w:t>本项目不在鲁山县生态保护红线范围内</w:t>
            </w:r>
            <w:r>
              <w:rPr>
                <w:rFonts w:hint="eastAsia"/>
                <w:kern w:val="0"/>
                <w:szCs w:val="24"/>
              </w:rPr>
              <w:t>，项目</w:t>
            </w:r>
            <w:r>
              <w:rPr>
                <w:rFonts w:cs="宋体"/>
                <w:kern w:val="0"/>
                <w:szCs w:val="24"/>
              </w:rPr>
              <w:t>建设符合</w:t>
            </w:r>
            <w:r>
              <w:rPr>
                <w:rFonts w:hint="eastAsia" w:cs="宋体"/>
                <w:kern w:val="0"/>
                <w:szCs w:val="24"/>
              </w:rPr>
              <w:t>《平顶山市生态</w:t>
            </w:r>
            <w:r>
              <w:rPr>
                <w:rFonts w:cs="宋体"/>
                <w:kern w:val="0"/>
                <w:szCs w:val="24"/>
              </w:rPr>
              <w:t>环境局关于组织实施平顶山市“</w:t>
            </w:r>
            <w:r>
              <w:rPr>
                <w:rFonts w:hint="eastAsia" w:cs="宋体"/>
                <w:kern w:val="0"/>
                <w:szCs w:val="24"/>
              </w:rPr>
              <w:t>三线一单</w:t>
            </w:r>
            <w:r>
              <w:rPr>
                <w:rFonts w:cs="宋体"/>
                <w:kern w:val="0"/>
                <w:szCs w:val="24"/>
              </w:rPr>
              <w:t>”</w:t>
            </w:r>
            <w:r>
              <w:rPr>
                <w:rFonts w:hint="eastAsia" w:cs="宋体"/>
                <w:kern w:val="0"/>
                <w:szCs w:val="24"/>
              </w:rPr>
              <w:t>生态</w:t>
            </w:r>
            <w:r>
              <w:rPr>
                <w:rFonts w:cs="宋体"/>
                <w:kern w:val="0"/>
                <w:szCs w:val="24"/>
              </w:rPr>
              <w:t>环境</w:t>
            </w:r>
            <w:r>
              <w:rPr>
                <w:rFonts w:hint="eastAsia" w:cs="宋体"/>
                <w:kern w:val="0"/>
                <w:szCs w:val="24"/>
              </w:rPr>
              <w:t>分区</w:t>
            </w:r>
            <w:r>
              <w:rPr>
                <w:rFonts w:cs="宋体"/>
                <w:kern w:val="0"/>
                <w:szCs w:val="24"/>
              </w:rPr>
              <w:t>管控准入清单的函》（</w:t>
            </w:r>
            <w:r>
              <w:rPr>
                <w:rFonts w:hint="eastAsia" w:cs="宋体"/>
                <w:kern w:val="0"/>
                <w:szCs w:val="24"/>
              </w:rPr>
              <w:t>平</w:t>
            </w:r>
            <w:r>
              <w:rPr>
                <w:rFonts w:cs="宋体"/>
                <w:kern w:val="0"/>
                <w:szCs w:val="24"/>
              </w:rPr>
              <w:t>政</w:t>
            </w:r>
            <w:r>
              <w:rPr>
                <w:rFonts w:hint="eastAsia" w:cs="宋体"/>
                <w:kern w:val="0"/>
                <w:szCs w:val="24"/>
              </w:rPr>
              <w:t>〔2021〕</w:t>
            </w:r>
            <w:r>
              <w:rPr>
                <w:rFonts w:cs="宋体"/>
                <w:kern w:val="0"/>
                <w:szCs w:val="24"/>
              </w:rPr>
              <w:t>121号）</w:t>
            </w:r>
            <w:r>
              <w:rPr>
                <w:rFonts w:hint="eastAsia" w:cs="宋体"/>
                <w:kern w:val="0"/>
                <w:szCs w:val="24"/>
              </w:rPr>
              <w:t>。</w:t>
            </w:r>
            <w:r>
              <w:rPr>
                <w:kern w:val="0"/>
                <w:szCs w:val="24"/>
              </w:rPr>
              <w:t>项目所排放的大气污染物为颗粒物，废气经集气系统收集后进入袋式除尘器处理，可以做到达标排放，对区域环境空气质量影响较小</w:t>
            </w:r>
            <w:r>
              <w:rPr>
                <w:rFonts w:hint="eastAsia"/>
                <w:kern w:val="0"/>
                <w:szCs w:val="24"/>
              </w:rPr>
              <w:t>；</w:t>
            </w:r>
            <w:r>
              <w:rPr>
                <w:kern w:val="0"/>
                <w:szCs w:val="24"/>
              </w:rPr>
              <w:t>项目生产过程无废水外排，生活污水经化粪池沉淀后</w:t>
            </w:r>
            <w:r>
              <w:rPr>
                <w:rFonts w:hint="eastAsia"/>
                <w:kern w:val="0"/>
                <w:szCs w:val="24"/>
              </w:rPr>
              <w:t>肥田；</w:t>
            </w:r>
            <w:r>
              <w:rPr>
                <w:kern w:val="0"/>
                <w:szCs w:val="24"/>
              </w:rPr>
              <w:t>厂区周围50m内无敏感点，新增高噪声设备少，经隔声减振后，不会改变区域声环境质量；</w:t>
            </w:r>
            <w:r>
              <w:rPr>
                <w:szCs w:val="24"/>
              </w:rPr>
              <w:t>项目生产过程中产生的固废和生活垃圾均可做到综合利用和妥善处理。</w:t>
            </w:r>
            <w:r>
              <w:rPr>
                <w:kern w:val="0"/>
                <w:szCs w:val="24"/>
              </w:rPr>
              <w:t>同时厂区将进行硬化处置，不会降低土壤环境功能。</w:t>
            </w:r>
            <w:r>
              <w:rPr>
                <w:rFonts w:hint="eastAsia"/>
                <w:kern w:val="0"/>
                <w:szCs w:val="24"/>
              </w:rPr>
              <w:t>因此，</w:t>
            </w:r>
            <w:r>
              <w:rPr>
                <w:kern w:val="0"/>
                <w:szCs w:val="24"/>
              </w:rPr>
              <w:t>项目建设</w:t>
            </w:r>
            <w:r>
              <w:rPr>
                <w:rFonts w:hint="eastAsia"/>
                <w:kern w:val="0"/>
                <w:szCs w:val="24"/>
              </w:rPr>
              <w:t>对周围环境影响较小。</w:t>
            </w:r>
          </w:p>
          <w:p>
            <w:pPr>
              <w:pStyle w:val="10"/>
              <w:spacing w:before="0" w:after="0" w:line="480" w:lineRule="exact"/>
              <w:ind w:right="0" w:firstLine="480" w:firstLineChars="200"/>
              <w:rPr>
                <w:sz w:val="24"/>
                <w:szCs w:val="24"/>
              </w:rPr>
            </w:pPr>
            <w:r>
              <w:rPr>
                <w:sz w:val="24"/>
                <w:szCs w:val="24"/>
              </w:rPr>
              <w:t>综上所述，从环保角度分析，评价认为本项目选址可行。</w:t>
            </w:r>
          </w:p>
          <w:p>
            <w:pPr>
              <w:adjustRightInd w:val="0"/>
              <w:snapToGrid w:val="0"/>
              <w:spacing w:line="480" w:lineRule="exact"/>
              <w:ind w:firstLine="482" w:firstLineChars="200"/>
              <w:jc w:val="left"/>
              <w:rPr>
                <w:b/>
                <w:snapToGrid w:val="0"/>
                <w:kern w:val="0"/>
                <w:sz w:val="24"/>
              </w:rPr>
            </w:pPr>
            <w:r>
              <w:rPr>
                <w:b/>
                <w:snapToGrid w:val="0"/>
                <w:kern w:val="0"/>
                <w:sz w:val="24"/>
              </w:rPr>
              <w:t>9</w:t>
            </w:r>
            <w:r>
              <w:rPr>
                <w:rFonts w:hint="eastAsia"/>
                <w:b/>
                <w:snapToGrid w:val="0"/>
                <w:kern w:val="0"/>
                <w:sz w:val="24"/>
              </w:rPr>
              <w:t>、环保投资估算</w:t>
            </w:r>
          </w:p>
          <w:p>
            <w:pPr>
              <w:autoSpaceDE w:val="0"/>
              <w:autoSpaceDN w:val="0"/>
              <w:adjustRightInd w:val="0"/>
              <w:snapToGrid w:val="0"/>
              <w:spacing w:line="480" w:lineRule="exact"/>
              <w:ind w:firstLine="480" w:firstLineChars="200"/>
              <w:rPr>
                <w:sz w:val="24"/>
              </w:rPr>
            </w:pPr>
            <w:r>
              <w:rPr>
                <w:rFonts w:hint="eastAsia"/>
                <w:sz w:val="24"/>
              </w:rPr>
              <w:t>本项目总投资</w:t>
            </w:r>
            <w:r>
              <w:rPr>
                <w:sz w:val="24"/>
              </w:rPr>
              <w:t>200</w:t>
            </w:r>
            <w:r>
              <w:rPr>
                <w:rFonts w:hint="eastAsia"/>
                <w:sz w:val="24"/>
              </w:rPr>
              <w:t>万元，其中环保投资</w:t>
            </w:r>
            <w:r>
              <w:rPr>
                <w:sz w:val="24"/>
              </w:rPr>
              <w:t>65</w:t>
            </w:r>
            <w:r>
              <w:rPr>
                <w:rFonts w:hint="eastAsia"/>
                <w:sz w:val="24"/>
              </w:rPr>
              <w:t>万元，占总投资额的</w:t>
            </w:r>
            <w:r>
              <w:rPr>
                <w:sz w:val="24"/>
              </w:rPr>
              <w:t>32.5</w:t>
            </w:r>
            <w:r>
              <w:rPr>
                <w:rFonts w:hint="eastAsia"/>
                <w:sz w:val="24"/>
              </w:rPr>
              <w:t>%。本项目环保投资见下表。</w:t>
            </w:r>
          </w:p>
          <w:p>
            <w:pPr>
              <w:autoSpaceDE w:val="0"/>
              <w:autoSpaceDN w:val="0"/>
              <w:adjustRightInd w:val="0"/>
              <w:snapToGrid w:val="0"/>
              <w:spacing w:line="400" w:lineRule="exact"/>
              <w:ind w:firstLine="960" w:firstLineChars="400"/>
              <w:rPr>
                <w:rFonts w:eastAsia="黑体"/>
                <w:sz w:val="24"/>
                <w:szCs w:val="22"/>
              </w:rPr>
            </w:pPr>
            <w:r>
              <w:rPr>
                <w:rFonts w:hint="eastAsia" w:eastAsia="黑体"/>
                <w:sz w:val="24"/>
                <w:szCs w:val="22"/>
              </w:rPr>
              <w:t>表</w:t>
            </w:r>
            <w:r>
              <w:rPr>
                <w:rFonts w:eastAsia="黑体"/>
                <w:sz w:val="24"/>
                <w:szCs w:val="22"/>
              </w:rPr>
              <w:t xml:space="preserve">31 </w:t>
            </w:r>
            <w:r>
              <w:rPr>
                <w:rFonts w:hint="eastAsia" w:eastAsia="黑体"/>
                <w:sz w:val="24"/>
                <w:szCs w:val="22"/>
              </w:rPr>
              <w:t xml:space="preserve">   </w:t>
            </w:r>
            <w:r>
              <w:rPr>
                <w:rFonts w:eastAsia="黑体"/>
                <w:sz w:val="24"/>
                <w:szCs w:val="22"/>
              </w:rPr>
              <w:t xml:space="preserve">     </w:t>
            </w:r>
            <w:r>
              <w:rPr>
                <w:rFonts w:hint="eastAsia" w:eastAsia="黑体"/>
                <w:sz w:val="24"/>
                <w:szCs w:val="22"/>
              </w:rPr>
              <w:t xml:space="preserve"> 本项目环保投资一览表</w:t>
            </w:r>
          </w:p>
          <w:tbl>
            <w:tblPr>
              <w:tblStyle w:val="22"/>
              <w:tblW w:w="7936" w:type="dxa"/>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28" w:type="dxa"/>
                <w:left w:w="57" w:type="dxa"/>
                <w:bottom w:w="28" w:type="dxa"/>
                <w:right w:w="57" w:type="dxa"/>
              </w:tblCellMar>
            </w:tblPr>
            <w:tblGrid>
              <w:gridCol w:w="691"/>
              <w:gridCol w:w="656"/>
              <w:gridCol w:w="1060"/>
              <w:gridCol w:w="4364"/>
              <w:gridCol w:w="1165"/>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57" w:type="dxa"/>
                  <w:bottom w:w="28" w:type="dxa"/>
                  <w:right w:w="57" w:type="dxa"/>
                </w:tblCellMar>
              </w:tblPrEx>
              <w:trPr>
                <w:trHeight w:val="454" w:hRule="atLeast"/>
              </w:trPr>
              <w:tc>
                <w:tcPr>
                  <w:tcW w:w="691" w:type="dxa"/>
                  <w:vAlign w:val="center"/>
                </w:tcPr>
                <w:p>
                  <w:pPr>
                    <w:spacing w:line="260" w:lineRule="exact"/>
                    <w:contextualSpacing/>
                    <w:jc w:val="center"/>
                    <w:rPr>
                      <w:bCs/>
                      <w:szCs w:val="21"/>
                    </w:rPr>
                  </w:pPr>
                  <w:r>
                    <w:rPr>
                      <w:bCs/>
                      <w:szCs w:val="21"/>
                    </w:rPr>
                    <w:t>序号</w:t>
                  </w:r>
                </w:p>
              </w:tc>
              <w:tc>
                <w:tcPr>
                  <w:tcW w:w="1716" w:type="dxa"/>
                  <w:gridSpan w:val="2"/>
                  <w:vAlign w:val="center"/>
                </w:tcPr>
                <w:p>
                  <w:pPr>
                    <w:spacing w:line="260" w:lineRule="exact"/>
                    <w:contextualSpacing/>
                    <w:jc w:val="center"/>
                    <w:rPr>
                      <w:bCs/>
                      <w:szCs w:val="21"/>
                    </w:rPr>
                  </w:pPr>
                  <w:r>
                    <w:rPr>
                      <w:rFonts w:hint="eastAsia"/>
                      <w:bCs/>
                      <w:szCs w:val="21"/>
                    </w:rPr>
                    <w:t>污染源</w:t>
                  </w:r>
                </w:p>
              </w:tc>
              <w:tc>
                <w:tcPr>
                  <w:tcW w:w="4364" w:type="dxa"/>
                  <w:vAlign w:val="center"/>
                </w:tcPr>
                <w:p>
                  <w:pPr>
                    <w:spacing w:line="260" w:lineRule="exact"/>
                    <w:contextualSpacing/>
                    <w:jc w:val="center"/>
                    <w:rPr>
                      <w:bCs/>
                      <w:szCs w:val="21"/>
                    </w:rPr>
                  </w:pPr>
                  <w:r>
                    <w:rPr>
                      <w:bCs/>
                      <w:szCs w:val="21"/>
                    </w:rPr>
                    <w:t>防治措施</w:t>
                  </w:r>
                </w:p>
              </w:tc>
              <w:tc>
                <w:tcPr>
                  <w:tcW w:w="1165" w:type="dxa"/>
                  <w:vAlign w:val="center"/>
                </w:tcPr>
                <w:p>
                  <w:pPr>
                    <w:spacing w:line="260" w:lineRule="exact"/>
                    <w:contextualSpacing/>
                    <w:jc w:val="center"/>
                    <w:rPr>
                      <w:bCs/>
                      <w:szCs w:val="21"/>
                    </w:rPr>
                  </w:pPr>
                  <w:r>
                    <w:rPr>
                      <w:bCs/>
                      <w:szCs w:val="21"/>
                    </w:rPr>
                    <w:t>投资估算</w:t>
                  </w:r>
                  <w:r>
                    <w:rPr>
                      <w:rFonts w:hint="eastAsia"/>
                      <w:bCs/>
                      <w:szCs w:val="21"/>
                    </w:rPr>
                    <w:t>（万元）</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57" w:type="dxa"/>
                  <w:bottom w:w="28" w:type="dxa"/>
                  <w:right w:w="57" w:type="dxa"/>
                </w:tblCellMar>
              </w:tblPrEx>
              <w:trPr>
                <w:trHeight w:val="454" w:hRule="atLeast"/>
              </w:trPr>
              <w:tc>
                <w:tcPr>
                  <w:tcW w:w="691" w:type="dxa"/>
                  <w:vMerge w:val="restart"/>
                  <w:vAlign w:val="center"/>
                </w:tcPr>
                <w:p>
                  <w:pPr>
                    <w:spacing w:line="260" w:lineRule="exact"/>
                    <w:contextualSpacing/>
                    <w:jc w:val="center"/>
                    <w:rPr>
                      <w:szCs w:val="21"/>
                    </w:rPr>
                  </w:pPr>
                  <w:bookmarkStart w:id="3" w:name="_Hlk94113735"/>
                  <w:r>
                    <w:rPr>
                      <w:rFonts w:hint="eastAsia"/>
                      <w:szCs w:val="21"/>
                    </w:rPr>
                    <w:t>1</w:t>
                  </w:r>
                </w:p>
              </w:tc>
              <w:tc>
                <w:tcPr>
                  <w:tcW w:w="656" w:type="dxa"/>
                  <w:vMerge w:val="restart"/>
                  <w:vAlign w:val="center"/>
                </w:tcPr>
                <w:p>
                  <w:pPr>
                    <w:spacing w:line="260" w:lineRule="exact"/>
                    <w:contextualSpacing/>
                    <w:jc w:val="center"/>
                    <w:rPr>
                      <w:szCs w:val="21"/>
                    </w:rPr>
                  </w:pPr>
                  <w:r>
                    <w:rPr>
                      <w:rFonts w:hint="eastAsia"/>
                      <w:szCs w:val="21"/>
                    </w:rPr>
                    <w:t>废气</w:t>
                  </w:r>
                </w:p>
              </w:tc>
              <w:tc>
                <w:tcPr>
                  <w:tcW w:w="1060" w:type="dxa"/>
                  <w:vAlign w:val="center"/>
                </w:tcPr>
                <w:p>
                  <w:pPr>
                    <w:spacing w:line="260" w:lineRule="exact"/>
                    <w:contextualSpacing/>
                    <w:jc w:val="center"/>
                    <w:rPr>
                      <w:rFonts w:cs="宋体"/>
                      <w:szCs w:val="21"/>
                    </w:rPr>
                  </w:pPr>
                  <w:r>
                    <w:rPr>
                      <w:rFonts w:hint="eastAsia" w:cs="宋体"/>
                      <w:szCs w:val="21"/>
                    </w:rPr>
                    <w:t>原料库</w:t>
                  </w:r>
                </w:p>
              </w:tc>
              <w:tc>
                <w:tcPr>
                  <w:tcW w:w="4364" w:type="dxa"/>
                  <w:vAlign w:val="center"/>
                </w:tcPr>
                <w:p>
                  <w:pPr>
                    <w:spacing w:line="260" w:lineRule="exact"/>
                    <w:contextualSpacing/>
                    <w:jc w:val="left"/>
                    <w:rPr>
                      <w:rFonts w:cs="宋体"/>
                      <w:szCs w:val="21"/>
                    </w:rPr>
                  </w:pPr>
                  <w:r>
                    <w:rPr>
                      <w:rFonts w:hint="eastAsia" w:cs="宋体"/>
                      <w:szCs w:val="21"/>
                    </w:rPr>
                    <w:t>密闭</w:t>
                  </w:r>
                  <w:r>
                    <w:rPr>
                      <w:rFonts w:cs="宋体"/>
                      <w:szCs w:val="21"/>
                    </w:rPr>
                    <w:t>原料仓</w:t>
                  </w:r>
                  <w:r>
                    <w:rPr>
                      <w:rFonts w:hint="eastAsia" w:cs="宋体"/>
                      <w:szCs w:val="21"/>
                    </w:rPr>
                    <w:t>，废气</w:t>
                  </w:r>
                  <w:r>
                    <w:rPr>
                      <w:rFonts w:cs="宋体"/>
                      <w:szCs w:val="21"/>
                    </w:rPr>
                    <w:t>经</w:t>
                  </w:r>
                  <w:r>
                    <w:rPr>
                      <w:rFonts w:hint="eastAsia" w:cs="宋体"/>
                      <w:szCs w:val="21"/>
                    </w:rPr>
                    <w:t>仓顶</w:t>
                  </w:r>
                  <w:r>
                    <w:rPr>
                      <w:rFonts w:cs="宋体"/>
                      <w:szCs w:val="21"/>
                    </w:rPr>
                    <w:t>脉冲袋式除尘</w:t>
                  </w:r>
                  <w:r>
                    <w:rPr>
                      <w:rFonts w:hint="eastAsia" w:cs="宋体"/>
                      <w:szCs w:val="21"/>
                    </w:rPr>
                    <w:t>器（1</w:t>
                  </w:r>
                  <w:r>
                    <w:rPr>
                      <w:rFonts w:cs="宋体"/>
                      <w:szCs w:val="21"/>
                    </w:rPr>
                    <w:t>#</w:t>
                  </w:r>
                  <w:r>
                    <w:rPr>
                      <w:rFonts w:hint="eastAsia" w:cs="宋体"/>
                      <w:szCs w:val="21"/>
                    </w:rPr>
                    <w:t>）除尘后</w:t>
                  </w:r>
                  <w:r>
                    <w:rPr>
                      <w:rFonts w:cs="宋体"/>
                      <w:szCs w:val="21"/>
                    </w:rPr>
                    <w:t>由</w:t>
                  </w:r>
                  <w:r>
                    <w:rPr>
                      <w:rFonts w:cs="宋体"/>
                    </w:rPr>
                    <w:t>仓顶排气筒排放（排气口高度19m</w:t>
                  </w:r>
                  <w:r>
                    <w:rPr>
                      <w:rFonts w:hint="eastAsia" w:cs="宋体"/>
                    </w:rPr>
                    <w:t>，</w:t>
                  </w:r>
                  <w:r>
                    <w:rPr>
                      <w:rFonts w:hint="eastAsia" w:cs="宋体"/>
                      <w:szCs w:val="21"/>
                    </w:rPr>
                    <w:t>编号DA001）</w:t>
                  </w:r>
                </w:p>
              </w:tc>
              <w:tc>
                <w:tcPr>
                  <w:tcW w:w="1165" w:type="dxa"/>
                  <w:vAlign w:val="center"/>
                </w:tcPr>
                <w:p>
                  <w:pPr>
                    <w:spacing w:line="260" w:lineRule="exact"/>
                    <w:contextualSpacing/>
                    <w:jc w:val="center"/>
                    <w:rPr>
                      <w:szCs w:val="21"/>
                    </w:rPr>
                  </w:pPr>
                  <w:r>
                    <w:rPr>
                      <w:szCs w:val="21"/>
                    </w:rPr>
                    <w:t>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57" w:type="dxa"/>
                  <w:bottom w:w="28" w:type="dxa"/>
                  <w:right w:w="57" w:type="dxa"/>
                </w:tblCellMar>
              </w:tblPrEx>
              <w:trPr>
                <w:trHeight w:val="454" w:hRule="atLeast"/>
              </w:trPr>
              <w:tc>
                <w:tcPr>
                  <w:tcW w:w="691" w:type="dxa"/>
                  <w:vMerge w:val="continue"/>
                  <w:vAlign w:val="center"/>
                </w:tcPr>
                <w:p>
                  <w:pPr>
                    <w:spacing w:line="260" w:lineRule="exact"/>
                    <w:contextualSpacing/>
                    <w:jc w:val="center"/>
                    <w:rPr>
                      <w:szCs w:val="21"/>
                    </w:rPr>
                  </w:pPr>
                </w:p>
              </w:tc>
              <w:tc>
                <w:tcPr>
                  <w:tcW w:w="656" w:type="dxa"/>
                  <w:vMerge w:val="continue"/>
                  <w:vAlign w:val="center"/>
                </w:tcPr>
                <w:p>
                  <w:pPr>
                    <w:spacing w:line="260" w:lineRule="exact"/>
                    <w:contextualSpacing/>
                    <w:jc w:val="center"/>
                    <w:rPr>
                      <w:szCs w:val="21"/>
                    </w:rPr>
                  </w:pPr>
                </w:p>
              </w:tc>
              <w:tc>
                <w:tcPr>
                  <w:tcW w:w="1060" w:type="dxa"/>
                  <w:vAlign w:val="center"/>
                </w:tcPr>
                <w:p>
                  <w:pPr>
                    <w:spacing w:line="260" w:lineRule="exact"/>
                    <w:contextualSpacing/>
                    <w:jc w:val="center"/>
                    <w:rPr>
                      <w:rFonts w:cs="宋体"/>
                      <w:szCs w:val="21"/>
                    </w:rPr>
                  </w:pPr>
                  <w:r>
                    <w:rPr>
                      <w:rFonts w:hint="eastAsia" w:cs="宋体"/>
                      <w:szCs w:val="21"/>
                    </w:rPr>
                    <w:t>粉磨机</w:t>
                  </w:r>
                </w:p>
              </w:tc>
              <w:tc>
                <w:tcPr>
                  <w:tcW w:w="4364" w:type="dxa"/>
                  <w:vAlign w:val="center"/>
                </w:tcPr>
                <w:p>
                  <w:pPr>
                    <w:spacing w:line="260" w:lineRule="exact"/>
                    <w:contextualSpacing/>
                    <w:jc w:val="left"/>
                    <w:rPr>
                      <w:rFonts w:cs="宋体"/>
                      <w:szCs w:val="21"/>
                    </w:rPr>
                  </w:pPr>
                  <w:r>
                    <w:rPr>
                      <w:rFonts w:hint="eastAsia" w:cs="宋体"/>
                      <w:szCs w:val="21"/>
                    </w:rPr>
                    <w:t>生产车间四面密闭，通道口安装卷帘门，车间所有地面均硬化。</w:t>
                  </w:r>
                  <w:r>
                    <w:rPr>
                      <w:rFonts w:cs="宋体"/>
                      <w:b/>
                      <w:szCs w:val="21"/>
                      <w:u w:val="single"/>
                    </w:rPr>
                    <w:t>粉磨</w:t>
                  </w:r>
                  <w:r>
                    <w:rPr>
                      <w:rFonts w:hint="eastAsia" w:cs="宋体"/>
                      <w:b/>
                      <w:szCs w:val="21"/>
                      <w:u w:val="single"/>
                    </w:rPr>
                    <w:t>机进口</w:t>
                  </w:r>
                  <w:r>
                    <w:rPr>
                      <w:rFonts w:cs="宋体"/>
                      <w:b/>
                      <w:szCs w:val="21"/>
                      <w:u w:val="single"/>
                    </w:rPr>
                    <w:t>、出口、气流输送回料至分选机下料口</w:t>
                  </w:r>
                  <w:r>
                    <w:rPr>
                      <w:rFonts w:hint="eastAsia" w:cs="宋体"/>
                      <w:b/>
                      <w:szCs w:val="21"/>
                      <w:u w:val="single"/>
                    </w:rPr>
                    <w:t>设置</w:t>
                  </w:r>
                  <w:r>
                    <w:rPr>
                      <w:rFonts w:cs="宋体"/>
                      <w:b/>
                      <w:szCs w:val="21"/>
                      <w:u w:val="single"/>
                    </w:rPr>
                    <w:t>集气罩</w:t>
                  </w:r>
                  <w:r>
                    <w:rPr>
                      <w:rFonts w:hint="eastAsia" w:cs="宋体"/>
                      <w:b/>
                      <w:szCs w:val="21"/>
                      <w:u w:val="single"/>
                    </w:rPr>
                    <w:t>，</w:t>
                  </w:r>
                  <w:r>
                    <w:rPr>
                      <w:rFonts w:cs="宋体"/>
                      <w:b/>
                      <w:szCs w:val="21"/>
                      <w:u w:val="single"/>
                    </w:rPr>
                    <w:t>之后</w:t>
                  </w:r>
                  <w:r>
                    <w:rPr>
                      <w:rFonts w:hint="eastAsia" w:cs="宋体"/>
                      <w:b/>
                      <w:szCs w:val="21"/>
                      <w:u w:val="single"/>
                    </w:rPr>
                    <w:t>废气</w:t>
                  </w:r>
                  <w:r>
                    <w:rPr>
                      <w:rFonts w:cs="宋体"/>
                      <w:b/>
                      <w:szCs w:val="21"/>
                      <w:u w:val="single"/>
                    </w:rPr>
                    <w:t>通过收尘管</w:t>
                  </w:r>
                  <w:r>
                    <w:rPr>
                      <w:rFonts w:hint="eastAsia" w:cs="宋体"/>
                      <w:b/>
                      <w:szCs w:val="21"/>
                      <w:u w:val="single"/>
                    </w:rPr>
                    <w:t>引入1套脉冲袋式除尘器（</w:t>
                  </w:r>
                  <w:r>
                    <w:rPr>
                      <w:rFonts w:cs="宋体"/>
                      <w:b/>
                      <w:szCs w:val="21"/>
                      <w:u w:val="single"/>
                    </w:rPr>
                    <w:t>2</w:t>
                  </w:r>
                  <w:r>
                    <w:rPr>
                      <w:rFonts w:hint="eastAsia" w:cs="宋体"/>
                      <w:b/>
                      <w:szCs w:val="21"/>
                      <w:u w:val="single"/>
                    </w:rPr>
                    <w:t>#）</w:t>
                  </w:r>
                  <w:r>
                    <w:rPr>
                      <w:rFonts w:hint="eastAsia" w:cs="宋体"/>
                      <w:szCs w:val="21"/>
                    </w:rPr>
                    <w:t>除尘</w:t>
                  </w:r>
                  <w:r>
                    <w:rPr>
                      <w:rFonts w:cs="宋体"/>
                      <w:szCs w:val="21"/>
                    </w:rPr>
                    <w:t>后由</w:t>
                  </w:r>
                  <w:r>
                    <w:rPr>
                      <w:rFonts w:hint="eastAsia" w:cs="宋体"/>
                      <w:szCs w:val="21"/>
                    </w:rPr>
                    <w:t>1根15m高排气筒（DA002）排放</w:t>
                  </w:r>
                </w:p>
              </w:tc>
              <w:tc>
                <w:tcPr>
                  <w:tcW w:w="1165" w:type="dxa"/>
                  <w:vAlign w:val="center"/>
                </w:tcPr>
                <w:p>
                  <w:pPr>
                    <w:spacing w:line="260" w:lineRule="exact"/>
                    <w:contextualSpacing/>
                    <w:jc w:val="center"/>
                    <w:rPr>
                      <w:szCs w:val="21"/>
                    </w:rPr>
                  </w:pPr>
                  <w:r>
                    <w:rPr>
                      <w:szCs w:val="21"/>
                    </w:rPr>
                    <w:t>15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57" w:type="dxa"/>
                  <w:bottom w:w="28" w:type="dxa"/>
                  <w:right w:w="57" w:type="dxa"/>
                </w:tblCellMar>
              </w:tblPrEx>
              <w:trPr>
                <w:trHeight w:val="454" w:hRule="atLeast"/>
              </w:trPr>
              <w:tc>
                <w:tcPr>
                  <w:tcW w:w="691" w:type="dxa"/>
                  <w:vMerge w:val="continue"/>
                  <w:vAlign w:val="center"/>
                </w:tcPr>
                <w:p>
                  <w:pPr>
                    <w:spacing w:line="260" w:lineRule="exact"/>
                    <w:contextualSpacing/>
                    <w:jc w:val="center"/>
                    <w:rPr>
                      <w:szCs w:val="21"/>
                    </w:rPr>
                  </w:pPr>
                </w:p>
              </w:tc>
              <w:tc>
                <w:tcPr>
                  <w:tcW w:w="656" w:type="dxa"/>
                  <w:vMerge w:val="continue"/>
                  <w:vAlign w:val="center"/>
                </w:tcPr>
                <w:p>
                  <w:pPr>
                    <w:spacing w:line="260" w:lineRule="exact"/>
                    <w:contextualSpacing/>
                    <w:jc w:val="center"/>
                    <w:rPr>
                      <w:szCs w:val="21"/>
                    </w:rPr>
                  </w:pPr>
                </w:p>
              </w:tc>
              <w:tc>
                <w:tcPr>
                  <w:tcW w:w="1060" w:type="dxa"/>
                  <w:vAlign w:val="center"/>
                </w:tcPr>
                <w:p>
                  <w:pPr>
                    <w:spacing w:line="260" w:lineRule="exact"/>
                    <w:contextualSpacing/>
                    <w:jc w:val="center"/>
                    <w:rPr>
                      <w:rFonts w:cs="宋体"/>
                      <w:szCs w:val="21"/>
                    </w:rPr>
                  </w:pPr>
                  <w:r>
                    <w:rPr>
                      <w:rFonts w:hint="eastAsia"/>
                      <w:szCs w:val="21"/>
                    </w:rPr>
                    <w:t>提升机</w:t>
                  </w:r>
                </w:p>
              </w:tc>
              <w:tc>
                <w:tcPr>
                  <w:tcW w:w="4364" w:type="dxa"/>
                  <w:vAlign w:val="center"/>
                </w:tcPr>
                <w:p>
                  <w:pPr>
                    <w:spacing w:line="260" w:lineRule="exact"/>
                    <w:contextualSpacing/>
                    <w:jc w:val="left"/>
                    <w:rPr>
                      <w:rFonts w:cs="宋体"/>
                      <w:szCs w:val="21"/>
                    </w:rPr>
                  </w:pPr>
                  <w:r>
                    <w:rPr>
                      <w:b/>
                      <w:szCs w:val="21"/>
                      <w:u w:val="single"/>
                    </w:rPr>
                    <w:t>2</w:t>
                  </w:r>
                  <w:r>
                    <w:rPr>
                      <w:rFonts w:hint="eastAsia"/>
                      <w:b/>
                      <w:szCs w:val="21"/>
                      <w:u w:val="single"/>
                    </w:rPr>
                    <w:t>座提升</w:t>
                  </w:r>
                  <w:r>
                    <w:rPr>
                      <w:b/>
                      <w:szCs w:val="21"/>
                      <w:u w:val="single"/>
                    </w:rPr>
                    <w:t>机</w:t>
                  </w:r>
                  <w:r>
                    <w:rPr>
                      <w:rFonts w:hint="eastAsia"/>
                      <w:b/>
                      <w:szCs w:val="21"/>
                      <w:u w:val="single"/>
                    </w:rPr>
                    <w:t>上料</w:t>
                  </w:r>
                  <w:r>
                    <w:rPr>
                      <w:b/>
                      <w:szCs w:val="21"/>
                      <w:u w:val="single"/>
                    </w:rPr>
                    <w:t>口、落料</w:t>
                  </w:r>
                  <w:r>
                    <w:rPr>
                      <w:rFonts w:hint="eastAsia"/>
                      <w:b/>
                      <w:szCs w:val="21"/>
                      <w:u w:val="single"/>
                    </w:rPr>
                    <w:t>口分别</w:t>
                  </w:r>
                  <w:r>
                    <w:rPr>
                      <w:b/>
                      <w:szCs w:val="21"/>
                      <w:u w:val="single"/>
                    </w:rPr>
                    <w:t>设集气装置，</w:t>
                  </w:r>
                  <w:r>
                    <w:rPr>
                      <w:rFonts w:hint="eastAsia" w:cs="宋体"/>
                      <w:b/>
                      <w:szCs w:val="21"/>
                      <w:u w:val="single"/>
                    </w:rPr>
                    <w:t>废气</w:t>
                  </w:r>
                  <w:r>
                    <w:rPr>
                      <w:rFonts w:cs="宋体"/>
                      <w:b/>
                      <w:szCs w:val="21"/>
                      <w:u w:val="single"/>
                    </w:rPr>
                    <w:t>通过收尘管</w:t>
                  </w:r>
                  <w:r>
                    <w:rPr>
                      <w:rFonts w:hint="eastAsia"/>
                      <w:szCs w:val="21"/>
                    </w:rPr>
                    <w:t>引入</w:t>
                  </w:r>
                  <w:r>
                    <w:rPr>
                      <w:szCs w:val="21"/>
                    </w:rPr>
                    <w:t>一套</w:t>
                  </w:r>
                  <w:r>
                    <w:rPr>
                      <w:rFonts w:hint="eastAsia"/>
                      <w:szCs w:val="21"/>
                    </w:rPr>
                    <w:t>脉冲</w:t>
                  </w:r>
                  <w:r>
                    <w:rPr>
                      <w:szCs w:val="21"/>
                    </w:rPr>
                    <w:t>袋式除尘器</w:t>
                  </w:r>
                  <w:r>
                    <w:rPr>
                      <w:rFonts w:hint="eastAsia"/>
                      <w:szCs w:val="21"/>
                    </w:rPr>
                    <w:t>（3</w:t>
                  </w:r>
                  <w:r>
                    <w:rPr>
                      <w:szCs w:val="21"/>
                    </w:rPr>
                    <w:t>#</w:t>
                  </w:r>
                  <w:r>
                    <w:rPr>
                      <w:rFonts w:hint="eastAsia"/>
                      <w:szCs w:val="21"/>
                    </w:rPr>
                    <w:t>）</w:t>
                  </w:r>
                  <w:r>
                    <w:rPr>
                      <w:szCs w:val="21"/>
                    </w:rPr>
                    <w:t>处理</w:t>
                  </w:r>
                  <w:r>
                    <w:rPr>
                      <w:rFonts w:hint="eastAsia"/>
                      <w:szCs w:val="21"/>
                    </w:rPr>
                    <w:t>后</w:t>
                  </w:r>
                  <w:r>
                    <w:rPr>
                      <w:szCs w:val="21"/>
                    </w:rPr>
                    <w:t>由一根</w:t>
                  </w:r>
                  <w:r>
                    <w:rPr>
                      <w:rFonts w:hint="eastAsia"/>
                      <w:szCs w:val="21"/>
                    </w:rPr>
                    <w:t>15</w:t>
                  </w:r>
                  <w:r>
                    <w:rPr>
                      <w:szCs w:val="21"/>
                    </w:rPr>
                    <w:t>m高排气筒</w:t>
                  </w:r>
                  <w:r>
                    <w:rPr>
                      <w:rFonts w:hint="eastAsia" w:cs="宋体"/>
                      <w:szCs w:val="21"/>
                    </w:rPr>
                    <w:t>（DA00</w:t>
                  </w:r>
                  <w:r>
                    <w:rPr>
                      <w:rFonts w:cs="宋体"/>
                      <w:szCs w:val="21"/>
                    </w:rPr>
                    <w:t>3</w:t>
                  </w:r>
                  <w:r>
                    <w:rPr>
                      <w:rFonts w:hint="eastAsia" w:cs="宋体"/>
                      <w:szCs w:val="21"/>
                    </w:rPr>
                    <w:t>）</w:t>
                  </w:r>
                  <w:r>
                    <w:rPr>
                      <w:szCs w:val="21"/>
                    </w:rPr>
                    <w:t>排放</w:t>
                  </w:r>
                </w:p>
              </w:tc>
              <w:tc>
                <w:tcPr>
                  <w:tcW w:w="1165" w:type="dxa"/>
                  <w:vAlign w:val="center"/>
                </w:tcPr>
                <w:p>
                  <w:pPr>
                    <w:spacing w:line="260" w:lineRule="exact"/>
                    <w:contextualSpacing/>
                    <w:jc w:val="center"/>
                    <w:rPr>
                      <w:szCs w:val="21"/>
                    </w:rPr>
                  </w:pPr>
                  <w:r>
                    <w:rPr>
                      <w:szCs w:val="21"/>
                    </w:rPr>
                    <w:t>10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57" w:type="dxa"/>
                  <w:bottom w:w="28" w:type="dxa"/>
                  <w:right w:w="57" w:type="dxa"/>
                </w:tblCellMar>
              </w:tblPrEx>
              <w:trPr>
                <w:trHeight w:val="454" w:hRule="atLeast"/>
              </w:trPr>
              <w:tc>
                <w:tcPr>
                  <w:tcW w:w="691" w:type="dxa"/>
                  <w:vMerge w:val="continue"/>
                  <w:vAlign w:val="center"/>
                </w:tcPr>
                <w:p>
                  <w:pPr>
                    <w:spacing w:line="260" w:lineRule="exact"/>
                    <w:contextualSpacing/>
                    <w:jc w:val="center"/>
                    <w:rPr>
                      <w:szCs w:val="21"/>
                    </w:rPr>
                  </w:pPr>
                </w:p>
              </w:tc>
              <w:tc>
                <w:tcPr>
                  <w:tcW w:w="656" w:type="dxa"/>
                  <w:vMerge w:val="continue"/>
                  <w:vAlign w:val="center"/>
                </w:tcPr>
                <w:p>
                  <w:pPr>
                    <w:spacing w:line="260" w:lineRule="exact"/>
                    <w:contextualSpacing/>
                    <w:jc w:val="center"/>
                    <w:rPr>
                      <w:szCs w:val="21"/>
                    </w:rPr>
                  </w:pPr>
                </w:p>
              </w:tc>
              <w:tc>
                <w:tcPr>
                  <w:tcW w:w="1060" w:type="dxa"/>
                  <w:vAlign w:val="center"/>
                </w:tcPr>
                <w:p>
                  <w:pPr>
                    <w:spacing w:line="260" w:lineRule="exact"/>
                    <w:contextualSpacing/>
                    <w:jc w:val="center"/>
                    <w:rPr>
                      <w:szCs w:val="21"/>
                    </w:rPr>
                  </w:pPr>
                  <w:r>
                    <w:rPr>
                      <w:rFonts w:hint="eastAsia"/>
                      <w:szCs w:val="21"/>
                    </w:rPr>
                    <w:t>成品仓</w:t>
                  </w:r>
                </w:p>
              </w:tc>
              <w:tc>
                <w:tcPr>
                  <w:tcW w:w="4364" w:type="dxa"/>
                  <w:vAlign w:val="center"/>
                </w:tcPr>
                <w:p>
                  <w:pPr>
                    <w:spacing w:line="260" w:lineRule="exact"/>
                    <w:contextualSpacing/>
                    <w:jc w:val="left"/>
                    <w:rPr>
                      <w:szCs w:val="21"/>
                    </w:rPr>
                  </w:pPr>
                  <w:r>
                    <w:rPr>
                      <w:rFonts w:hint="eastAsia" w:cs="宋体"/>
                      <w:szCs w:val="21"/>
                    </w:rPr>
                    <w:t>密闭成品</w:t>
                  </w:r>
                  <w:r>
                    <w:rPr>
                      <w:rFonts w:cs="宋体"/>
                      <w:szCs w:val="21"/>
                    </w:rPr>
                    <w:t>仓</w:t>
                  </w:r>
                  <w:r>
                    <w:rPr>
                      <w:rFonts w:hint="eastAsia" w:cs="宋体"/>
                      <w:szCs w:val="21"/>
                    </w:rPr>
                    <w:t>，废气</w:t>
                  </w:r>
                  <w:r>
                    <w:rPr>
                      <w:rFonts w:cs="宋体"/>
                      <w:szCs w:val="21"/>
                    </w:rPr>
                    <w:t>经</w:t>
                  </w:r>
                  <w:r>
                    <w:rPr>
                      <w:rFonts w:hint="eastAsia" w:cs="宋体"/>
                      <w:szCs w:val="21"/>
                    </w:rPr>
                    <w:t>仓顶</w:t>
                  </w:r>
                  <w:r>
                    <w:rPr>
                      <w:rFonts w:cs="宋体"/>
                      <w:szCs w:val="21"/>
                    </w:rPr>
                    <w:t>脉冲袋式除尘</w:t>
                  </w:r>
                  <w:r>
                    <w:rPr>
                      <w:rFonts w:hint="eastAsia" w:cs="宋体"/>
                      <w:szCs w:val="21"/>
                    </w:rPr>
                    <w:t>器（</w:t>
                  </w:r>
                  <w:r>
                    <w:rPr>
                      <w:rFonts w:cs="宋体"/>
                      <w:szCs w:val="21"/>
                    </w:rPr>
                    <w:t>4#</w:t>
                  </w:r>
                  <w:r>
                    <w:rPr>
                      <w:rFonts w:hint="eastAsia" w:cs="宋体"/>
                      <w:szCs w:val="21"/>
                    </w:rPr>
                    <w:t>）除尘后</w:t>
                  </w:r>
                  <w:r>
                    <w:rPr>
                      <w:rFonts w:cs="宋体"/>
                      <w:szCs w:val="21"/>
                    </w:rPr>
                    <w:t>由</w:t>
                  </w:r>
                  <w:r>
                    <w:rPr>
                      <w:rFonts w:cs="宋体"/>
                    </w:rPr>
                    <w:t>仓顶排气筒排放（排气口高度21m</w:t>
                  </w:r>
                  <w:r>
                    <w:rPr>
                      <w:rFonts w:hint="eastAsia" w:cs="宋体"/>
                    </w:rPr>
                    <w:t>，</w:t>
                  </w:r>
                  <w:r>
                    <w:rPr>
                      <w:rFonts w:hint="eastAsia" w:cs="宋体"/>
                      <w:szCs w:val="21"/>
                    </w:rPr>
                    <w:t>编号DA00</w:t>
                  </w:r>
                  <w:r>
                    <w:rPr>
                      <w:rFonts w:cs="宋体"/>
                      <w:szCs w:val="21"/>
                    </w:rPr>
                    <w:t>4</w:t>
                  </w:r>
                  <w:r>
                    <w:rPr>
                      <w:rFonts w:hint="eastAsia" w:cs="宋体"/>
                      <w:szCs w:val="21"/>
                    </w:rPr>
                    <w:t>）</w:t>
                  </w:r>
                </w:p>
              </w:tc>
              <w:tc>
                <w:tcPr>
                  <w:tcW w:w="1165" w:type="dxa"/>
                  <w:vAlign w:val="center"/>
                </w:tcPr>
                <w:p>
                  <w:pPr>
                    <w:spacing w:line="260" w:lineRule="exact"/>
                    <w:contextualSpacing/>
                    <w:jc w:val="center"/>
                    <w:rPr>
                      <w:szCs w:val="21"/>
                    </w:rPr>
                  </w:pPr>
                  <w:r>
                    <w:rPr>
                      <w:szCs w:val="21"/>
                    </w:rPr>
                    <w:t>7</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57" w:type="dxa"/>
                  <w:bottom w:w="28" w:type="dxa"/>
                  <w:right w:w="57" w:type="dxa"/>
                </w:tblCellMar>
              </w:tblPrEx>
              <w:trPr>
                <w:trHeight w:val="454" w:hRule="atLeast"/>
              </w:trPr>
              <w:tc>
                <w:tcPr>
                  <w:tcW w:w="691" w:type="dxa"/>
                  <w:vMerge w:val="continue"/>
                  <w:vAlign w:val="center"/>
                </w:tcPr>
                <w:p>
                  <w:pPr>
                    <w:spacing w:line="260" w:lineRule="exact"/>
                    <w:contextualSpacing/>
                    <w:jc w:val="center"/>
                    <w:rPr>
                      <w:szCs w:val="21"/>
                    </w:rPr>
                  </w:pPr>
                </w:p>
              </w:tc>
              <w:tc>
                <w:tcPr>
                  <w:tcW w:w="656" w:type="dxa"/>
                  <w:vMerge w:val="continue"/>
                  <w:vAlign w:val="center"/>
                </w:tcPr>
                <w:p>
                  <w:pPr>
                    <w:spacing w:line="260" w:lineRule="exact"/>
                    <w:contextualSpacing/>
                    <w:jc w:val="center"/>
                    <w:rPr>
                      <w:szCs w:val="21"/>
                    </w:rPr>
                  </w:pPr>
                </w:p>
              </w:tc>
              <w:tc>
                <w:tcPr>
                  <w:tcW w:w="1060" w:type="dxa"/>
                  <w:vAlign w:val="center"/>
                </w:tcPr>
                <w:p>
                  <w:pPr>
                    <w:spacing w:line="260" w:lineRule="exact"/>
                    <w:contextualSpacing/>
                    <w:jc w:val="center"/>
                    <w:rPr>
                      <w:szCs w:val="21"/>
                    </w:rPr>
                  </w:pPr>
                  <w:r>
                    <w:rPr>
                      <w:rFonts w:hint="eastAsia"/>
                      <w:szCs w:val="21"/>
                    </w:rPr>
                    <w:t>散装机</w:t>
                  </w:r>
                </w:p>
              </w:tc>
              <w:tc>
                <w:tcPr>
                  <w:tcW w:w="4364" w:type="dxa"/>
                  <w:vAlign w:val="center"/>
                </w:tcPr>
                <w:p>
                  <w:pPr>
                    <w:spacing w:line="260" w:lineRule="exact"/>
                    <w:contextualSpacing/>
                    <w:jc w:val="left"/>
                    <w:rPr>
                      <w:szCs w:val="21"/>
                    </w:rPr>
                  </w:pPr>
                  <w:r>
                    <w:rPr>
                      <w:szCs w:val="21"/>
                    </w:rPr>
                    <w:t>散装机为封闭设置，</w:t>
                  </w:r>
                  <w:r>
                    <w:rPr>
                      <w:b/>
                      <w:szCs w:val="21"/>
                      <w:u w:val="single"/>
                    </w:rPr>
                    <w:t>落料</w:t>
                  </w:r>
                  <w:r>
                    <w:rPr>
                      <w:rFonts w:hint="eastAsia"/>
                      <w:b/>
                      <w:szCs w:val="21"/>
                      <w:u w:val="single"/>
                    </w:rPr>
                    <w:t>口设置集气罩</w:t>
                  </w:r>
                  <w:r>
                    <w:rPr>
                      <w:b/>
                      <w:szCs w:val="21"/>
                      <w:u w:val="single"/>
                    </w:rPr>
                    <w:t>，</w:t>
                  </w:r>
                  <w:r>
                    <w:rPr>
                      <w:rFonts w:hint="eastAsia"/>
                      <w:b/>
                      <w:szCs w:val="21"/>
                      <w:u w:val="single"/>
                    </w:rPr>
                    <w:t>散装废</w:t>
                  </w:r>
                  <w:r>
                    <w:rPr>
                      <w:rFonts w:hint="eastAsia" w:cs="宋体"/>
                      <w:b/>
                      <w:szCs w:val="21"/>
                      <w:u w:val="single"/>
                    </w:rPr>
                    <w:t>气</w:t>
                  </w:r>
                  <w:r>
                    <w:rPr>
                      <w:rFonts w:cs="宋体"/>
                      <w:b/>
                      <w:szCs w:val="21"/>
                      <w:u w:val="single"/>
                    </w:rPr>
                    <w:t>通过收尘管</w:t>
                  </w:r>
                  <w:r>
                    <w:rPr>
                      <w:rFonts w:hint="eastAsia"/>
                      <w:szCs w:val="21"/>
                    </w:rPr>
                    <w:t>经</w:t>
                  </w:r>
                  <w:r>
                    <w:rPr>
                      <w:szCs w:val="21"/>
                    </w:rPr>
                    <w:t>袋式除尘器</w:t>
                  </w:r>
                  <w:r>
                    <w:rPr>
                      <w:rFonts w:hint="eastAsia"/>
                      <w:szCs w:val="21"/>
                    </w:rPr>
                    <w:t>（</w:t>
                  </w:r>
                  <w:r>
                    <w:rPr>
                      <w:szCs w:val="21"/>
                    </w:rPr>
                    <w:t>5#</w:t>
                  </w:r>
                  <w:r>
                    <w:rPr>
                      <w:rFonts w:hint="eastAsia"/>
                      <w:szCs w:val="21"/>
                    </w:rPr>
                    <w:t>）</w:t>
                  </w:r>
                  <w:r>
                    <w:rPr>
                      <w:szCs w:val="21"/>
                    </w:rPr>
                    <w:t>处理</w:t>
                  </w:r>
                  <w:r>
                    <w:rPr>
                      <w:rFonts w:hint="eastAsia"/>
                      <w:szCs w:val="21"/>
                    </w:rPr>
                    <w:t>后</w:t>
                  </w:r>
                  <w:r>
                    <w:rPr>
                      <w:szCs w:val="21"/>
                    </w:rPr>
                    <w:t>由一根</w:t>
                  </w:r>
                  <w:r>
                    <w:rPr>
                      <w:rFonts w:hint="eastAsia"/>
                      <w:szCs w:val="21"/>
                    </w:rPr>
                    <w:t>15</w:t>
                  </w:r>
                  <w:r>
                    <w:rPr>
                      <w:szCs w:val="21"/>
                    </w:rPr>
                    <w:t>m高排气筒</w:t>
                  </w:r>
                  <w:r>
                    <w:rPr>
                      <w:rFonts w:hint="eastAsia" w:cs="宋体"/>
                      <w:szCs w:val="21"/>
                    </w:rPr>
                    <w:t>（DA00</w:t>
                  </w:r>
                  <w:r>
                    <w:rPr>
                      <w:rFonts w:cs="宋体"/>
                      <w:szCs w:val="21"/>
                    </w:rPr>
                    <w:t>5</w:t>
                  </w:r>
                  <w:r>
                    <w:rPr>
                      <w:rFonts w:hint="eastAsia" w:cs="宋体"/>
                      <w:szCs w:val="21"/>
                    </w:rPr>
                    <w:t>）</w:t>
                  </w:r>
                  <w:r>
                    <w:rPr>
                      <w:szCs w:val="21"/>
                    </w:rPr>
                    <w:t>排放</w:t>
                  </w:r>
                </w:p>
              </w:tc>
              <w:tc>
                <w:tcPr>
                  <w:tcW w:w="1165" w:type="dxa"/>
                  <w:vAlign w:val="center"/>
                </w:tcPr>
                <w:p>
                  <w:pPr>
                    <w:spacing w:line="260" w:lineRule="exact"/>
                    <w:contextualSpacing/>
                    <w:jc w:val="center"/>
                    <w:rPr>
                      <w:szCs w:val="21"/>
                    </w:rPr>
                  </w:pPr>
                  <w:r>
                    <w:rPr>
                      <w:szCs w:val="21"/>
                    </w:rPr>
                    <w:t>7</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57" w:type="dxa"/>
                  <w:bottom w:w="28" w:type="dxa"/>
                  <w:right w:w="57" w:type="dxa"/>
                </w:tblCellMar>
              </w:tblPrEx>
              <w:trPr>
                <w:trHeight w:val="454" w:hRule="atLeast"/>
              </w:trPr>
              <w:tc>
                <w:tcPr>
                  <w:tcW w:w="691" w:type="dxa"/>
                  <w:vMerge w:val="continue"/>
                  <w:vAlign w:val="center"/>
                </w:tcPr>
                <w:p>
                  <w:pPr>
                    <w:spacing w:line="260" w:lineRule="exact"/>
                    <w:contextualSpacing/>
                    <w:jc w:val="center"/>
                    <w:rPr>
                      <w:szCs w:val="21"/>
                    </w:rPr>
                  </w:pPr>
                </w:p>
              </w:tc>
              <w:tc>
                <w:tcPr>
                  <w:tcW w:w="656" w:type="dxa"/>
                  <w:vMerge w:val="continue"/>
                  <w:vAlign w:val="center"/>
                </w:tcPr>
                <w:p>
                  <w:pPr>
                    <w:spacing w:line="260" w:lineRule="exact"/>
                    <w:contextualSpacing/>
                    <w:jc w:val="center"/>
                    <w:rPr>
                      <w:szCs w:val="21"/>
                    </w:rPr>
                  </w:pPr>
                </w:p>
              </w:tc>
              <w:tc>
                <w:tcPr>
                  <w:tcW w:w="1060" w:type="dxa"/>
                  <w:vAlign w:val="center"/>
                </w:tcPr>
                <w:p>
                  <w:pPr>
                    <w:spacing w:line="260" w:lineRule="exact"/>
                    <w:contextualSpacing/>
                    <w:jc w:val="center"/>
                    <w:rPr>
                      <w:szCs w:val="21"/>
                    </w:rPr>
                  </w:pPr>
                  <w:r>
                    <w:rPr>
                      <w:rFonts w:hint="eastAsia"/>
                      <w:szCs w:val="21"/>
                    </w:rPr>
                    <w:t>无</w:t>
                  </w:r>
                  <w:r>
                    <w:rPr>
                      <w:szCs w:val="21"/>
                    </w:rPr>
                    <w:t>组织粉尘</w:t>
                  </w:r>
                </w:p>
              </w:tc>
              <w:tc>
                <w:tcPr>
                  <w:tcW w:w="4364" w:type="dxa"/>
                  <w:vAlign w:val="center"/>
                </w:tcPr>
                <w:p>
                  <w:pPr>
                    <w:spacing w:line="260" w:lineRule="exact"/>
                    <w:contextualSpacing/>
                    <w:jc w:val="left"/>
                    <w:rPr>
                      <w:szCs w:val="21"/>
                    </w:rPr>
                  </w:pPr>
                  <w:r>
                    <w:rPr>
                      <w:rFonts w:hint="eastAsia"/>
                      <w:szCs w:val="21"/>
                    </w:rPr>
                    <w:t>分选机、粉磨</w:t>
                  </w:r>
                  <w:r>
                    <w:rPr>
                      <w:szCs w:val="21"/>
                    </w:rPr>
                    <w:t>机等</w:t>
                  </w:r>
                  <w:r>
                    <w:rPr>
                      <w:rFonts w:hint="eastAsia"/>
                      <w:szCs w:val="21"/>
                    </w:rPr>
                    <w:t>设备安装在全封闭的生产车间内，厂区闲置裸露空地绿化，道路</w:t>
                  </w:r>
                  <w:r>
                    <w:rPr>
                      <w:szCs w:val="21"/>
                    </w:rPr>
                    <w:t>全部硬化，</w:t>
                  </w:r>
                  <w:r>
                    <w:rPr>
                      <w:rFonts w:hint="eastAsia"/>
                      <w:szCs w:val="21"/>
                    </w:rPr>
                    <w:t>无裸露空地，出厂门口配备高压清洗装置，设置洒水装置，车间设置干雾</w:t>
                  </w:r>
                  <w:r>
                    <w:rPr>
                      <w:szCs w:val="21"/>
                    </w:rPr>
                    <w:t>抑尘装置，</w:t>
                  </w:r>
                  <w:r>
                    <w:rPr>
                      <w:rFonts w:hint="eastAsia"/>
                      <w:szCs w:val="21"/>
                    </w:rPr>
                    <w:t>厂区定期进行洒水降尘</w:t>
                  </w:r>
                </w:p>
              </w:tc>
              <w:tc>
                <w:tcPr>
                  <w:tcW w:w="1165" w:type="dxa"/>
                  <w:vAlign w:val="center"/>
                </w:tcPr>
                <w:p>
                  <w:pPr>
                    <w:spacing w:line="260" w:lineRule="exact"/>
                    <w:contextualSpacing/>
                    <w:jc w:val="center"/>
                    <w:rPr>
                      <w:szCs w:val="21"/>
                    </w:rPr>
                  </w:pPr>
                  <w:r>
                    <w:rPr>
                      <w:rFonts w:hint="eastAsia"/>
                      <w:szCs w:val="21"/>
                    </w:rPr>
                    <w:t>10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57" w:type="dxa"/>
                  <w:bottom w:w="28" w:type="dxa"/>
                  <w:right w:w="57" w:type="dxa"/>
                </w:tblCellMar>
              </w:tblPrEx>
              <w:trPr>
                <w:trHeight w:val="454" w:hRule="atLeast"/>
              </w:trPr>
              <w:tc>
                <w:tcPr>
                  <w:tcW w:w="691" w:type="dxa"/>
                  <w:vMerge w:val="restart"/>
                  <w:vAlign w:val="center"/>
                </w:tcPr>
                <w:p>
                  <w:pPr>
                    <w:spacing w:line="260" w:lineRule="exact"/>
                    <w:contextualSpacing/>
                    <w:jc w:val="center"/>
                    <w:rPr>
                      <w:szCs w:val="21"/>
                    </w:rPr>
                  </w:pPr>
                  <w:r>
                    <w:rPr>
                      <w:rFonts w:hint="eastAsia"/>
                      <w:szCs w:val="21"/>
                    </w:rPr>
                    <w:t>2</w:t>
                  </w:r>
                </w:p>
              </w:tc>
              <w:tc>
                <w:tcPr>
                  <w:tcW w:w="656" w:type="dxa"/>
                  <w:vMerge w:val="restart"/>
                  <w:vAlign w:val="center"/>
                </w:tcPr>
                <w:p>
                  <w:pPr>
                    <w:spacing w:line="260" w:lineRule="exact"/>
                    <w:contextualSpacing/>
                    <w:jc w:val="center"/>
                    <w:rPr>
                      <w:szCs w:val="21"/>
                    </w:rPr>
                  </w:pPr>
                  <w:r>
                    <w:rPr>
                      <w:rFonts w:hint="eastAsia"/>
                      <w:szCs w:val="21"/>
                    </w:rPr>
                    <w:t>废水</w:t>
                  </w:r>
                </w:p>
              </w:tc>
              <w:tc>
                <w:tcPr>
                  <w:tcW w:w="1060" w:type="dxa"/>
                  <w:vAlign w:val="center"/>
                </w:tcPr>
                <w:p>
                  <w:pPr>
                    <w:spacing w:line="260" w:lineRule="exact"/>
                    <w:contextualSpacing/>
                    <w:jc w:val="center"/>
                    <w:rPr>
                      <w:szCs w:val="21"/>
                    </w:rPr>
                  </w:pPr>
                  <w:r>
                    <w:rPr>
                      <w:rFonts w:hint="eastAsia"/>
                      <w:szCs w:val="21"/>
                    </w:rPr>
                    <w:t>生活污水</w:t>
                  </w:r>
                </w:p>
              </w:tc>
              <w:tc>
                <w:tcPr>
                  <w:tcW w:w="4364" w:type="dxa"/>
                  <w:vAlign w:val="center"/>
                </w:tcPr>
                <w:p>
                  <w:pPr>
                    <w:spacing w:line="260" w:lineRule="exact"/>
                    <w:contextualSpacing/>
                    <w:jc w:val="left"/>
                    <w:rPr>
                      <w:szCs w:val="21"/>
                    </w:rPr>
                  </w:pPr>
                  <w:r>
                    <w:rPr>
                      <w:rFonts w:hint="eastAsia"/>
                      <w:szCs w:val="21"/>
                    </w:rPr>
                    <w:t>新建旱厕</w:t>
                  </w:r>
                  <w:r>
                    <w:rPr>
                      <w:szCs w:val="21"/>
                    </w:rPr>
                    <w:t>，生活污水经</w:t>
                  </w:r>
                  <w:r>
                    <w:rPr>
                      <w:rFonts w:hint="eastAsia"/>
                      <w:szCs w:val="21"/>
                    </w:rPr>
                    <w:t>化粪池（新建</w:t>
                  </w:r>
                  <w:r>
                    <w:rPr>
                      <w:szCs w:val="21"/>
                    </w:rPr>
                    <w:t>，6</w:t>
                  </w:r>
                  <w:r>
                    <w:rPr>
                      <w:rFonts w:hint="eastAsia"/>
                      <w:szCs w:val="21"/>
                    </w:rPr>
                    <w:t>m</w:t>
                  </w:r>
                  <w:r>
                    <w:rPr>
                      <w:rFonts w:hint="eastAsia"/>
                      <w:szCs w:val="21"/>
                      <w:vertAlign w:val="superscript"/>
                    </w:rPr>
                    <w:t>3</w:t>
                  </w:r>
                  <w:r>
                    <w:rPr>
                      <w:rFonts w:hint="eastAsia"/>
                      <w:szCs w:val="21"/>
                    </w:rPr>
                    <w:t>）处理后，定期由吸粪车运至周边农田</w:t>
                  </w:r>
                  <w:r>
                    <w:rPr>
                      <w:szCs w:val="21"/>
                    </w:rPr>
                    <w:t>施肥</w:t>
                  </w:r>
                </w:p>
              </w:tc>
              <w:tc>
                <w:tcPr>
                  <w:tcW w:w="1165" w:type="dxa"/>
                  <w:vAlign w:val="center"/>
                </w:tcPr>
                <w:p>
                  <w:pPr>
                    <w:spacing w:line="260" w:lineRule="exact"/>
                    <w:contextualSpacing/>
                    <w:jc w:val="center"/>
                    <w:rPr>
                      <w:szCs w:val="21"/>
                    </w:rPr>
                  </w:pPr>
                  <w:r>
                    <w:rPr>
                      <w:szCs w:val="21"/>
                    </w:rPr>
                    <w:t>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57" w:type="dxa"/>
                  <w:bottom w:w="28" w:type="dxa"/>
                  <w:right w:w="57" w:type="dxa"/>
                </w:tblCellMar>
              </w:tblPrEx>
              <w:trPr>
                <w:trHeight w:val="454" w:hRule="atLeast"/>
              </w:trPr>
              <w:tc>
                <w:tcPr>
                  <w:tcW w:w="691" w:type="dxa"/>
                  <w:vMerge w:val="continue"/>
                  <w:vAlign w:val="center"/>
                </w:tcPr>
                <w:p>
                  <w:pPr>
                    <w:spacing w:line="260" w:lineRule="exact"/>
                    <w:contextualSpacing/>
                    <w:jc w:val="center"/>
                    <w:rPr>
                      <w:szCs w:val="21"/>
                    </w:rPr>
                  </w:pPr>
                </w:p>
              </w:tc>
              <w:tc>
                <w:tcPr>
                  <w:tcW w:w="656" w:type="dxa"/>
                  <w:vMerge w:val="continue"/>
                  <w:vAlign w:val="center"/>
                </w:tcPr>
                <w:p>
                  <w:pPr>
                    <w:spacing w:line="260" w:lineRule="exact"/>
                    <w:contextualSpacing/>
                    <w:jc w:val="center"/>
                    <w:rPr>
                      <w:szCs w:val="21"/>
                    </w:rPr>
                  </w:pPr>
                </w:p>
              </w:tc>
              <w:tc>
                <w:tcPr>
                  <w:tcW w:w="1060" w:type="dxa"/>
                  <w:vAlign w:val="center"/>
                </w:tcPr>
                <w:p>
                  <w:pPr>
                    <w:spacing w:line="260" w:lineRule="exact"/>
                    <w:contextualSpacing/>
                    <w:jc w:val="center"/>
                    <w:rPr>
                      <w:szCs w:val="21"/>
                    </w:rPr>
                  </w:pPr>
                  <w:r>
                    <w:rPr>
                      <w:rFonts w:hint="eastAsia"/>
                      <w:szCs w:val="21"/>
                    </w:rPr>
                    <w:t>车辆冲洗废水</w:t>
                  </w:r>
                </w:p>
              </w:tc>
              <w:tc>
                <w:tcPr>
                  <w:tcW w:w="4364" w:type="dxa"/>
                  <w:vAlign w:val="center"/>
                </w:tcPr>
                <w:p>
                  <w:pPr>
                    <w:spacing w:line="260" w:lineRule="exact"/>
                    <w:contextualSpacing/>
                    <w:jc w:val="center"/>
                    <w:rPr>
                      <w:szCs w:val="21"/>
                    </w:rPr>
                  </w:pPr>
                  <w:r>
                    <w:rPr>
                      <w:rFonts w:hint="eastAsia"/>
                      <w:szCs w:val="21"/>
                    </w:rPr>
                    <w:t>设置感应式车辆冲洗装置，冲洗废水经沉淀池（1</w:t>
                  </w:r>
                  <w:r>
                    <w:rPr>
                      <w:szCs w:val="21"/>
                    </w:rPr>
                    <w:t>8</w:t>
                  </w:r>
                  <w:r>
                    <w:rPr>
                      <w:rFonts w:hint="eastAsia"/>
                      <w:szCs w:val="21"/>
                    </w:rPr>
                    <w:t>m</w:t>
                  </w:r>
                  <w:r>
                    <w:rPr>
                      <w:rFonts w:hint="eastAsia"/>
                      <w:szCs w:val="21"/>
                      <w:vertAlign w:val="superscript"/>
                    </w:rPr>
                    <w:t>3</w:t>
                  </w:r>
                  <w:r>
                    <w:rPr>
                      <w:rFonts w:hint="eastAsia"/>
                      <w:szCs w:val="21"/>
                    </w:rPr>
                    <w:t>）沉淀处理后，回用于车辆冲洗</w:t>
                  </w:r>
                </w:p>
              </w:tc>
              <w:tc>
                <w:tcPr>
                  <w:tcW w:w="1165" w:type="dxa"/>
                  <w:vAlign w:val="center"/>
                </w:tcPr>
                <w:p>
                  <w:pPr>
                    <w:spacing w:line="260" w:lineRule="exact"/>
                    <w:contextualSpacing/>
                    <w:jc w:val="center"/>
                    <w:rPr>
                      <w:szCs w:val="21"/>
                    </w:rPr>
                  </w:pPr>
                  <w:r>
                    <w:rPr>
                      <w:szCs w:val="21"/>
                    </w:rPr>
                    <w:t>3.5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57" w:type="dxa"/>
                  <w:bottom w:w="28" w:type="dxa"/>
                  <w:right w:w="57" w:type="dxa"/>
                </w:tblCellMar>
              </w:tblPrEx>
              <w:trPr>
                <w:trHeight w:val="454" w:hRule="atLeast"/>
              </w:trPr>
              <w:tc>
                <w:tcPr>
                  <w:tcW w:w="691" w:type="dxa"/>
                  <w:vAlign w:val="center"/>
                </w:tcPr>
                <w:p>
                  <w:pPr>
                    <w:spacing w:line="260" w:lineRule="exact"/>
                    <w:contextualSpacing/>
                    <w:jc w:val="center"/>
                    <w:rPr>
                      <w:szCs w:val="21"/>
                    </w:rPr>
                  </w:pPr>
                  <w:r>
                    <w:rPr>
                      <w:rFonts w:hint="eastAsia"/>
                      <w:szCs w:val="21"/>
                    </w:rPr>
                    <w:t>3</w:t>
                  </w:r>
                </w:p>
              </w:tc>
              <w:tc>
                <w:tcPr>
                  <w:tcW w:w="656" w:type="dxa"/>
                  <w:vAlign w:val="center"/>
                </w:tcPr>
                <w:p>
                  <w:pPr>
                    <w:spacing w:line="260" w:lineRule="exact"/>
                    <w:contextualSpacing/>
                    <w:jc w:val="center"/>
                    <w:rPr>
                      <w:szCs w:val="21"/>
                    </w:rPr>
                  </w:pPr>
                  <w:r>
                    <w:rPr>
                      <w:rFonts w:hint="eastAsia"/>
                      <w:szCs w:val="21"/>
                    </w:rPr>
                    <w:t>噪声</w:t>
                  </w:r>
                </w:p>
              </w:tc>
              <w:tc>
                <w:tcPr>
                  <w:tcW w:w="1060" w:type="dxa"/>
                  <w:vAlign w:val="center"/>
                </w:tcPr>
                <w:p>
                  <w:pPr>
                    <w:spacing w:line="260" w:lineRule="exact"/>
                    <w:contextualSpacing/>
                    <w:jc w:val="center"/>
                    <w:rPr>
                      <w:szCs w:val="21"/>
                    </w:rPr>
                  </w:pPr>
                  <w:r>
                    <w:rPr>
                      <w:rFonts w:hint="eastAsia"/>
                      <w:szCs w:val="21"/>
                    </w:rPr>
                    <w:t>设备噪声</w:t>
                  </w:r>
                </w:p>
              </w:tc>
              <w:tc>
                <w:tcPr>
                  <w:tcW w:w="4364" w:type="dxa"/>
                  <w:vAlign w:val="center"/>
                </w:tcPr>
                <w:p>
                  <w:pPr>
                    <w:spacing w:line="260" w:lineRule="exact"/>
                    <w:contextualSpacing/>
                    <w:jc w:val="center"/>
                    <w:rPr>
                      <w:szCs w:val="21"/>
                    </w:rPr>
                  </w:pPr>
                  <w:r>
                    <w:rPr>
                      <w:rFonts w:hint="eastAsia"/>
                      <w:szCs w:val="21"/>
                    </w:rPr>
                    <w:t>厂房内布置</w:t>
                  </w:r>
                  <w:r>
                    <w:rPr>
                      <w:szCs w:val="21"/>
                    </w:rPr>
                    <w:t>、减</w:t>
                  </w:r>
                  <w:r>
                    <w:rPr>
                      <w:rFonts w:hint="eastAsia"/>
                      <w:szCs w:val="21"/>
                    </w:rPr>
                    <w:t>震基础</w:t>
                  </w:r>
                  <w:r>
                    <w:rPr>
                      <w:szCs w:val="21"/>
                    </w:rPr>
                    <w:t>等措施</w:t>
                  </w:r>
                </w:p>
              </w:tc>
              <w:tc>
                <w:tcPr>
                  <w:tcW w:w="1165" w:type="dxa"/>
                  <w:vAlign w:val="center"/>
                </w:tcPr>
                <w:p>
                  <w:pPr>
                    <w:spacing w:line="260" w:lineRule="exact"/>
                    <w:contextualSpacing/>
                    <w:jc w:val="center"/>
                    <w:rPr>
                      <w:szCs w:val="21"/>
                    </w:rPr>
                  </w:pPr>
                  <w:r>
                    <w:rPr>
                      <w:szCs w:val="21"/>
                    </w:rPr>
                    <w:t>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57" w:type="dxa"/>
                  <w:bottom w:w="28" w:type="dxa"/>
                  <w:right w:w="57" w:type="dxa"/>
                </w:tblCellMar>
              </w:tblPrEx>
              <w:trPr>
                <w:trHeight w:val="454" w:hRule="atLeast"/>
              </w:trPr>
              <w:tc>
                <w:tcPr>
                  <w:tcW w:w="691" w:type="dxa"/>
                  <w:vMerge w:val="restart"/>
                  <w:vAlign w:val="center"/>
                </w:tcPr>
                <w:p>
                  <w:pPr>
                    <w:spacing w:line="260" w:lineRule="exact"/>
                    <w:contextualSpacing/>
                    <w:jc w:val="center"/>
                    <w:rPr>
                      <w:szCs w:val="21"/>
                    </w:rPr>
                  </w:pPr>
                  <w:r>
                    <w:rPr>
                      <w:rFonts w:hint="eastAsia"/>
                      <w:szCs w:val="21"/>
                    </w:rPr>
                    <w:t>4</w:t>
                  </w:r>
                </w:p>
              </w:tc>
              <w:tc>
                <w:tcPr>
                  <w:tcW w:w="656" w:type="dxa"/>
                  <w:vMerge w:val="restart"/>
                  <w:vAlign w:val="center"/>
                </w:tcPr>
                <w:p>
                  <w:pPr>
                    <w:spacing w:line="260" w:lineRule="exact"/>
                    <w:contextualSpacing/>
                    <w:jc w:val="center"/>
                    <w:rPr>
                      <w:szCs w:val="21"/>
                    </w:rPr>
                  </w:pPr>
                  <w:r>
                    <w:rPr>
                      <w:rFonts w:hint="eastAsia"/>
                      <w:szCs w:val="21"/>
                    </w:rPr>
                    <w:t>固废</w:t>
                  </w:r>
                </w:p>
              </w:tc>
              <w:tc>
                <w:tcPr>
                  <w:tcW w:w="1060" w:type="dxa"/>
                  <w:vAlign w:val="center"/>
                </w:tcPr>
                <w:p>
                  <w:pPr>
                    <w:pStyle w:val="77"/>
                    <w:spacing w:line="280" w:lineRule="exact"/>
                    <w:rPr>
                      <w:rFonts w:ascii="宋体" w:hAnsi="宋体" w:cs="宋体"/>
                      <w:spacing w:val="-12"/>
                      <w:szCs w:val="21"/>
                    </w:rPr>
                  </w:pPr>
                  <w:r>
                    <w:rPr>
                      <w:rFonts w:hint="eastAsia" w:ascii="宋体" w:hAnsi="宋体" w:cs="宋体"/>
                      <w:spacing w:val="-12"/>
                      <w:szCs w:val="21"/>
                    </w:rPr>
                    <w:t>除尘粉尘</w:t>
                  </w:r>
                </w:p>
              </w:tc>
              <w:tc>
                <w:tcPr>
                  <w:tcW w:w="4364" w:type="dxa"/>
                  <w:vAlign w:val="center"/>
                </w:tcPr>
                <w:p>
                  <w:pPr>
                    <w:pStyle w:val="77"/>
                    <w:spacing w:line="280" w:lineRule="exact"/>
                    <w:rPr>
                      <w:rFonts w:ascii="宋体" w:hAnsi="宋体" w:cs="宋体"/>
                      <w:szCs w:val="21"/>
                    </w:rPr>
                  </w:pPr>
                  <w:r>
                    <w:rPr>
                      <w:rFonts w:hint="eastAsia" w:ascii="宋体" w:hAnsi="宋体" w:cs="宋体"/>
                      <w:szCs w:val="21"/>
                    </w:rPr>
                    <w:t>收集后回用生产</w:t>
                  </w:r>
                </w:p>
              </w:tc>
              <w:tc>
                <w:tcPr>
                  <w:tcW w:w="1165" w:type="dxa"/>
                  <w:vAlign w:val="center"/>
                </w:tcPr>
                <w:p>
                  <w:pPr>
                    <w:spacing w:line="260" w:lineRule="exact"/>
                    <w:contextualSpacing/>
                    <w:jc w:val="center"/>
                    <w:rPr>
                      <w:szCs w:val="21"/>
                    </w:rPr>
                  </w:pPr>
                  <w:r>
                    <w:rPr>
                      <w:rFonts w:hint="eastAsia"/>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57" w:type="dxa"/>
                  <w:bottom w:w="28" w:type="dxa"/>
                  <w:right w:w="57" w:type="dxa"/>
                </w:tblCellMar>
              </w:tblPrEx>
              <w:trPr>
                <w:trHeight w:val="454" w:hRule="atLeast"/>
              </w:trPr>
              <w:tc>
                <w:tcPr>
                  <w:tcW w:w="691" w:type="dxa"/>
                  <w:vMerge w:val="continue"/>
                  <w:vAlign w:val="center"/>
                </w:tcPr>
                <w:p>
                  <w:pPr>
                    <w:spacing w:line="260" w:lineRule="exact"/>
                    <w:contextualSpacing/>
                    <w:jc w:val="center"/>
                    <w:rPr>
                      <w:szCs w:val="21"/>
                    </w:rPr>
                  </w:pPr>
                </w:p>
              </w:tc>
              <w:tc>
                <w:tcPr>
                  <w:tcW w:w="656" w:type="dxa"/>
                  <w:vMerge w:val="continue"/>
                  <w:vAlign w:val="center"/>
                </w:tcPr>
                <w:p>
                  <w:pPr>
                    <w:spacing w:line="260" w:lineRule="exact"/>
                    <w:contextualSpacing/>
                    <w:jc w:val="center"/>
                    <w:rPr>
                      <w:szCs w:val="21"/>
                    </w:rPr>
                  </w:pPr>
                </w:p>
              </w:tc>
              <w:tc>
                <w:tcPr>
                  <w:tcW w:w="1060" w:type="dxa"/>
                  <w:vAlign w:val="center"/>
                </w:tcPr>
                <w:p>
                  <w:pPr>
                    <w:pStyle w:val="77"/>
                    <w:spacing w:line="280" w:lineRule="exact"/>
                    <w:rPr>
                      <w:rFonts w:ascii="宋体" w:hAnsi="宋体" w:cs="宋体"/>
                      <w:spacing w:val="-12"/>
                      <w:szCs w:val="21"/>
                    </w:rPr>
                  </w:pPr>
                  <w:r>
                    <w:rPr>
                      <w:rFonts w:hint="eastAsia" w:ascii="宋体" w:hAnsi="宋体" w:cs="宋体"/>
                      <w:spacing w:val="-12"/>
                      <w:szCs w:val="21"/>
                    </w:rPr>
                    <w:t>沉淀池</w:t>
                  </w:r>
                  <w:r>
                    <w:rPr>
                      <w:rFonts w:ascii="宋体" w:hAnsi="宋体" w:cs="宋体"/>
                      <w:spacing w:val="-12"/>
                      <w:szCs w:val="21"/>
                    </w:rPr>
                    <w:t>沉渣</w:t>
                  </w:r>
                </w:p>
              </w:tc>
              <w:tc>
                <w:tcPr>
                  <w:tcW w:w="4364" w:type="dxa"/>
                  <w:vAlign w:val="center"/>
                </w:tcPr>
                <w:p>
                  <w:pPr>
                    <w:pStyle w:val="77"/>
                    <w:spacing w:line="280" w:lineRule="exact"/>
                    <w:rPr>
                      <w:rFonts w:ascii="宋体" w:hAnsi="宋体" w:cs="宋体"/>
                      <w:szCs w:val="21"/>
                    </w:rPr>
                  </w:pPr>
                  <w:r>
                    <w:rPr>
                      <w:rFonts w:hint="eastAsia" w:ascii="宋体" w:hAnsi="宋体" w:cs="宋体"/>
                      <w:szCs w:val="21"/>
                    </w:rPr>
                    <w:t>清掏</w:t>
                  </w:r>
                  <w:r>
                    <w:rPr>
                      <w:rFonts w:ascii="宋体" w:hAnsi="宋体" w:cs="宋体"/>
                      <w:szCs w:val="21"/>
                    </w:rPr>
                    <w:t>后</w:t>
                  </w:r>
                  <w:r>
                    <w:rPr>
                      <w:rFonts w:hint="eastAsia" w:ascii="宋体" w:hAnsi="宋体" w:cs="宋体"/>
                      <w:szCs w:val="21"/>
                    </w:rPr>
                    <w:t>可</w:t>
                  </w:r>
                  <w:r>
                    <w:rPr>
                      <w:rFonts w:ascii="宋体" w:hAnsi="宋体" w:cs="宋体"/>
                      <w:szCs w:val="21"/>
                    </w:rPr>
                    <w:t>作为绿化用土</w:t>
                  </w:r>
                </w:p>
              </w:tc>
              <w:tc>
                <w:tcPr>
                  <w:tcW w:w="1165" w:type="dxa"/>
                  <w:vAlign w:val="center"/>
                </w:tcPr>
                <w:p>
                  <w:pPr>
                    <w:spacing w:line="260" w:lineRule="exact"/>
                    <w:contextualSpacing/>
                    <w:jc w:val="center"/>
                    <w:rPr>
                      <w:szCs w:val="21"/>
                    </w:rPr>
                  </w:pPr>
                  <w:r>
                    <w:rPr>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57" w:type="dxa"/>
                  <w:bottom w:w="28" w:type="dxa"/>
                  <w:right w:w="57" w:type="dxa"/>
                </w:tblCellMar>
              </w:tblPrEx>
              <w:trPr>
                <w:trHeight w:val="454" w:hRule="atLeast"/>
              </w:trPr>
              <w:tc>
                <w:tcPr>
                  <w:tcW w:w="691" w:type="dxa"/>
                  <w:vMerge w:val="continue"/>
                  <w:vAlign w:val="center"/>
                </w:tcPr>
                <w:p>
                  <w:pPr>
                    <w:spacing w:line="260" w:lineRule="exact"/>
                    <w:contextualSpacing/>
                    <w:jc w:val="center"/>
                    <w:rPr>
                      <w:szCs w:val="21"/>
                    </w:rPr>
                  </w:pPr>
                </w:p>
              </w:tc>
              <w:tc>
                <w:tcPr>
                  <w:tcW w:w="656" w:type="dxa"/>
                  <w:vMerge w:val="continue"/>
                  <w:vAlign w:val="center"/>
                </w:tcPr>
                <w:p>
                  <w:pPr>
                    <w:spacing w:line="260" w:lineRule="exact"/>
                    <w:contextualSpacing/>
                    <w:jc w:val="center"/>
                    <w:rPr>
                      <w:szCs w:val="21"/>
                    </w:rPr>
                  </w:pPr>
                </w:p>
              </w:tc>
              <w:tc>
                <w:tcPr>
                  <w:tcW w:w="1060" w:type="dxa"/>
                  <w:vAlign w:val="center"/>
                </w:tcPr>
                <w:p>
                  <w:pPr>
                    <w:spacing w:line="260" w:lineRule="exact"/>
                    <w:contextualSpacing/>
                    <w:jc w:val="center"/>
                    <w:rPr>
                      <w:szCs w:val="21"/>
                    </w:rPr>
                  </w:pPr>
                  <w:r>
                    <w:rPr>
                      <w:rFonts w:hint="eastAsia"/>
                      <w:szCs w:val="21"/>
                    </w:rPr>
                    <w:t>生活垃圾</w:t>
                  </w:r>
                </w:p>
              </w:tc>
              <w:tc>
                <w:tcPr>
                  <w:tcW w:w="4364" w:type="dxa"/>
                  <w:vAlign w:val="center"/>
                </w:tcPr>
                <w:p>
                  <w:pPr>
                    <w:spacing w:line="260" w:lineRule="exact"/>
                    <w:contextualSpacing/>
                    <w:jc w:val="left"/>
                    <w:rPr>
                      <w:szCs w:val="21"/>
                    </w:rPr>
                  </w:pPr>
                  <w:r>
                    <w:rPr>
                      <w:rFonts w:hint="eastAsia" w:ascii="宋体" w:hAnsi="宋体" w:cs="宋体"/>
                      <w:szCs w:val="21"/>
                    </w:rPr>
                    <w:t>厂区设置生活垃圾收集桶若干，生活垃圾定期交由环卫部门统一处置</w:t>
                  </w:r>
                </w:p>
              </w:tc>
              <w:tc>
                <w:tcPr>
                  <w:tcW w:w="1165" w:type="dxa"/>
                  <w:vAlign w:val="center"/>
                </w:tcPr>
                <w:p>
                  <w:pPr>
                    <w:spacing w:line="260" w:lineRule="exact"/>
                    <w:contextualSpacing/>
                    <w:jc w:val="center"/>
                    <w:rPr>
                      <w:szCs w:val="21"/>
                    </w:rPr>
                  </w:pPr>
                  <w:r>
                    <w:rPr>
                      <w:rFonts w:hint="eastAsia"/>
                      <w:szCs w:val="21"/>
                    </w:rPr>
                    <w:t>0.5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57" w:type="dxa"/>
                  <w:bottom w:w="28" w:type="dxa"/>
                  <w:right w:w="57" w:type="dxa"/>
                </w:tblCellMar>
              </w:tblPrEx>
              <w:trPr>
                <w:trHeight w:val="454" w:hRule="atLeast"/>
              </w:trPr>
              <w:tc>
                <w:tcPr>
                  <w:tcW w:w="691" w:type="dxa"/>
                  <w:vMerge w:val="continue"/>
                  <w:vAlign w:val="center"/>
                </w:tcPr>
                <w:p>
                  <w:pPr>
                    <w:spacing w:line="260" w:lineRule="exact"/>
                    <w:contextualSpacing/>
                    <w:jc w:val="center"/>
                    <w:rPr>
                      <w:szCs w:val="21"/>
                    </w:rPr>
                  </w:pPr>
                </w:p>
              </w:tc>
              <w:tc>
                <w:tcPr>
                  <w:tcW w:w="656" w:type="dxa"/>
                  <w:vMerge w:val="continue"/>
                  <w:vAlign w:val="center"/>
                </w:tcPr>
                <w:p>
                  <w:pPr>
                    <w:spacing w:line="260" w:lineRule="exact"/>
                    <w:contextualSpacing/>
                    <w:jc w:val="center"/>
                    <w:rPr>
                      <w:szCs w:val="21"/>
                    </w:rPr>
                  </w:pPr>
                </w:p>
              </w:tc>
              <w:tc>
                <w:tcPr>
                  <w:tcW w:w="1060" w:type="dxa"/>
                  <w:vAlign w:val="center"/>
                </w:tcPr>
                <w:p>
                  <w:pPr>
                    <w:spacing w:line="260" w:lineRule="exact"/>
                    <w:contextualSpacing/>
                    <w:jc w:val="center"/>
                    <w:rPr>
                      <w:szCs w:val="21"/>
                    </w:rPr>
                  </w:pPr>
                  <w:r>
                    <w:rPr>
                      <w:rFonts w:hint="eastAsia"/>
                      <w:szCs w:val="21"/>
                    </w:rPr>
                    <w:t>废润滑油</w:t>
                  </w:r>
                </w:p>
              </w:tc>
              <w:tc>
                <w:tcPr>
                  <w:tcW w:w="4364" w:type="dxa"/>
                  <w:vAlign w:val="center"/>
                </w:tcPr>
                <w:p>
                  <w:pPr>
                    <w:spacing w:line="260" w:lineRule="exact"/>
                    <w:contextualSpacing/>
                    <w:jc w:val="left"/>
                    <w:rPr>
                      <w:szCs w:val="21"/>
                    </w:rPr>
                  </w:pPr>
                  <w:r>
                    <w:rPr>
                      <w:bCs/>
                      <w:szCs w:val="21"/>
                    </w:rPr>
                    <w:t>厂内危险废物暂存间暂存后（6m</w:t>
                  </w:r>
                  <w:r>
                    <w:rPr>
                      <w:bCs/>
                      <w:szCs w:val="21"/>
                      <w:vertAlign w:val="superscript"/>
                    </w:rPr>
                    <w:t>2</w:t>
                  </w:r>
                  <w:r>
                    <w:rPr>
                      <w:bCs/>
                      <w:szCs w:val="21"/>
                    </w:rPr>
                    <w:t>），定期交由有资质的危险废物处置单位处理</w:t>
                  </w:r>
                </w:p>
              </w:tc>
              <w:tc>
                <w:tcPr>
                  <w:tcW w:w="1165" w:type="dxa"/>
                  <w:vAlign w:val="center"/>
                </w:tcPr>
                <w:p>
                  <w:pPr>
                    <w:spacing w:line="260" w:lineRule="exact"/>
                    <w:contextualSpacing/>
                    <w:jc w:val="center"/>
                    <w:rPr>
                      <w:szCs w:val="21"/>
                    </w:rPr>
                  </w:pPr>
                  <w:r>
                    <w:rPr>
                      <w:szCs w:val="21"/>
                    </w:rPr>
                    <w:t>2</w:t>
                  </w:r>
                </w:p>
              </w:tc>
            </w:tr>
            <w:bookmarkEnd w:id="3"/>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57" w:type="dxa"/>
                  <w:bottom w:w="28" w:type="dxa"/>
                  <w:right w:w="57" w:type="dxa"/>
                </w:tblCellMar>
              </w:tblPrEx>
              <w:trPr>
                <w:trHeight w:val="454" w:hRule="atLeast"/>
              </w:trPr>
              <w:tc>
                <w:tcPr>
                  <w:tcW w:w="691" w:type="dxa"/>
                  <w:vAlign w:val="center"/>
                </w:tcPr>
                <w:p>
                  <w:pPr>
                    <w:spacing w:line="260" w:lineRule="exact"/>
                    <w:contextualSpacing/>
                    <w:jc w:val="center"/>
                    <w:rPr>
                      <w:szCs w:val="21"/>
                    </w:rPr>
                  </w:pPr>
                  <w:r>
                    <w:rPr>
                      <w:szCs w:val="21"/>
                    </w:rPr>
                    <w:t>5</w:t>
                  </w:r>
                </w:p>
              </w:tc>
              <w:tc>
                <w:tcPr>
                  <w:tcW w:w="1716" w:type="dxa"/>
                  <w:gridSpan w:val="2"/>
                  <w:vAlign w:val="center"/>
                </w:tcPr>
                <w:p>
                  <w:r>
                    <w:rPr>
                      <w:rFonts w:hint="eastAsia"/>
                      <w:bCs/>
                      <w:szCs w:val="21"/>
                    </w:rPr>
                    <w:t>厂内运输车辆</w:t>
                  </w:r>
                </w:p>
              </w:tc>
              <w:tc>
                <w:tcPr>
                  <w:tcW w:w="4364" w:type="dxa"/>
                </w:tcPr>
                <w:p>
                  <w:r>
                    <w:rPr>
                      <w:rFonts w:hint="eastAsia"/>
                      <w:bCs/>
                      <w:szCs w:val="21"/>
                    </w:rPr>
                    <w:t>厂内运输车辆达到国五及以上排放标准</w:t>
                  </w:r>
                </w:p>
              </w:tc>
              <w:tc>
                <w:tcPr>
                  <w:tcW w:w="1165" w:type="dxa"/>
                  <w:vAlign w:val="center"/>
                </w:tcPr>
                <w:p>
                  <w:pPr>
                    <w:spacing w:line="260" w:lineRule="exact"/>
                    <w:contextualSpacing/>
                    <w:jc w:val="center"/>
                    <w:rPr>
                      <w:szCs w:val="21"/>
                    </w:rPr>
                  </w:pPr>
                  <w:r>
                    <w:rPr>
                      <w:rFonts w:hint="eastAsia"/>
                      <w:szCs w:val="21"/>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28" w:type="dxa"/>
                  <w:left w:w="57" w:type="dxa"/>
                  <w:bottom w:w="28" w:type="dxa"/>
                  <w:right w:w="57" w:type="dxa"/>
                </w:tblCellMar>
              </w:tblPrEx>
              <w:trPr>
                <w:trHeight w:val="454" w:hRule="atLeast"/>
              </w:trPr>
              <w:tc>
                <w:tcPr>
                  <w:tcW w:w="691" w:type="dxa"/>
                  <w:vAlign w:val="center"/>
                </w:tcPr>
                <w:p>
                  <w:pPr>
                    <w:spacing w:line="260" w:lineRule="exact"/>
                    <w:contextualSpacing/>
                    <w:jc w:val="center"/>
                    <w:rPr>
                      <w:szCs w:val="21"/>
                    </w:rPr>
                  </w:pPr>
                  <w:r>
                    <w:rPr>
                      <w:rFonts w:hint="eastAsia"/>
                      <w:szCs w:val="21"/>
                    </w:rPr>
                    <w:t>6</w:t>
                  </w:r>
                </w:p>
              </w:tc>
              <w:tc>
                <w:tcPr>
                  <w:tcW w:w="6080" w:type="dxa"/>
                  <w:gridSpan w:val="3"/>
                  <w:vAlign w:val="center"/>
                </w:tcPr>
                <w:p>
                  <w:pPr>
                    <w:spacing w:line="260" w:lineRule="exact"/>
                    <w:contextualSpacing/>
                    <w:jc w:val="center"/>
                    <w:rPr>
                      <w:szCs w:val="21"/>
                    </w:rPr>
                  </w:pPr>
                  <w:r>
                    <w:rPr>
                      <w:rFonts w:hint="eastAsia"/>
                      <w:szCs w:val="21"/>
                    </w:rPr>
                    <w:t>合计</w:t>
                  </w:r>
                </w:p>
              </w:tc>
              <w:tc>
                <w:tcPr>
                  <w:tcW w:w="1165" w:type="dxa"/>
                  <w:vAlign w:val="center"/>
                </w:tcPr>
                <w:p>
                  <w:pPr>
                    <w:spacing w:line="260" w:lineRule="exact"/>
                    <w:contextualSpacing/>
                    <w:jc w:val="center"/>
                    <w:rPr>
                      <w:szCs w:val="21"/>
                    </w:rPr>
                  </w:pPr>
                  <w:r>
                    <w:rPr>
                      <w:szCs w:val="21"/>
                    </w:rPr>
                    <w:t>65</w:t>
                  </w:r>
                </w:p>
              </w:tc>
            </w:tr>
          </w:tbl>
          <w:p>
            <w:pPr>
              <w:spacing w:line="500" w:lineRule="exact"/>
              <w:ind w:firstLine="482" w:firstLineChars="200"/>
              <w:rPr>
                <w:b/>
                <w:sz w:val="24"/>
              </w:rPr>
            </w:pPr>
            <w:r>
              <w:rPr>
                <w:rFonts w:hint="eastAsia"/>
                <w:b/>
                <w:sz w:val="24"/>
              </w:rPr>
              <w:t>10、</w:t>
            </w:r>
            <w:r>
              <w:rPr>
                <w:b/>
                <w:sz w:val="24"/>
              </w:rPr>
              <w:t>环保验收内容</w:t>
            </w:r>
          </w:p>
          <w:p>
            <w:pPr>
              <w:spacing w:line="500" w:lineRule="exact"/>
              <w:ind w:firstLine="480" w:firstLineChars="200"/>
              <w:rPr>
                <w:sz w:val="24"/>
              </w:rPr>
            </w:pPr>
            <w:r>
              <w:rPr>
                <w:sz w:val="24"/>
              </w:rPr>
              <w:t>本项目环保设施竣工验收一览表见表32。</w:t>
            </w:r>
          </w:p>
          <w:p>
            <w:pPr>
              <w:adjustRightInd w:val="0"/>
              <w:snapToGrid w:val="0"/>
              <w:spacing w:line="520" w:lineRule="exact"/>
              <w:ind w:firstLine="660" w:firstLineChars="300"/>
              <w:rPr>
                <w:rFonts w:eastAsia="黑体"/>
              </w:rPr>
            </w:pPr>
            <w:r>
              <w:rPr>
                <w:rFonts w:eastAsia="黑体"/>
                <w:spacing w:val="-10"/>
                <w:sz w:val="24"/>
              </w:rPr>
              <w:t xml:space="preserve">表32                  “三同时”验收一览表 </w:t>
            </w:r>
            <w:r>
              <w:rPr>
                <w:rFonts w:eastAsia="黑体"/>
              </w:rPr>
              <w:t xml:space="preserve">               </w:t>
            </w:r>
          </w:p>
          <w:tbl>
            <w:tblPr>
              <w:tblStyle w:val="22"/>
              <w:tblW w:w="0" w:type="auto"/>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28" w:type="dxa"/>
                <w:bottom w:w="0" w:type="dxa"/>
                <w:right w:w="28" w:type="dxa"/>
              </w:tblCellMar>
            </w:tblPr>
            <w:tblGrid>
              <w:gridCol w:w="493"/>
              <w:gridCol w:w="652"/>
              <w:gridCol w:w="2953"/>
              <w:gridCol w:w="2409"/>
              <w:gridCol w:w="1336"/>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140" w:hRule="atLeast"/>
              </w:trPr>
              <w:tc>
                <w:tcPr>
                  <w:tcW w:w="1145" w:type="dxa"/>
                  <w:gridSpan w:val="2"/>
                  <w:vAlign w:val="center"/>
                </w:tcPr>
                <w:p>
                  <w:pPr>
                    <w:pStyle w:val="77"/>
                    <w:spacing w:line="260" w:lineRule="exact"/>
                    <w:rPr>
                      <w:rFonts w:ascii="Times New Roman" w:hAnsi="Times New Roman"/>
                      <w:szCs w:val="21"/>
                    </w:rPr>
                  </w:pPr>
                  <w:r>
                    <w:rPr>
                      <w:rFonts w:ascii="Times New Roman" w:hAnsi="Times New Roman"/>
                      <w:szCs w:val="21"/>
                    </w:rPr>
                    <w:t>污染分类</w:t>
                  </w:r>
                </w:p>
              </w:tc>
              <w:tc>
                <w:tcPr>
                  <w:tcW w:w="2953" w:type="dxa"/>
                  <w:vAlign w:val="center"/>
                </w:tcPr>
                <w:p>
                  <w:pPr>
                    <w:pStyle w:val="77"/>
                    <w:spacing w:line="260" w:lineRule="exact"/>
                    <w:rPr>
                      <w:rFonts w:ascii="Times New Roman" w:hAnsi="Times New Roman"/>
                      <w:szCs w:val="21"/>
                    </w:rPr>
                  </w:pPr>
                  <w:r>
                    <w:rPr>
                      <w:rFonts w:ascii="Times New Roman" w:hAnsi="Times New Roman"/>
                      <w:szCs w:val="21"/>
                    </w:rPr>
                    <w:t>治理措施</w:t>
                  </w:r>
                </w:p>
              </w:tc>
              <w:tc>
                <w:tcPr>
                  <w:tcW w:w="2409" w:type="dxa"/>
                  <w:vAlign w:val="center"/>
                </w:tcPr>
                <w:p>
                  <w:pPr>
                    <w:pStyle w:val="77"/>
                    <w:spacing w:line="260" w:lineRule="exact"/>
                    <w:rPr>
                      <w:rFonts w:ascii="Times New Roman" w:hAnsi="Times New Roman"/>
                      <w:szCs w:val="21"/>
                    </w:rPr>
                  </w:pPr>
                  <w:r>
                    <w:rPr>
                      <w:rFonts w:ascii="Times New Roman" w:hAnsi="Times New Roman"/>
                      <w:szCs w:val="21"/>
                    </w:rPr>
                    <w:t>验收内容</w:t>
                  </w:r>
                </w:p>
              </w:tc>
              <w:tc>
                <w:tcPr>
                  <w:tcW w:w="1336" w:type="dxa"/>
                  <w:vAlign w:val="center"/>
                </w:tcPr>
                <w:p>
                  <w:pPr>
                    <w:pStyle w:val="77"/>
                    <w:spacing w:line="260" w:lineRule="exact"/>
                    <w:rPr>
                      <w:rFonts w:ascii="Times New Roman" w:hAnsi="Times New Roman"/>
                      <w:szCs w:val="21"/>
                    </w:rPr>
                  </w:pPr>
                  <w:r>
                    <w:rPr>
                      <w:rFonts w:ascii="Times New Roman" w:hAnsi="Times New Roman"/>
                      <w:szCs w:val="21"/>
                    </w:rPr>
                    <w:t>验收标准</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140" w:hRule="atLeast"/>
              </w:trPr>
              <w:tc>
                <w:tcPr>
                  <w:tcW w:w="493" w:type="dxa"/>
                  <w:vMerge w:val="restart"/>
                  <w:vAlign w:val="center"/>
                </w:tcPr>
                <w:p>
                  <w:pPr>
                    <w:pStyle w:val="77"/>
                    <w:spacing w:line="260" w:lineRule="exact"/>
                    <w:rPr>
                      <w:rFonts w:ascii="Times New Roman" w:hAnsi="Times New Roman"/>
                      <w:szCs w:val="21"/>
                    </w:rPr>
                  </w:pPr>
                  <w:r>
                    <w:rPr>
                      <w:rFonts w:ascii="Times New Roman" w:hAnsi="Times New Roman"/>
                      <w:szCs w:val="21"/>
                    </w:rPr>
                    <w:t>废气</w:t>
                  </w:r>
                </w:p>
              </w:tc>
              <w:tc>
                <w:tcPr>
                  <w:tcW w:w="652" w:type="dxa"/>
                  <w:vAlign w:val="center"/>
                </w:tcPr>
                <w:p>
                  <w:pPr>
                    <w:snapToGrid w:val="0"/>
                    <w:spacing w:line="260" w:lineRule="exact"/>
                    <w:jc w:val="center"/>
                    <w:rPr>
                      <w:snapToGrid w:val="0"/>
                      <w:kern w:val="0"/>
                      <w:szCs w:val="21"/>
                    </w:rPr>
                  </w:pPr>
                  <w:r>
                    <w:rPr>
                      <w:snapToGrid w:val="0"/>
                      <w:kern w:val="0"/>
                      <w:szCs w:val="21"/>
                    </w:rPr>
                    <w:t>原料料仓废气</w:t>
                  </w:r>
                </w:p>
              </w:tc>
              <w:tc>
                <w:tcPr>
                  <w:tcW w:w="2953" w:type="dxa"/>
                  <w:vAlign w:val="center"/>
                </w:tcPr>
                <w:p>
                  <w:pPr>
                    <w:spacing w:line="260" w:lineRule="exact"/>
                    <w:contextualSpacing/>
                    <w:rPr>
                      <w:szCs w:val="21"/>
                    </w:rPr>
                  </w:pPr>
                  <w:r>
                    <w:rPr>
                      <w:rFonts w:hint="eastAsia" w:cs="宋体"/>
                      <w:szCs w:val="21"/>
                    </w:rPr>
                    <w:t>密闭</w:t>
                  </w:r>
                  <w:r>
                    <w:rPr>
                      <w:rFonts w:cs="宋体"/>
                      <w:szCs w:val="21"/>
                    </w:rPr>
                    <w:t>原料仓</w:t>
                  </w:r>
                  <w:r>
                    <w:rPr>
                      <w:rFonts w:hint="eastAsia" w:cs="宋体"/>
                      <w:szCs w:val="21"/>
                    </w:rPr>
                    <w:t>，废气</w:t>
                  </w:r>
                  <w:r>
                    <w:rPr>
                      <w:rFonts w:cs="宋体"/>
                      <w:szCs w:val="21"/>
                    </w:rPr>
                    <w:t>经</w:t>
                  </w:r>
                  <w:r>
                    <w:rPr>
                      <w:rFonts w:hint="eastAsia" w:cs="宋体"/>
                      <w:szCs w:val="21"/>
                    </w:rPr>
                    <w:t>仓顶</w:t>
                  </w:r>
                  <w:r>
                    <w:rPr>
                      <w:rFonts w:cs="宋体"/>
                      <w:szCs w:val="21"/>
                    </w:rPr>
                    <w:t>脉冲袋式除尘</w:t>
                  </w:r>
                  <w:r>
                    <w:rPr>
                      <w:rFonts w:hint="eastAsia" w:cs="宋体"/>
                      <w:szCs w:val="21"/>
                    </w:rPr>
                    <w:t>器（1</w:t>
                  </w:r>
                  <w:r>
                    <w:rPr>
                      <w:rFonts w:cs="宋体"/>
                      <w:szCs w:val="21"/>
                    </w:rPr>
                    <w:t>#</w:t>
                  </w:r>
                  <w:r>
                    <w:rPr>
                      <w:rFonts w:hint="eastAsia" w:cs="宋体"/>
                      <w:szCs w:val="21"/>
                    </w:rPr>
                    <w:t>）除尘后</w:t>
                  </w:r>
                  <w:r>
                    <w:rPr>
                      <w:rFonts w:cs="宋体"/>
                      <w:szCs w:val="21"/>
                    </w:rPr>
                    <w:t>由</w:t>
                  </w:r>
                  <w:r>
                    <w:rPr>
                      <w:rFonts w:cs="宋体"/>
                    </w:rPr>
                    <w:t>仓顶排气筒排放（排气口高度19m</w:t>
                  </w:r>
                  <w:r>
                    <w:rPr>
                      <w:rFonts w:hint="eastAsia" w:cs="宋体"/>
                    </w:rPr>
                    <w:t>，</w:t>
                  </w:r>
                  <w:r>
                    <w:rPr>
                      <w:rFonts w:hint="eastAsia" w:cs="宋体"/>
                      <w:szCs w:val="21"/>
                    </w:rPr>
                    <w:t>编号DA001）</w:t>
                  </w:r>
                </w:p>
              </w:tc>
              <w:tc>
                <w:tcPr>
                  <w:tcW w:w="2409" w:type="dxa"/>
                  <w:vAlign w:val="center"/>
                </w:tcPr>
                <w:p>
                  <w:pPr>
                    <w:snapToGrid w:val="0"/>
                    <w:spacing w:line="260" w:lineRule="exact"/>
                    <w:jc w:val="left"/>
                    <w:rPr>
                      <w:snapToGrid w:val="0"/>
                      <w:kern w:val="0"/>
                      <w:szCs w:val="21"/>
                    </w:rPr>
                  </w:pPr>
                  <w:r>
                    <w:rPr>
                      <w:snapToGrid w:val="0"/>
                      <w:kern w:val="0"/>
                      <w:szCs w:val="21"/>
                    </w:rPr>
                    <w:t>仓顶1套脉冲袋式除尘器（1#）</w:t>
                  </w:r>
                  <w:r>
                    <w:rPr>
                      <w:szCs w:val="21"/>
                    </w:rPr>
                    <w:t>+</w:t>
                  </w:r>
                  <w:r>
                    <w:rPr>
                      <w:rFonts w:hint="eastAsia"/>
                      <w:szCs w:val="21"/>
                    </w:rPr>
                    <w:t>仓顶</w:t>
                  </w:r>
                  <w:r>
                    <w:rPr>
                      <w:szCs w:val="21"/>
                    </w:rPr>
                    <w:t>排气筒（</w:t>
                  </w:r>
                  <w:r>
                    <w:rPr>
                      <w:rFonts w:cs="宋体"/>
                      <w:szCs w:val="21"/>
                    </w:rPr>
                    <w:t>排气口高度19m</w:t>
                  </w:r>
                  <w:r>
                    <w:rPr>
                      <w:rFonts w:hint="eastAsia" w:cs="宋体"/>
                      <w:szCs w:val="21"/>
                    </w:rPr>
                    <w:t>，编号DA001</w:t>
                  </w:r>
                  <w:r>
                    <w:rPr>
                      <w:szCs w:val="21"/>
                    </w:rPr>
                    <w:t>）</w:t>
                  </w:r>
                </w:p>
              </w:tc>
              <w:tc>
                <w:tcPr>
                  <w:tcW w:w="1336" w:type="dxa"/>
                  <w:vMerge w:val="restart"/>
                  <w:vAlign w:val="center"/>
                </w:tcPr>
                <w:p>
                  <w:pPr>
                    <w:pStyle w:val="77"/>
                    <w:spacing w:line="260" w:lineRule="exact"/>
                    <w:rPr>
                      <w:rFonts w:ascii="Times New Roman" w:hAnsi="Times New Roman"/>
                      <w:szCs w:val="21"/>
                    </w:rPr>
                  </w:pPr>
                </w:p>
                <w:p>
                  <w:pPr>
                    <w:pStyle w:val="77"/>
                    <w:spacing w:line="260" w:lineRule="exact"/>
                    <w:rPr>
                      <w:rFonts w:ascii="Times New Roman" w:hAnsi="Times New Roman"/>
                      <w:szCs w:val="21"/>
                    </w:rPr>
                  </w:pPr>
                  <w:r>
                    <w:rPr>
                      <w:rFonts w:ascii="Times New Roman" w:hAnsi="Times New Roman"/>
                      <w:szCs w:val="21"/>
                    </w:rPr>
                    <w:t>满足</w:t>
                  </w:r>
                  <w:r>
                    <w:rPr>
                      <w:rFonts w:ascii="Times New Roman" w:hAnsi="Times New Roman"/>
                      <w:bCs/>
                      <w:szCs w:val="21"/>
                    </w:rPr>
                    <w:t>GB16297-1996</w:t>
                  </w:r>
                  <w:r>
                    <w:rPr>
                      <w:rFonts w:ascii="Times New Roman" w:hAnsi="Times New Roman"/>
                      <w:szCs w:val="21"/>
                    </w:rPr>
                    <w:t>《大气污染物综合排放标准》</w:t>
                  </w:r>
                  <w:r>
                    <w:rPr>
                      <w:rFonts w:ascii="Times New Roman" w:hAnsi="Times New Roman"/>
                      <w:bCs/>
                      <w:szCs w:val="21"/>
                    </w:rPr>
                    <w:t>表2二级标准</w:t>
                  </w:r>
                  <w:r>
                    <w:rPr>
                      <w:rFonts w:hint="eastAsia" w:ascii="Times New Roman" w:hAnsi="Times New Roman"/>
                      <w:bCs/>
                      <w:szCs w:val="21"/>
                    </w:rPr>
                    <w:t>以及</w:t>
                  </w:r>
                  <w:r>
                    <w:rPr>
                      <w:rFonts w:hint="eastAsia"/>
                      <w:szCs w:val="21"/>
                    </w:rPr>
                    <w:t>《河南省重</w:t>
                  </w:r>
                  <w:r>
                    <w:rPr>
                      <w:szCs w:val="21"/>
                    </w:rPr>
                    <w:t>污染天气通用行业应急减排措施制定技术指南</w:t>
                  </w:r>
                  <w:r>
                    <w:rPr>
                      <w:rFonts w:hint="eastAsia"/>
                      <w:szCs w:val="21"/>
                    </w:rPr>
                    <w:t>（2021年修订稿）》附录2其他</w:t>
                  </w:r>
                  <w:r>
                    <w:rPr>
                      <w:szCs w:val="21"/>
                    </w:rPr>
                    <w:t>工序PM排</w:t>
                  </w:r>
                  <w:r>
                    <w:rPr>
                      <w:rFonts w:ascii="Times New Roman" w:hAnsi="Times New Roman"/>
                      <w:szCs w:val="21"/>
                    </w:rPr>
                    <w:t>放浓度不高于10mg/m</w:t>
                  </w:r>
                  <w:r>
                    <w:rPr>
                      <w:rFonts w:ascii="Times New Roman" w:hAnsi="Times New Roman"/>
                      <w:bCs/>
                      <w:kern w:val="0"/>
                      <w:szCs w:val="21"/>
                      <w:vertAlign w:val="superscript"/>
                    </w:rPr>
                    <w:t>3</w:t>
                  </w:r>
                  <w:r>
                    <w:rPr>
                      <w:rFonts w:ascii="Times New Roman" w:hAnsi="Times New Roman"/>
                      <w:bCs/>
                      <w:kern w:val="0"/>
                      <w:szCs w:val="21"/>
                    </w:rPr>
                    <w:t>要求</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140" w:hRule="atLeast"/>
              </w:trPr>
              <w:tc>
                <w:tcPr>
                  <w:tcW w:w="493" w:type="dxa"/>
                  <w:vMerge w:val="continue"/>
                  <w:vAlign w:val="center"/>
                </w:tcPr>
                <w:p>
                  <w:pPr>
                    <w:pStyle w:val="77"/>
                    <w:spacing w:line="260" w:lineRule="exact"/>
                    <w:rPr>
                      <w:rFonts w:ascii="Times New Roman" w:hAnsi="Times New Roman"/>
                      <w:szCs w:val="21"/>
                    </w:rPr>
                  </w:pPr>
                </w:p>
              </w:tc>
              <w:tc>
                <w:tcPr>
                  <w:tcW w:w="652" w:type="dxa"/>
                  <w:vAlign w:val="center"/>
                </w:tcPr>
                <w:p>
                  <w:pPr>
                    <w:pStyle w:val="63"/>
                    <w:kinsoku w:val="0"/>
                    <w:overflowPunct w:val="0"/>
                    <w:snapToGrid w:val="0"/>
                    <w:spacing w:line="260" w:lineRule="exact"/>
                    <w:jc w:val="center"/>
                    <w:rPr>
                      <w:kern w:val="2"/>
                      <w:sz w:val="21"/>
                      <w:szCs w:val="21"/>
                    </w:rPr>
                  </w:pPr>
                  <w:r>
                    <w:rPr>
                      <w:kern w:val="2"/>
                      <w:sz w:val="21"/>
                      <w:szCs w:val="21"/>
                    </w:rPr>
                    <w:t>粉磨废气</w:t>
                  </w:r>
                </w:p>
              </w:tc>
              <w:tc>
                <w:tcPr>
                  <w:tcW w:w="2953" w:type="dxa"/>
                  <w:vAlign w:val="center"/>
                </w:tcPr>
                <w:p>
                  <w:pPr>
                    <w:spacing w:line="260" w:lineRule="exact"/>
                    <w:contextualSpacing/>
                    <w:jc w:val="left"/>
                    <w:rPr>
                      <w:szCs w:val="21"/>
                    </w:rPr>
                  </w:pPr>
                  <w:r>
                    <w:rPr>
                      <w:rFonts w:hint="eastAsia" w:cs="宋体"/>
                      <w:szCs w:val="21"/>
                    </w:rPr>
                    <w:t>生产车间四面密闭，通道口安装卷帘门，车间所有地面均硬化。粉磨机磨头、</w:t>
                  </w:r>
                  <w:r>
                    <w:rPr>
                      <w:rFonts w:cs="宋体"/>
                      <w:szCs w:val="21"/>
                    </w:rPr>
                    <w:t>磨尾</w:t>
                  </w:r>
                  <w:r>
                    <w:rPr>
                      <w:rFonts w:hint="eastAsia" w:cs="宋体"/>
                      <w:szCs w:val="21"/>
                    </w:rPr>
                    <w:t>出料口分别</w:t>
                  </w:r>
                  <w:r>
                    <w:rPr>
                      <w:rFonts w:cs="宋体"/>
                      <w:szCs w:val="21"/>
                    </w:rPr>
                    <w:t>设置集气罩，</w:t>
                  </w:r>
                  <w:r>
                    <w:rPr>
                      <w:rFonts w:cs="宋体"/>
                      <w:b/>
                      <w:szCs w:val="21"/>
                      <w:u w:val="single"/>
                    </w:rPr>
                    <w:t>粉磨</w:t>
                  </w:r>
                  <w:r>
                    <w:rPr>
                      <w:rFonts w:hint="eastAsia" w:cs="宋体"/>
                      <w:b/>
                      <w:szCs w:val="21"/>
                      <w:u w:val="single"/>
                    </w:rPr>
                    <w:t>机进口</w:t>
                  </w:r>
                  <w:r>
                    <w:rPr>
                      <w:rFonts w:cs="宋体"/>
                      <w:b/>
                      <w:szCs w:val="21"/>
                      <w:u w:val="single"/>
                    </w:rPr>
                    <w:t>、出口、气流输送回料至分选机下料口</w:t>
                  </w:r>
                  <w:r>
                    <w:rPr>
                      <w:rFonts w:hint="eastAsia" w:cs="宋体"/>
                      <w:b/>
                      <w:szCs w:val="21"/>
                      <w:u w:val="single"/>
                    </w:rPr>
                    <w:t>设置</w:t>
                  </w:r>
                  <w:r>
                    <w:rPr>
                      <w:rFonts w:cs="宋体"/>
                      <w:b/>
                      <w:szCs w:val="21"/>
                      <w:u w:val="single"/>
                    </w:rPr>
                    <w:t>集气罩</w:t>
                  </w:r>
                  <w:r>
                    <w:rPr>
                      <w:rFonts w:hint="eastAsia" w:cs="宋体"/>
                      <w:b/>
                      <w:szCs w:val="21"/>
                      <w:u w:val="single"/>
                    </w:rPr>
                    <w:t>，</w:t>
                  </w:r>
                  <w:r>
                    <w:rPr>
                      <w:rFonts w:cs="宋体"/>
                      <w:b/>
                      <w:szCs w:val="21"/>
                      <w:u w:val="single"/>
                    </w:rPr>
                    <w:t>之后</w:t>
                  </w:r>
                  <w:r>
                    <w:rPr>
                      <w:rFonts w:hint="eastAsia" w:cs="宋体"/>
                      <w:b/>
                      <w:szCs w:val="21"/>
                      <w:u w:val="single"/>
                    </w:rPr>
                    <w:t>废气</w:t>
                  </w:r>
                  <w:r>
                    <w:rPr>
                      <w:rFonts w:cs="宋体"/>
                      <w:b/>
                      <w:szCs w:val="21"/>
                      <w:u w:val="single"/>
                    </w:rPr>
                    <w:t>通过收尘管</w:t>
                  </w:r>
                  <w:r>
                    <w:rPr>
                      <w:rFonts w:hint="eastAsia" w:cs="宋体"/>
                      <w:b/>
                      <w:szCs w:val="21"/>
                      <w:u w:val="single"/>
                    </w:rPr>
                    <w:t>引入1套脉冲袋式除尘器（</w:t>
                  </w:r>
                  <w:r>
                    <w:rPr>
                      <w:rFonts w:cs="宋体"/>
                      <w:b/>
                      <w:szCs w:val="21"/>
                      <w:u w:val="single"/>
                    </w:rPr>
                    <w:t>2</w:t>
                  </w:r>
                  <w:r>
                    <w:rPr>
                      <w:rFonts w:hint="eastAsia" w:cs="宋体"/>
                      <w:b/>
                      <w:szCs w:val="21"/>
                      <w:u w:val="single"/>
                    </w:rPr>
                    <w:t>#）</w:t>
                  </w:r>
                  <w:r>
                    <w:rPr>
                      <w:rFonts w:hint="eastAsia" w:cs="宋体"/>
                      <w:szCs w:val="21"/>
                    </w:rPr>
                    <w:t>除尘</w:t>
                  </w:r>
                  <w:r>
                    <w:rPr>
                      <w:rFonts w:cs="宋体"/>
                      <w:szCs w:val="21"/>
                    </w:rPr>
                    <w:t>后由</w:t>
                  </w:r>
                  <w:r>
                    <w:rPr>
                      <w:rFonts w:hint="eastAsia" w:cs="宋体"/>
                      <w:szCs w:val="21"/>
                    </w:rPr>
                    <w:t>1根15m高排气筒（DA002）排放</w:t>
                  </w:r>
                </w:p>
              </w:tc>
              <w:tc>
                <w:tcPr>
                  <w:tcW w:w="2409" w:type="dxa"/>
                  <w:vAlign w:val="center"/>
                </w:tcPr>
                <w:p>
                  <w:pPr>
                    <w:widowControl/>
                    <w:spacing w:line="260" w:lineRule="exact"/>
                    <w:jc w:val="center"/>
                    <w:rPr>
                      <w:szCs w:val="21"/>
                    </w:rPr>
                  </w:pPr>
                  <w:r>
                    <w:rPr>
                      <w:rFonts w:cs="宋体"/>
                      <w:b/>
                      <w:szCs w:val="21"/>
                      <w:u w:val="single"/>
                    </w:rPr>
                    <w:t>粉磨</w:t>
                  </w:r>
                  <w:r>
                    <w:rPr>
                      <w:rFonts w:hint="eastAsia" w:cs="宋体"/>
                      <w:b/>
                      <w:szCs w:val="21"/>
                      <w:u w:val="single"/>
                    </w:rPr>
                    <w:t>机进口</w:t>
                  </w:r>
                  <w:r>
                    <w:rPr>
                      <w:rFonts w:cs="宋体"/>
                      <w:b/>
                      <w:szCs w:val="21"/>
                      <w:u w:val="single"/>
                    </w:rPr>
                    <w:t>、出口、气流输送回料至分选机下料口</w:t>
                  </w:r>
                  <w:r>
                    <w:rPr>
                      <w:rFonts w:hint="eastAsia" w:cs="宋体"/>
                      <w:b/>
                      <w:szCs w:val="21"/>
                      <w:u w:val="single"/>
                    </w:rPr>
                    <w:t>设置</w:t>
                  </w:r>
                  <w:r>
                    <w:rPr>
                      <w:rFonts w:cs="宋体"/>
                      <w:b/>
                      <w:szCs w:val="21"/>
                      <w:u w:val="single"/>
                    </w:rPr>
                    <w:t>集气罩</w:t>
                  </w:r>
                  <w:r>
                    <w:rPr>
                      <w:rFonts w:hint="eastAsia" w:cs="宋体"/>
                      <w:b/>
                      <w:szCs w:val="21"/>
                      <w:u w:val="single"/>
                    </w:rPr>
                    <w:t>（共3个）</w:t>
                  </w:r>
                  <w:r>
                    <w:rPr>
                      <w:szCs w:val="21"/>
                    </w:rPr>
                    <w:t>+</w:t>
                  </w:r>
                  <w:r>
                    <w:rPr>
                      <w:rFonts w:hint="eastAsia"/>
                      <w:szCs w:val="21"/>
                    </w:rPr>
                    <w:t>收尘</w:t>
                  </w:r>
                  <w:r>
                    <w:rPr>
                      <w:szCs w:val="21"/>
                    </w:rPr>
                    <w:t>管+脉冲袋式除尘器（2#）+15m高的排气筒（DA002）排放</w:t>
                  </w:r>
                </w:p>
              </w:tc>
              <w:tc>
                <w:tcPr>
                  <w:tcW w:w="1336" w:type="dxa"/>
                  <w:vMerge w:val="continue"/>
                  <w:vAlign w:val="center"/>
                </w:tcPr>
                <w:p>
                  <w:pPr>
                    <w:pStyle w:val="77"/>
                    <w:spacing w:line="260" w:lineRule="exact"/>
                    <w:rPr>
                      <w:rFonts w:ascii="Times New Roman" w:hAnsi="Times New Roman"/>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140" w:hRule="atLeast"/>
              </w:trPr>
              <w:tc>
                <w:tcPr>
                  <w:tcW w:w="493" w:type="dxa"/>
                  <w:vMerge w:val="continue"/>
                  <w:vAlign w:val="center"/>
                </w:tcPr>
                <w:p>
                  <w:pPr>
                    <w:pStyle w:val="77"/>
                    <w:spacing w:line="260" w:lineRule="exact"/>
                    <w:rPr>
                      <w:rFonts w:ascii="Times New Roman" w:hAnsi="Times New Roman"/>
                      <w:szCs w:val="21"/>
                    </w:rPr>
                  </w:pPr>
                </w:p>
              </w:tc>
              <w:tc>
                <w:tcPr>
                  <w:tcW w:w="652" w:type="dxa"/>
                  <w:vAlign w:val="center"/>
                </w:tcPr>
                <w:p>
                  <w:pPr>
                    <w:pStyle w:val="63"/>
                    <w:kinsoku w:val="0"/>
                    <w:overflowPunct w:val="0"/>
                    <w:snapToGrid w:val="0"/>
                    <w:spacing w:line="260" w:lineRule="exact"/>
                    <w:jc w:val="center"/>
                    <w:rPr>
                      <w:kern w:val="2"/>
                      <w:sz w:val="21"/>
                      <w:szCs w:val="21"/>
                    </w:rPr>
                  </w:pPr>
                  <w:r>
                    <w:rPr>
                      <w:kern w:val="2"/>
                      <w:sz w:val="21"/>
                      <w:szCs w:val="21"/>
                    </w:rPr>
                    <w:t>提升机废气</w:t>
                  </w:r>
                </w:p>
              </w:tc>
              <w:tc>
                <w:tcPr>
                  <w:tcW w:w="2953" w:type="dxa"/>
                  <w:vAlign w:val="center"/>
                </w:tcPr>
                <w:p>
                  <w:pPr>
                    <w:spacing w:line="260" w:lineRule="exact"/>
                    <w:contextualSpacing/>
                    <w:jc w:val="left"/>
                    <w:rPr>
                      <w:szCs w:val="21"/>
                    </w:rPr>
                  </w:pPr>
                  <w:r>
                    <w:rPr>
                      <w:b/>
                      <w:szCs w:val="21"/>
                      <w:u w:val="single"/>
                    </w:rPr>
                    <w:t>2</w:t>
                  </w:r>
                  <w:r>
                    <w:rPr>
                      <w:rFonts w:hint="eastAsia"/>
                      <w:b/>
                      <w:szCs w:val="21"/>
                      <w:u w:val="single"/>
                    </w:rPr>
                    <w:t>座提升</w:t>
                  </w:r>
                  <w:r>
                    <w:rPr>
                      <w:b/>
                      <w:szCs w:val="21"/>
                      <w:u w:val="single"/>
                    </w:rPr>
                    <w:t>机</w:t>
                  </w:r>
                  <w:r>
                    <w:rPr>
                      <w:rFonts w:hint="eastAsia"/>
                      <w:b/>
                      <w:szCs w:val="21"/>
                      <w:u w:val="single"/>
                    </w:rPr>
                    <w:t>上料</w:t>
                  </w:r>
                  <w:r>
                    <w:rPr>
                      <w:b/>
                      <w:szCs w:val="21"/>
                      <w:u w:val="single"/>
                    </w:rPr>
                    <w:t>口、落料</w:t>
                  </w:r>
                  <w:r>
                    <w:rPr>
                      <w:rFonts w:hint="eastAsia"/>
                      <w:b/>
                      <w:szCs w:val="21"/>
                      <w:u w:val="single"/>
                    </w:rPr>
                    <w:t>口分别</w:t>
                  </w:r>
                  <w:r>
                    <w:rPr>
                      <w:b/>
                      <w:szCs w:val="21"/>
                      <w:u w:val="single"/>
                    </w:rPr>
                    <w:t>设集气装置，</w:t>
                  </w:r>
                  <w:r>
                    <w:rPr>
                      <w:rFonts w:hint="eastAsia" w:cs="宋体"/>
                      <w:b/>
                      <w:szCs w:val="21"/>
                      <w:u w:val="single"/>
                    </w:rPr>
                    <w:t>废气</w:t>
                  </w:r>
                  <w:r>
                    <w:rPr>
                      <w:rFonts w:cs="宋体"/>
                      <w:b/>
                      <w:szCs w:val="21"/>
                      <w:u w:val="single"/>
                    </w:rPr>
                    <w:t>通过收尘管</w:t>
                  </w:r>
                  <w:r>
                    <w:rPr>
                      <w:rFonts w:hint="eastAsia"/>
                      <w:szCs w:val="21"/>
                    </w:rPr>
                    <w:t>引入</w:t>
                  </w:r>
                  <w:r>
                    <w:rPr>
                      <w:szCs w:val="21"/>
                    </w:rPr>
                    <w:t>一套</w:t>
                  </w:r>
                  <w:r>
                    <w:rPr>
                      <w:rFonts w:hint="eastAsia"/>
                      <w:szCs w:val="21"/>
                    </w:rPr>
                    <w:t>脉冲</w:t>
                  </w:r>
                  <w:r>
                    <w:rPr>
                      <w:szCs w:val="21"/>
                    </w:rPr>
                    <w:t>袋式除尘器</w:t>
                  </w:r>
                  <w:r>
                    <w:rPr>
                      <w:rFonts w:hint="eastAsia"/>
                      <w:szCs w:val="21"/>
                    </w:rPr>
                    <w:t>（3</w:t>
                  </w:r>
                  <w:r>
                    <w:rPr>
                      <w:szCs w:val="21"/>
                    </w:rPr>
                    <w:t>#</w:t>
                  </w:r>
                  <w:r>
                    <w:rPr>
                      <w:rFonts w:hint="eastAsia"/>
                      <w:szCs w:val="21"/>
                    </w:rPr>
                    <w:t>）</w:t>
                  </w:r>
                  <w:r>
                    <w:rPr>
                      <w:szCs w:val="21"/>
                    </w:rPr>
                    <w:t>处理</w:t>
                  </w:r>
                  <w:r>
                    <w:rPr>
                      <w:rFonts w:hint="eastAsia"/>
                      <w:szCs w:val="21"/>
                    </w:rPr>
                    <w:t>后</w:t>
                  </w:r>
                  <w:r>
                    <w:rPr>
                      <w:szCs w:val="21"/>
                    </w:rPr>
                    <w:t>由一根</w:t>
                  </w:r>
                  <w:r>
                    <w:rPr>
                      <w:rFonts w:hint="eastAsia"/>
                      <w:szCs w:val="21"/>
                    </w:rPr>
                    <w:t>15</w:t>
                  </w:r>
                  <w:r>
                    <w:rPr>
                      <w:szCs w:val="21"/>
                    </w:rPr>
                    <w:t>m高排气筒</w:t>
                  </w:r>
                  <w:r>
                    <w:rPr>
                      <w:rFonts w:hint="eastAsia" w:cs="宋体"/>
                      <w:szCs w:val="21"/>
                    </w:rPr>
                    <w:t>（DA00</w:t>
                  </w:r>
                  <w:r>
                    <w:rPr>
                      <w:rFonts w:cs="宋体"/>
                      <w:szCs w:val="21"/>
                    </w:rPr>
                    <w:t>3</w:t>
                  </w:r>
                  <w:r>
                    <w:rPr>
                      <w:rFonts w:hint="eastAsia" w:cs="宋体"/>
                      <w:szCs w:val="21"/>
                    </w:rPr>
                    <w:t>）</w:t>
                  </w:r>
                  <w:r>
                    <w:rPr>
                      <w:szCs w:val="21"/>
                    </w:rPr>
                    <w:t>排放</w:t>
                  </w:r>
                </w:p>
              </w:tc>
              <w:tc>
                <w:tcPr>
                  <w:tcW w:w="2409" w:type="dxa"/>
                  <w:vAlign w:val="center"/>
                </w:tcPr>
                <w:p>
                  <w:pPr>
                    <w:widowControl/>
                    <w:spacing w:line="260" w:lineRule="exact"/>
                    <w:jc w:val="center"/>
                    <w:rPr>
                      <w:szCs w:val="21"/>
                    </w:rPr>
                  </w:pPr>
                  <w:r>
                    <w:rPr>
                      <w:b/>
                      <w:szCs w:val="21"/>
                      <w:u w:val="single"/>
                    </w:rPr>
                    <w:t>2</w:t>
                  </w:r>
                  <w:r>
                    <w:rPr>
                      <w:rFonts w:hint="eastAsia"/>
                      <w:b/>
                      <w:szCs w:val="21"/>
                      <w:u w:val="single"/>
                    </w:rPr>
                    <w:t>座提升</w:t>
                  </w:r>
                  <w:r>
                    <w:rPr>
                      <w:b/>
                      <w:szCs w:val="21"/>
                      <w:u w:val="single"/>
                    </w:rPr>
                    <w:t>机</w:t>
                  </w:r>
                  <w:r>
                    <w:rPr>
                      <w:rFonts w:hint="eastAsia"/>
                      <w:b/>
                      <w:szCs w:val="21"/>
                      <w:u w:val="single"/>
                    </w:rPr>
                    <w:t>上料</w:t>
                  </w:r>
                  <w:r>
                    <w:rPr>
                      <w:b/>
                      <w:szCs w:val="21"/>
                      <w:u w:val="single"/>
                    </w:rPr>
                    <w:t>口、落料</w:t>
                  </w:r>
                  <w:r>
                    <w:rPr>
                      <w:rFonts w:hint="eastAsia"/>
                      <w:b/>
                      <w:szCs w:val="21"/>
                      <w:u w:val="single"/>
                    </w:rPr>
                    <w:t>口分别</w:t>
                  </w:r>
                  <w:r>
                    <w:rPr>
                      <w:b/>
                      <w:szCs w:val="21"/>
                      <w:u w:val="single"/>
                    </w:rPr>
                    <w:t>设集气装置</w:t>
                  </w:r>
                  <w:r>
                    <w:rPr>
                      <w:rFonts w:hint="eastAsia" w:cs="宋体"/>
                      <w:b/>
                      <w:szCs w:val="21"/>
                      <w:u w:val="single"/>
                    </w:rPr>
                    <w:t>（共4个）</w:t>
                  </w:r>
                  <w:r>
                    <w:rPr>
                      <w:szCs w:val="21"/>
                    </w:rPr>
                    <w:t>+</w:t>
                  </w:r>
                  <w:r>
                    <w:rPr>
                      <w:rFonts w:hint="eastAsia"/>
                      <w:szCs w:val="21"/>
                    </w:rPr>
                    <w:t>收尘管</w:t>
                  </w:r>
                  <w:r>
                    <w:rPr>
                      <w:szCs w:val="21"/>
                    </w:rPr>
                    <w:t>+脉冲袋式除尘器（3#）+15m高的排气筒（DA003）排放</w:t>
                  </w:r>
                </w:p>
              </w:tc>
              <w:tc>
                <w:tcPr>
                  <w:tcW w:w="1336" w:type="dxa"/>
                  <w:vMerge w:val="continue"/>
                  <w:vAlign w:val="center"/>
                </w:tcPr>
                <w:p>
                  <w:pPr>
                    <w:pStyle w:val="77"/>
                    <w:spacing w:line="260" w:lineRule="exact"/>
                    <w:rPr>
                      <w:rFonts w:ascii="Times New Roman" w:hAnsi="Times New Roman"/>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140" w:hRule="atLeast"/>
              </w:trPr>
              <w:tc>
                <w:tcPr>
                  <w:tcW w:w="493" w:type="dxa"/>
                  <w:vMerge w:val="continue"/>
                  <w:vAlign w:val="center"/>
                </w:tcPr>
                <w:p>
                  <w:pPr>
                    <w:pStyle w:val="77"/>
                    <w:spacing w:line="260" w:lineRule="exact"/>
                    <w:rPr>
                      <w:rFonts w:ascii="Times New Roman" w:hAnsi="Times New Roman"/>
                      <w:szCs w:val="21"/>
                    </w:rPr>
                  </w:pPr>
                </w:p>
              </w:tc>
              <w:tc>
                <w:tcPr>
                  <w:tcW w:w="652" w:type="dxa"/>
                  <w:vAlign w:val="center"/>
                </w:tcPr>
                <w:p>
                  <w:pPr>
                    <w:pStyle w:val="63"/>
                    <w:kinsoku w:val="0"/>
                    <w:overflowPunct w:val="0"/>
                    <w:snapToGrid w:val="0"/>
                    <w:spacing w:line="260" w:lineRule="exact"/>
                    <w:jc w:val="center"/>
                    <w:rPr>
                      <w:kern w:val="2"/>
                      <w:sz w:val="21"/>
                      <w:szCs w:val="21"/>
                    </w:rPr>
                  </w:pPr>
                  <w:r>
                    <w:rPr>
                      <w:kern w:val="2"/>
                      <w:sz w:val="21"/>
                      <w:szCs w:val="21"/>
                    </w:rPr>
                    <w:t>成品料仓废气</w:t>
                  </w:r>
                </w:p>
              </w:tc>
              <w:tc>
                <w:tcPr>
                  <w:tcW w:w="2953" w:type="dxa"/>
                  <w:vAlign w:val="center"/>
                </w:tcPr>
                <w:p>
                  <w:pPr>
                    <w:spacing w:line="260" w:lineRule="exact"/>
                    <w:contextualSpacing/>
                    <w:jc w:val="left"/>
                    <w:rPr>
                      <w:szCs w:val="21"/>
                    </w:rPr>
                  </w:pPr>
                  <w:r>
                    <w:rPr>
                      <w:rFonts w:hint="eastAsia" w:cs="宋体"/>
                      <w:szCs w:val="21"/>
                    </w:rPr>
                    <w:t>密闭成品</w:t>
                  </w:r>
                  <w:r>
                    <w:rPr>
                      <w:rFonts w:cs="宋体"/>
                      <w:szCs w:val="21"/>
                    </w:rPr>
                    <w:t>仓</w:t>
                  </w:r>
                  <w:r>
                    <w:rPr>
                      <w:rFonts w:hint="eastAsia" w:cs="宋体"/>
                      <w:szCs w:val="21"/>
                    </w:rPr>
                    <w:t>，废气</w:t>
                  </w:r>
                  <w:r>
                    <w:rPr>
                      <w:rFonts w:cs="宋体"/>
                      <w:szCs w:val="21"/>
                    </w:rPr>
                    <w:t>经</w:t>
                  </w:r>
                  <w:r>
                    <w:rPr>
                      <w:rFonts w:hint="eastAsia" w:cs="宋体"/>
                      <w:szCs w:val="21"/>
                    </w:rPr>
                    <w:t>仓顶</w:t>
                  </w:r>
                  <w:r>
                    <w:rPr>
                      <w:rFonts w:cs="宋体"/>
                      <w:szCs w:val="21"/>
                    </w:rPr>
                    <w:t>脉冲袋式除尘</w:t>
                  </w:r>
                  <w:r>
                    <w:rPr>
                      <w:rFonts w:hint="eastAsia" w:cs="宋体"/>
                      <w:szCs w:val="21"/>
                    </w:rPr>
                    <w:t>器（</w:t>
                  </w:r>
                  <w:r>
                    <w:rPr>
                      <w:rFonts w:cs="宋体"/>
                      <w:szCs w:val="21"/>
                    </w:rPr>
                    <w:t>4#</w:t>
                  </w:r>
                  <w:r>
                    <w:rPr>
                      <w:rFonts w:hint="eastAsia" w:cs="宋体"/>
                      <w:szCs w:val="21"/>
                    </w:rPr>
                    <w:t>）除尘后</w:t>
                  </w:r>
                  <w:r>
                    <w:rPr>
                      <w:rFonts w:cs="宋体"/>
                      <w:szCs w:val="21"/>
                    </w:rPr>
                    <w:t>由</w:t>
                  </w:r>
                  <w:r>
                    <w:rPr>
                      <w:rFonts w:cs="宋体"/>
                    </w:rPr>
                    <w:t>仓顶排气筒排放（排气口高度21m</w:t>
                  </w:r>
                  <w:r>
                    <w:rPr>
                      <w:rFonts w:hint="eastAsia" w:cs="宋体"/>
                    </w:rPr>
                    <w:t>，</w:t>
                  </w:r>
                  <w:r>
                    <w:rPr>
                      <w:rFonts w:hint="eastAsia" w:cs="宋体"/>
                      <w:szCs w:val="21"/>
                    </w:rPr>
                    <w:t>编号DA00</w:t>
                  </w:r>
                  <w:r>
                    <w:rPr>
                      <w:rFonts w:cs="宋体"/>
                      <w:szCs w:val="21"/>
                    </w:rPr>
                    <w:t>4</w:t>
                  </w:r>
                  <w:r>
                    <w:rPr>
                      <w:rFonts w:hint="eastAsia" w:cs="宋体"/>
                      <w:szCs w:val="21"/>
                    </w:rPr>
                    <w:t>）</w:t>
                  </w:r>
                </w:p>
              </w:tc>
              <w:tc>
                <w:tcPr>
                  <w:tcW w:w="2409" w:type="dxa"/>
                  <w:vAlign w:val="center"/>
                </w:tcPr>
                <w:p>
                  <w:pPr>
                    <w:widowControl/>
                    <w:spacing w:line="260" w:lineRule="exact"/>
                    <w:jc w:val="center"/>
                    <w:rPr>
                      <w:szCs w:val="21"/>
                    </w:rPr>
                  </w:pPr>
                  <w:r>
                    <w:rPr>
                      <w:szCs w:val="21"/>
                    </w:rPr>
                    <w:t>密闭</w:t>
                  </w:r>
                  <w:r>
                    <w:rPr>
                      <w:rFonts w:hint="eastAsia"/>
                      <w:szCs w:val="21"/>
                    </w:rPr>
                    <w:t>成品</w:t>
                  </w:r>
                  <w:r>
                    <w:rPr>
                      <w:szCs w:val="21"/>
                    </w:rPr>
                    <w:t>仓+脉冲袋式除尘器（4#）+</w:t>
                  </w:r>
                  <w:r>
                    <w:rPr>
                      <w:rFonts w:cs="宋体"/>
                    </w:rPr>
                    <w:t>仓顶排气筒（排气口高度21m</w:t>
                  </w:r>
                  <w:r>
                    <w:rPr>
                      <w:rFonts w:hint="eastAsia" w:cs="宋体"/>
                    </w:rPr>
                    <w:t>，</w:t>
                  </w:r>
                  <w:r>
                    <w:rPr>
                      <w:rFonts w:hint="eastAsia" w:cs="宋体"/>
                      <w:szCs w:val="21"/>
                    </w:rPr>
                    <w:t>编号DA00</w:t>
                  </w:r>
                  <w:r>
                    <w:rPr>
                      <w:rFonts w:cs="宋体"/>
                      <w:szCs w:val="21"/>
                    </w:rPr>
                    <w:t>4</w:t>
                  </w:r>
                  <w:r>
                    <w:rPr>
                      <w:rFonts w:hint="eastAsia" w:cs="宋体"/>
                      <w:szCs w:val="21"/>
                    </w:rPr>
                    <w:t>）</w:t>
                  </w:r>
                </w:p>
              </w:tc>
              <w:tc>
                <w:tcPr>
                  <w:tcW w:w="1336" w:type="dxa"/>
                  <w:vMerge w:val="continue"/>
                  <w:vAlign w:val="center"/>
                </w:tcPr>
                <w:p>
                  <w:pPr>
                    <w:pStyle w:val="77"/>
                    <w:spacing w:line="260" w:lineRule="exact"/>
                    <w:rPr>
                      <w:rFonts w:ascii="Times New Roman" w:hAnsi="Times New Roman"/>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140" w:hRule="atLeast"/>
              </w:trPr>
              <w:tc>
                <w:tcPr>
                  <w:tcW w:w="493" w:type="dxa"/>
                  <w:vMerge w:val="continue"/>
                  <w:vAlign w:val="center"/>
                </w:tcPr>
                <w:p>
                  <w:pPr>
                    <w:pStyle w:val="77"/>
                    <w:spacing w:line="260" w:lineRule="exact"/>
                    <w:rPr>
                      <w:rFonts w:ascii="Times New Roman" w:hAnsi="Times New Roman"/>
                      <w:szCs w:val="21"/>
                    </w:rPr>
                  </w:pPr>
                </w:p>
              </w:tc>
              <w:tc>
                <w:tcPr>
                  <w:tcW w:w="652" w:type="dxa"/>
                  <w:vAlign w:val="center"/>
                </w:tcPr>
                <w:p>
                  <w:pPr>
                    <w:pStyle w:val="63"/>
                    <w:kinsoku w:val="0"/>
                    <w:overflowPunct w:val="0"/>
                    <w:snapToGrid w:val="0"/>
                    <w:spacing w:line="260" w:lineRule="exact"/>
                    <w:jc w:val="center"/>
                    <w:rPr>
                      <w:kern w:val="2"/>
                      <w:sz w:val="21"/>
                      <w:szCs w:val="21"/>
                    </w:rPr>
                  </w:pPr>
                  <w:r>
                    <w:rPr>
                      <w:kern w:val="2"/>
                      <w:sz w:val="21"/>
                      <w:szCs w:val="21"/>
                    </w:rPr>
                    <w:t>散装机废气</w:t>
                  </w:r>
                </w:p>
              </w:tc>
              <w:tc>
                <w:tcPr>
                  <w:tcW w:w="2953" w:type="dxa"/>
                  <w:vAlign w:val="center"/>
                </w:tcPr>
                <w:p>
                  <w:pPr>
                    <w:spacing w:line="260" w:lineRule="exact"/>
                    <w:contextualSpacing/>
                    <w:jc w:val="left"/>
                    <w:rPr>
                      <w:szCs w:val="21"/>
                    </w:rPr>
                  </w:pPr>
                  <w:r>
                    <w:rPr>
                      <w:szCs w:val="21"/>
                    </w:rPr>
                    <w:t>散装机为封闭设置，</w:t>
                  </w:r>
                  <w:r>
                    <w:rPr>
                      <w:b/>
                      <w:szCs w:val="21"/>
                      <w:u w:val="single"/>
                    </w:rPr>
                    <w:t>落料</w:t>
                  </w:r>
                  <w:r>
                    <w:rPr>
                      <w:rFonts w:hint="eastAsia"/>
                      <w:b/>
                      <w:szCs w:val="21"/>
                      <w:u w:val="single"/>
                    </w:rPr>
                    <w:t>口设置集气罩</w:t>
                  </w:r>
                  <w:r>
                    <w:rPr>
                      <w:b/>
                      <w:szCs w:val="21"/>
                      <w:u w:val="single"/>
                    </w:rPr>
                    <w:t>，</w:t>
                  </w:r>
                  <w:r>
                    <w:rPr>
                      <w:rFonts w:hint="eastAsia"/>
                      <w:b/>
                      <w:szCs w:val="21"/>
                      <w:u w:val="single"/>
                    </w:rPr>
                    <w:t>散装废</w:t>
                  </w:r>
                  <w:r>
                    <w:rPr>
                      <w:rFonts w:hint="eastAsia" w:cs="宋体"/>
                      <w:b/>
                      <w:szCs w:val="21"/>
                      <w:u w:val="single"/>
                    </w:rPr>
                    <w:t>气</w:t>
                  </w:r>
                  <w:r>
                    <w:rPr>
                      <w:rFonts w:cs="宋体"/>
                      <w:b/>
                      <w:szCs w:val="21"/>
                      <w:u w:val="single"/>
                    </w:rPr>
                    <w:t>通过收尘管</w:t>
                  </w:r>
                  <w:r>
                    <w:rPr>
                      <w:rFonts w:hint="eastAsia"/>
                      <w:szCs w:val="21"/>
                    </w:rPr>
                    <w:t>引入</w:t>
                  </w:r>
                  <w:r>
                    <w:rPr>
                      <w:szCs w:val="21"/>
                    </w:rPr>
                    <w:t>袋式除尘器（5#）处理后由一根15m高排气筒（DA005）排放</w:t>
                  </w:r>
                </w:p>
              </w:tc>
              <w:tc>
                <w:tcPr>
                  <w:tcW w:w="2409" w:type="dxa"/>
                  <w:vAlign w:val="center"/>
                </w:tcPr>
                <w:p>
                  <w:pPr>
                    <w:widowControl/>
                    <w:spacing w:line="260" w:lineRule="exact"/>
                    <w:jc w:val="center"/>
                    <w:rPr>
                      <w:szCs w:val="21"/>
                    </w:rPr>
                  </w:pPr>
                  <w:r>
                    <w:rPr>
                      <w:b/>
                      <w:szCs w:val="21"/>
                      <w:u w:val="single"/>
                    </w:rPr>
                    <w:t>落料</w:t>
                  </w:r>
                  <w:r>
                    <w:rPr>
                      <w:rFonts w:hint="eastAsia"/>
                      <w:b/>
                      <w:szCs w:val="21"/>
                      <w:u w:val="single"/>
                    </w:rPr>
                    <w:t>口设置集气罩</w:t>
                  </w:r>
                  <w:r>
                    <w:rPr>
                      <w:szCs w:val="21"/>
                    </w:rPr>
                    <w:t>+</w:t>
                  </w:r>
                  <w:r>
                    <w:rPr>
                      <w:rFonts w:hint="eastAsia"/>
                      <w:szCs w:val="21"/>
                    </w:rPr>
                    <w:t>收尘</w:t>
                  </w:r>
                  <w:r>
                    <w:rPr>
                      <w:szCs w:val="21"/>
                    </w:rPr>
                    <w:t>管</w:t>
                  </w:r>
                  <w:r>
                    <w:rPr>
                      <w:rFonts w:hint="eastAsia"/>
                      <w:szCs w:val="21"/>
                    </w:rPr>
                    <w:t>+</w:t>
                  </w:r>
                  <w:r>
                    <w:rPr>
                      <w:szCs w:val="21"/>
                    </w:rPr>
                    <w:t>脉冲袋式除尘器（5#）+15m高的排气筒（DA005）排放</w:t>
                  </w:r>
                </w:p>
              </w:tc>
              <w:tc>
                <w:tcPr>
                  <w:tcW w:w="1336" w:type="dxa"/>
                  <w:vMerge w:val="continue"/>
                  <w:vAlign w:val="center"/>
                </w:tcPr>
                <w:p>
                  <w:pPr>
                    <w:pStyle w:val="77"/>
                    <w:spacing w:line="260" w:lineRule="exact"/>
                    <w:rPr>
                      <w:rFonts w:ascii="Times New Roman" w:hAnsi="Times New Roman"/>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807" w:hRule="atLeast"/>
              </w:trPr>
              <w:tc>
                <w:tcPr>
                  <w:tcW w:w="493" w:type="dxa"/>
                  <w:vMerge w:val="continue"/>
                  <w:vAlign w:val="center"/>
                </w:tcPr>
                <w:p>
                  <w:pPr>
                    <w:pStyle w:val="77"/>
                    <w:spacing w:line="260" w:lineRule="exact"/>
                    <w:rPr>
                      <w:rFonts w:ascii="Times New Roman" w:hAnsi="Times New Roman"/>
                      <w:szCs w:val="21"/>
                    </w:rPr>
                  </w:pPr>
                </w:p>
              </w:tc>
              <w:tc>
                <w:tcPr>
                  <w:tcW w:w="652" w:type="dxa"/>
                  <w:vAlign w:val="center"/>
                </w:tcPr>
                <w:p>
                  <w:pPr>
                    <w:snapToGrid w:val="0"/>
                    <w:spacing w:line="260" w:lineRule="exact"/>
                    <w:jc w:val="center"/>
                    <w:rPr>
                      <w:snapToGrid w:val="0"/>
                      <w:kern w:val="0"/>
                      <w:szCs w:val="21"/>
                    </w:rPr>
                  </w:pPr>
                  <w:r>
                    <w:rPr>
                      <w:snapToGrid w:val="0"/>
                      <w:kern w:val="0"/>
                      <w:szCs w:val="21"/>
                    </w:rPr>
                    <w:t>无组织废气</w:t>
                  </w:r>
                </w:p>
              </w:tc>
              <w:tc>
                <w:tcPr>
                  <w:tcW w:w="2953" w:type="dxa"/>
                  <w:vAlign w:val="center"/>
                </w:tcPr>
                <w:p>
                  <w:pPr>
                    <w:spacing w:line="260" w:lineRule="exact"/>
                    <w:contextualSpacing/>
                    <w:jc w:val="left"/>
                    <w:rPr>
                      <w:szCs w:val="21"/>
                    </w:rPr>
                  </w:pPr>
                  <w:r>
                    <w:rPr>
                      <w:rFonts w:hint="eastAsia"/>
                      <w:szCs w:val="21"/>
                    </w:rPr>
                    <w:t>分选机、粉磨</w:t>
                  </w:r>
                  <w:r>
                    <w:rPr>
                      <w:szCs w:val="21"/>
                    </w:rPr>
                    <w:t>机等</w:t>
                  </w:r>
                  <w:r>
                    <w:rPr>
                      <w:rFonts w:hint="eastAsia"/>
                      <w:szCs w:val="21"/>
                    </w:rPr>
                    <w:t>设备安装在全封闭的生产车间内，厂区闲置裸露空地绿化，道路</w:t>
                  </w:r>
                  <w:r>
                    <w:rPr>
                      <w:szCs w:val="21"/>
                    </w:rPr>
                    <w:t>全部硬化，</w:t>
                  </w:r>
                  <w:r>
                    <w:rPr>
                      <w:rFonts w:hint="eastAsia"/>
                      <w:szCs w:val="21"/>
                    </w:rPr>
                    <w:t>出厂门口配备高压清洗装置，厂区设置洒水装置，车间设置干雾</w:t>
                  </w:r>
                  <w:r>
                    <w:rPr>
                      <w:szCs w:val="21"/>
                    </w:rPr>
                    <w:t>抑尘装置，</w:t>
                  </w:r>
                  <w:r>
                    <w:rPr>
                      <w:rFonts w:hint="eastAsia"/>
                      <w:szCs w:val="21"/>
                    </w:rPr>
                    <w:t>厂区定期进行洒水降尘</w:t>
                  </w:r>
                </w:p>
              </w:tc>
              <w:tc>
                <w:tcPr>
                  <w:tcW w:w="2409" w:type="dxa"/>
                  <w:vAlign w:val="center"/>
                </w:tcPr>
                <w:p>
                  <w:pPr>
                    <w:pStyle w:val="77"/>
                    <w:spacing w:line="260" w:lineRule="exact"/>
                    <w:rPr>
                      <w:rFonts w:ascii="Times New Roman" w:hAnsi="Times New Roman"/>
                      <w:snapToGrid w:val="0"/>
                      <w:kern w:val="0"/>
                      <w:szCs w:val="21"/>
                    </w:rPr>
                  </w:pPr>
                  <w:r>
                    <w:rPr>
                      <w:rFonts w:ascii="Times New Roman" w:hAnsi="Times New Roman"/>
                      <w:szCs w:val="21"/>
                    </w:rPr>
                    <w:t>全封闭车间+</w:t>
                  </w:r>
                  <w:r>
                    <w:rPr>
                      <w:rFonts w:hint="eastAsia" w:ascii="Times New Roman" w:hAnsi="Times New Roman"/>
                      <w:szCs w:val="21"/>
                    </w:rPr>
                    <w:t>硬质</w:t>
                  </w:r>
                  <w:r>
                    <w:rPr>
                      <w:rFonts w:ascii="Times New Roman" w:hAnsi="Times New Roman"/>
                      <w:szCs w:val="21"/>
                    </w:rPr>
                    <w:t>卷帘门+厂区门口高压清洗平台+厂区闲置裸露空地绿化+</w:t>
                  </w:r>
                  <w:r>
                    <w:rPr>
                      <w:rFonts w:hint="eastAsia" w:ascii="Times New Roman" w:hAnsi="Times New Roman"/>
                      <w:szCs w:val="21"/>
                    </w:rPr>
                    <w:t>干雾抑尘装置</w:t>
                  </w:r>
                </w:p>
              </w:tc>
              <w:tc>
                <w:tcPr>
                  <w:tcW w:w="1336" w:type="dxa"/>
                  <w:vMerge w:val="continue"/>
                  <w:vAlign w:val="center"/>
                </w:tcPr>
                <w:p>
                  <w:pPr>
                    <w:pStyle w:val="77"/>
                    <w:spacing w:line="260" w:lineRule="exact"/>
                    <w:rPr>
                      <w:rFonts w:ascii="Times New Roman" w:hAnsi="Times New Roman"/>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140" w:hRule="atLeast"/>
              </w:trPr>
              <w:tc>
                <w:tcPr>
                  <w:tcW w:w="1145" w:type="dxa"/>
                  <w:gridSpan w:val="2"/>
                  <w:vAlign w:val="center"/>
                </w:tcPr>
                <w:p>
                  <w:pPr>
                    <w:pStyle w:val="77"/>
                    <w:spacing w:line="260" w:lineRule="exact"/>
                    <w:rPr>
                      <w:rFonts w:ascii="Times New Roman" w:hAnsi="Times New Roman"/>
                      <w:szCs w:val="21"/>
                    </w:rPr>
                  </w:pPr>
                  <w:r>
                    <w:rPr>
                      <w:rFonts w:ascii="Times New Roman" w:hAnsi="Times New Roman"/>
                      <w:szCs w:val="21"/>
                    </w:rPr>
                    <w:t>车间、厂区</w:t>
                  </w:r>
                </w:p>
              </w:tc>
              <w:tc>
                <w:tcPr>
                  <w:tcW w:w="2953" w:type="dxa"/>
                  <w:vAlign w:val="center"/>
                </w:tcPr>
                <w:p>
                  <w:pPr>
                    <w:pStyle w:val="77"/>
                    <w:spacing w:line="260" w:lineRule="exact"/>
                    <w:rPr>
                      <w:rFonts w:ascii="Times New Roman" w:hAnsi="Times New Roman"/>
                      <w:szCs w:val="21"/>
                    </w:rPr>
                  </w:pPr>
                  <w:r>
                    <w:rPr>
                      <w:rFonts w:ascii="Times New Roman" w:hAnsi="Times New Roman"/>
                      <w:szCs w:val="21"/>
                    </w:rPr>
                    <w:t>厂区道路硬化，车间全封闭，平整无破损、无积尘</w:t>
                  </w:r>
                </w:p>
              </w:tc>
              <w:tc>
                <w:tcPr>
                  <w:tcW w:w="2409" w:type="dxa"/>
                  <w:vAlign w:val="center"/>
                </w:tcPr>
                <w:p>
                  <w:pPr>
                    <w:pStyle w:val="77"/>
                    <w:spacing w:line="260" w:lineRule="exact"/>
                    <w:rPr>
                      <w:rFonts w:ascii="Times New Roman" w:hAnsi="Times New Roman"/>
                      <w:szCs w:val="21"/>
                    </w:rPr>
                  </w:pPr>
                  <w:r>
                    <w:rPr>
                      <w:rFonts w:ascii="Times New Roman" w:hAnsi="Times New Roman"/>
                      <w:szCs w:val="21"/>
                    </w:rPr>
                    <w:t>厂区道路硬化，车间全封闭，平整无破损、无积尘</w:t>
                  </w:r>
                </w:p>
              </w:tc>
              <w:tc>
                <w:tcPr>
                  <w:tcW w:w="1336" w:type="dxa"/>
                  <w:vMerge w:val="continue"/>
                  <w:vAlign w:val="center"/>
                </w:tcPr>
                <w:p>
                  <w:pPr>
                    <w:pStyle w:val="77"/>
                    <w:spacing w:line="260" w:lineRule="exact"/>
                    <w:rPr>
                      <w:rFonts w:ascii="Times New Roman" w:hAnsi="Times New Roman"/>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140" w:hRule="atLeast"/>
              </w:trPr>
              <w:tc>
                <w:tcPr>
                  <w:tcW w:w="493" w:type="dxa"/>
                  <w:vMerge w:val="restart"/>
                  <w:vAlign w:val="center"/>
                </w:tcPr>
                <w:p>
                  <w:pPr>
                    <w:pStyle w:val="77"/>
                    <w:spacing w:line="260" w:lineRule="exact"/>
                    <w:rPr>
                      <w:rFonts w:ascii="Times New Roman" w:hAnsi="Times New Roman"/>
                      <w:szCs w:val="21"/>
                    </w:rPr>
                  </w:pPr>
                  <w:r>
                    <w:rPr>
                      <w:rFonts w:ascii="Times New Roman" w:hAnsi="Times New Roman"/>
                      <w:szCs w:val="21"/>
                    </w:rPr>
                    <w:t>废水</w:t>
                  </w:r>
                </w:p>
              </w:tc>
              <w:tc>
                <w:tcPr>
                  <w:tcW w:w="652" w:type="dxa"/>
                  <w:vAlign w:val="center"/>
                </w:tcPr>
                <w:p>
                  <w:pPr>
                    <w:pStyle w:val="77"/>
                    <w:spacing w:line="260" w:lineRule="exact"/>
                    <w:rPr>
                      <w:rFonts w:ascii="Times New Roman" w:hAnsi="Times New Roman"/>
                      <w:szCs w:val="21"/>
                    </w:rPr>
                  </w:pPr>
                  <w:r>
                    <w:rPr>
                      <w:rFonts w:ascii="Times New Roman" w:hAnsi="Times New Roman"/>
                      <w:szCs w:val="21"/>
                    </w:rPr>
                    <w:t>生活污水</w:t>
                  </w:r>
                </w:p>
              </w:tc>
              <w:tc>
                <w:tcPr>
                  <w:tcW w:w="2953" w:type="dxa"/>
                  <w:vAlign w:val="center"/>
                </w:tcPr>
                <w:p>
                  <w:pPr>
                    <w:pStyle w:val="77"/>
                    <w:spacing w:line="260" w:lineRule="exact"/>
                    <w:jc w:val="left"/>
                    <w:rPr>
                      <w:rFonts w:ascii="Times New Roman" w:hAnsi="Times New Roman"/>
                      <w:szCs w:val="21"/>
                    </w:rPr>
                  </w:pPr>
                  <w:r>
                    <w:rPr>
                      <w:rFonts w:ascii="Times New Roman" w:hAnsi="Times New Roman"/>
                      <w:szCs w:val="21"/>
                    </w:rPr>
                    <w:t>新建旱厕，生活污水经化粪池（新建，6m</w:t>
                  </w:r>
                  <w:r>
                    <w:rPr>
                      <w:rFonts w:ascii="Times New Roman" w:hAnsi="Times New Roman"/>
                      <w:szCs w:val="21"/>
                      <w:vertAlign w:val="superscript"/>
                    </w:rPr>
                    <w:t>3</w:t>
                  </w:r>
                  <w:r>
                    <w:rPr>
                      <w:rFonts w:ascii="Times New Roman" w:hAnsi="Times New Roman"/>
                      <w:szCs w:val="21"/>
                    </w:rPr>
                    <w:t>）处理后，定期由吸粪车运至周边农田施肥</w:t>
                  </w:r>
                </w:p>
              </w:tc>
              <w:tc>
                <w:tcPr>
                  <w:tcW w:w="2409" w:type="dxa"/>
                  <w:vAlign w:val="center"/>
                </w:tcPr>
                <w:p>
                  <w:pPr>
                    <w:pStyle w:val="77"/>
                    <w:spacing w:line="260" w:lineRule="exact"/>
                    <w:rPr>
                      <w:rFonts w:ascii="Times New Roman" w:hAnsi="Times New Roman"/>
                      <w:szCs w:val="21"/>
                    </w:rPr>
                  </w:pPr>
                  <w:r>
                    <w:rPr>
                      <w:rFonts w:ascii="Times New Roman" w:hAnsi="Times New Roman"/>
                      <w:szCs w:val="21"/>
                    </w:rPr>
                    <w:t>一个容积6m</w:t>
                  </w:r>
                  <w:r>
                    <w:rPr>
                      <w:rFonts w:ascii="Times New Roman" w:hAnsi="Times New Roman"/>
                      <w:szCs w:val="21"/>
                      <w:vertAlign w:val="superscript"/>
                    </w:rPr>
                    <w:t>3</w:t>
                  </w:r>
                  <w:r>
                    <w:rPr>
                      <w:rFonts w:ascii="Times New Roman" w:hAnsi="Times New Roman"/>
                      <w:szCs w:val="21"/>
                    </w:rPr>
                    <w:t>的化粪池+粪污水农田施用</w:t>
                  </w:r>
                </w:p>
              </w:tc>
              <w:tc>
                <w:tcPr>
                  <w:tcW w:w="1336" w:type="dxa"/>
                  <w:vAlign w:val="center"/>
                </w:tcPr>
                <w:p>
                  <w:pPr>
                    <w:pStyle w:val="77"/>
                    <w:spacing w:line="260" w:lineRule="exact"/>
                    <w:ind w:firstLine="105" w:firstLineChars="50"/>
                    <w:jc w:val="left"/>
                    <w:rPr>
                      <w:rFonts w:ascii="Times New Roman" w:hAnsi="Times New Roman"/>
                      <w:szCs w:val="21"/>
                    </w:rPr>
                  </w:pPr>
                  <w:r>
                    <w:rPr>
                      <w:rFonts w:ascii="Times New Roman" w:hAnsi="Times New Roman"/>
                      <w:szCs w:val="21"/>
                    </w:rPr>
                    <w:t>不外排</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140" w:hRule="atLeast"/>
              </w:trPr>
              <w:tc>
                <w:tcPr>
                  <w:tcW w:w="493" w:type="dxa"/>
                  <w:vMerge w:val="continue"/>
                  <w:vAlign w:val="center"/>
                </w:tcPr>
                <w:p>
                  <w:pPr>
                    <w:pStyle w:val="77"/>
                    <w:spacing w:line="260" w:lineRule="exact"/>
                    <w:rPr>
                      <w:rFonts w:ascii="Times New Roman" w:hAnsi="Times New Roman"/>
                      <w:szCs w:val="21"/>
                    </w:rPr>
                  </w:pPr>
                </w:p>
              </w:tc>
              <w:tc>
                <w:tcPr>
                  <w:tcW w:w="652" w:type="dxa"/>
                  <w:vAlign w:val="center"/>
                </w:tcPr>
                <w:p>
                  <w:pPr>
                    <w:spacing w:line="260" w:lineRule="exact"/>
                    <w:contextualSpacing/>
                    <w:jc w:val="center"/>
                    <w:rPr>
                      <w:szCs w:val="21"/>
                    </w:rPr>
                  </w:pPr>
                  <w:r>
                    <w:rPr>
                      <w:szCs w:val="21"/>
                    </w:rPr>
                    <w:t>车辆冲洗废水</w:t>
                  </w:r>
                </w:p>
              </w:tc>
              <w:tc>
                <w:tcPr>
                  <w:tcW w:w="2953" w:type="dxa"/>
                  <w:vAlign w:val="center"/>
                </w:tcPr>
                <w:p>
                  <w:pPr>
                    <w:spacing w:line="260" w:lineRule="exact"/>
                    <w:contextualSpacing/>
                    <w:jc w:val="center"/>
                    <w:rPr>
                      <w:szCs w:val="21"/>
                    </w:rPr>
                  </w:pPr>
                  <w:r>
                    <w:rPr>
                      <w:szCs w:val="21"/>
                    </w:rPr>
                    <w:t>设置感应式车辆冲洗装置，冲洗废水经沉淀池（18m</w:t>
                  </w:r>
                  <w:r>
                    <w:rPr>
                      <w:szCs w:val="21"/>
                      <w:vertAlign w:val="superscript"/>
                    </w:rPr>
                    <w:t>3</w:t>
                  </w:r>
                  <w:r>
                    <w:rPr>
                      <w:szCs w:val="21"/>
                    </w:rPr>
                    <w:t>）沉淀处理后，回用于车辆冲洗</w:t>
                  </w:r>
                </w:p>
              </w:tc>
              <w:tc>
                <w:tcPr>
                  <w:tcW w:w="2409" w:type="dxa"/>
                  <w:vAlign w:val="center"/>
                </w:tcPr>
                <w:p>
                  <w:pPr>
                    <w:spacing w:line="260" w:lineRule="exact"/>
                    <w:contextualSpacing/>
                    <w:jc w:val="center"/>
                    <w:rPr>
                      <w:szCs w:val="21"/>
                    </w:rPr>
                  </w:pPr>
                  <w:r>
                    <w:rPr>
                      <w:szCs w:val="21"/>
                    </w:rPr>
                    <w:t>洗车装置+容积18m</w:t>
                  </w:r>
                  <w:r>
                    <w:rPr>
                      <w:szCs w:val="21"/>
                      <w:vertAlign w:val="superscript"/>
                    </w:rPr>
                    <w:t>3</w:t>
                  </w:r>
                  <w:r>
                    <w:rPr>
                      <w:szCs w:val="21"/>
                    </w:rPr>
                    <w:t>的沉淀池</w:t>
                  </w:r>
                </w:p>
              </w:tc>
              <w:tc>
                <w:tcPr>
                  <w:tcW w:w="1336" w:type="dxa"/>
                  <w:vAlign w:val="center"/>
                </w:tcPr>
                <w:p>
                  <w:pPr>
                    <w:spacing w:line="260" w:lineRule="exact"/>
                    <w:contextualSpacing/>
                    <w:jc w:val="center"/>
                    <w:rPr>
                      <w:szCs w:val="21"/>
                    </w:rPr>
                  </w:pPr>
                  <w:r>
                    <w:rPr>
                      <w:szCs w:val="21"/>
                    </w:rPr>
                    <w:t>沉淀后循环使用，</w:t>
                  </w:r>
                </w:p>
                <w:p>
                  <w:pPr>
                    <w:spacing w:line="260" w:lineRule="exact"/>
                    <w:contextualSpacing/>
                    <w:jc w:val="center"/>
                    <w:rPr>
                      <w:szCs w:val="21"/>
                    </w:rPr>
                  </w:pPr>
                  <w:r>
                    <w:rPr>
                      <w:szCs w:val="21"/>
                    </w:rPr>
                    <w:t>不外排</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716" w:hRule="atLeast"/>
              </w:trPr>
              <w:tc>
                <w:tcPr>
                  <w:tcW w:w="1145" w:type="dxa"/>
                  <w:gridSpan w:val="2"/>
                  <w:vAlign w:val="center"/>
                </w:tcPr>
                <w:p>
                  <w:pPr>
                    <w:pStyle w:val="77"/>
                    <w:spacing w:line="260" w:lineRule="exact"/>
                    <w:rPr>
                      <w:rFonts w:ascii="Times New Roman" w:hAnsi="Times New Roman"/>
                      <w:szCs w:val="21"/>
                    </w:rPr>
                  </w:pPr>
                  <w:r>
                    <w:rPr>
                      <w:rFonts w:ascii="Times New Roman" w:hAnsi="Times New Roman"/>
                      <w:szCs w:val="21"/>
                    </w:rPr>
                    <w:t>噪声</w:t>
                  </w:r>
                </w:p>
              </w:tc>
              <w:tc>
                <w:tcPr>
                  <w:tcW w:w="2953" w:type="dxa"/>
                  <w:vAlign w:val="center"/>
                </w:tcPr>
                <w:p>
                  <w:pPr>
                    <w:pStyle w:val="77"/>
                    <w:spacing w:line="260" w:lineRule="exact"/>
                    <w:rPr>
                      <w:rFonts w:ascii="Times New Roman" w:hAnsi="Times New Roman"/>
                      <w:szCs w:val="21"/>
                    </w:rPr>
                  </w:pPr>
                  <w:r>
                    <w:rPr>
                      <w:rFonts w:ascii="Times New Roman" w:hAnsi="Times New Roman"/>
                      <w:szCs w:val="21"/>
                    </w:rPr>
                    <w:t>加装减震垫，封闭在车间内，风机加装消声器</w:t>
                  </w:r>
                </w:p>
              </w:tc>
              <w:tc>
                <w:tcPr>
                  <w:tcW w:w="2409" w:type="dxa"/>
                  <w:vAlign w:val="center"/>
                </w:tcPr>
                <w:p>
                  <w:pPr>
                    <w:pStyle w:val="77"/>
                    <w:spacing w:line="260" w:lineRule="exact"/>
                    <w:rPr>
                      <w:rFonts w:ascii="Times New Roman" w:hAnsi="Times New Roman"/>
                      <w:szCs w:val="21"/>
                    </w:rPr>
                  </w:pPr>
                  <w:r>
                    <w:rPr>
                      <w:rFonts w:ascii="Times New Roman" w:hAnsi="Times New Roman"/>
                      <w:szCs w:val="21"/>
                    </w:rPr>
                    <w:t>设备加装减震垫、风机加装消声器，厂房隔声</w:t>
                  </w:r>
                </w:p>
              </w:tc>
              <w:tc>
                <w:tcPr>
                  <w:tcW w:w="1336" w:type="dxa"/>
                  <w:vAlign w:val="center"/>
                </w:tcPr>
                <w:p>
                  <w:pPr>
                    <w:pStyle w:val="77"/>
                    <w:spacing w:line="260" w:lineRule="exact"/>
                    <w:rPr>
                      <w:rFonts w:ascii="Times New Roman" w:hAnsi="Times New Roman"/>
                      <w:szCs w:val="21"/>
                    </w:rPr>
                  </w:pPr>
                  <w:r>
                    <w:rPr>
                      <w:rFonts w:ascii="Times New Roman" w:hAnsi="Times New Roman"/>
                      <w:szCs w:val="21"/>
                    </w:rPr>
                    <w:t>GB12348-2008《工业企业厂界环境噪声排放标准》2类标准</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592" w:hRule="atLeast"/>
              </w:trPr>
              <w:tc>
                <w:tcPr>
                  <w:tcW w:w="493" w:type="dxa"/>
                  <w:vMerge w:val="restart"/>
                  <w:vAlign w:val="center"/>
                </w:tcPr>
                <w:p>
                  <w:pPr>
                    <w:pStyle w:val="77"/>
                    <w:spacing w:line="260" w:lineRule="exact"/>
                    <w:rPr>
                      <w:rFonts w:ascii="Times New Roman" w:hAnsi="Times New Roman"/>
                      <w:szCs w:val="21"/>
                    </w:rPr>
                  </w:pPr>
                  <w:r>
                    <w:rPr>
                      <w:rFonts w:ascii="Times New Roman" w:hAnsi="Times New Roman"/>
                      <w:szCs w:val="21"/>
                    </w:rPr>
                    <w:t>固废</w:t>
                  </w:r>
                </w:p>
              </w:tc>
              <w:tc>
                <w:tcPr>
                  <w:tcW w:w="652" w:type="dxa"/>
                  <w:vAlign w:val="center"/>
                </w:tcPr>
                <w:p>
                  <w:pPr>
                    <w:pStyle w:val="77"/>
                    <w:spacing w:line="260" w:lineRule="exact"/>
                    <w:rPr>
                      <w:rFonts w:ascii="Times New Roman" w:hAnsi="Times New Roman"/>
                      <w:spacing w:val="-12"/>
                      <w:szCs w:val="21"/>
                    </w:rPr>
                  </w:pPr>
                  <w:r>
                    <w:rPr>
                      <w:rFonts w:ascii="Times New Roman" w:hAnsi="Times New Roman"/>
                      <w:spacing w:val="-12"/>
                      <w:szCs w:val="21"/>
                    </w:rPr>
                    <w:t>除尘粉尘</w:t>
                  </w:r>
                </w:p>
              </w:tc>
              <w:tc>
                <w:tcPr>
                  <w:tcW w:w="2953" w:type="dxa"/>
                  <w:vAlign w:val="center"/>
                </w:tcPr>
                <w:p>
                  <w:pPr>
                    <w:pStyle w:val="77"/>
                    <w:spacing w:line="260" w:lineRule="exact"/>
                    <w:rPr>
                      <w:rFonts w:ascii="Times New Roman" w:hAnsi="Times New Roman"/>
                      <w:szCs w:val="21"/>
                    </w:rPr>
                  </w:pPr>
                  <w:r>
                    <w:rPr>
                      <w:rFonts w:ascii="Times New Roman" w:hAnsi="Times New Roman"/>
                      <w:szCs w:val="21"/>
                    </w:rPr>
                    <w:t>收集后回用生产</w:t>
                  </w:r>
                </w:p>
              </w:tc>
              <w:tc>
                <w:tcPr>
                  <w:tcW w:w="2409" w:type="dxa"/>
                  <w:vAlign w:val="center"/>
                </w:tcPr>
                <w:p>
                  <w:pPr>
                    <w:pStyle w:val="77"/>
                    <w:spacing w:line="260" w:lineRule="exact"/>
                    <w:rPr>
                      <w:rFonts w:ascii="Times New Roman" w:hAnsi="Times New Roman"/>
                      <w:szCs w:val="21"/>
                    </w:rPr>
                  </w:pPr>
                  <w:r>
                    <w:rPr>
                      <w:rFonts w:ascii="Times New Roman" w:hAnsi="Times New Roman"/>
                      <w:szCs w:val="21"/>
                    </w:rPr>
                    <w:t>收集后回用生产</w:t>
                  </w:r>
                </w:p>
              </w:tc>
              <w:tc>
                <w:tcPr>
                  <w:tcW w:w="1336" w:type="dxa"/>
                  <w:vMerge w:val="restart"/>
                  <w:vAlign w:val="center"/>
                </w:tcPr>
                <w:p>
                  <w:pPr>
                    <w:pStyle w:val="77"/>
                    <w:spacing w:line="260" w:lineRule="exact"/>
                    <w:rPr>
                      <w:rFonts w:ascii="Times New Roman" w:hAnsi="Times New Roman"/>
                      <w:szCs w:val="21"/>
                    </w:rPr>
                  </w:pPr>
                  <w:r>
                    <w:rPr>
                      <w:rFonts w:ascii="Times New Roman" w:hAnsi="Times New Roman"/>
                      <w:szCs w:val="21"/>
                    </w:rPr>
                    <w:t>《一般工业固体废物贮存和填埋污染控制标准》（GB18599-2020）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592" w:hRule="atLeast"/>
              </w:trPr>
              <w:tc>
                <w:tcPr>
                  <w:tcW w:w="493" w:type="dxa"/>
                  <w:vMerge w:val="continue"/>
                  <w:vAlign w:val="center"/>
                </w:tcPr>
                <w:p>
                  <w:pPr>
                    <w:pStyle w:val="77"/>
                    <w:spacing w:line="260" w:lineRule="exact"/>
                    <w:rPr>
                      <w:rFonts w:ascii="Times New Roman" w:hAnsi="Times New Roman"/>
                      <w:szCs w:val="21"/>
                    </w:rPr>
                  </w:pPr>
                </w:p>
              </w:tc>
              <w:tc>
                <w:tcPr>
                  <w:tcW w:w="652" w:type="dxa"/>
                  <w:vAlign w:val="center"/>
                </w:tcPr>
                <w:p>
                  <w:pPr>
                    <w:pStyle w:val="77"/>
                    <w:spacing w:line="260" w:lineRule="exact"/>
                    <w:rPr>
                      <w:rFonts w:ascii="Times New Roman" w:hAnsi="Times New Roman"/>
                      <w:spacing w:val="-12"/>
                      <w:szCs w:val="21"/>
                    </w:rPr>
                  </w:pPr>
                  <w:r>
                    <w:rPr>
                      <w:rFonts w:hint="eastAsia" w:ascii="宋体" w:hAnsi="宋体" w:cs="宋体"/>
                      <w:spacing w:val="-12"/>
                      <w:szCs w:val="21"/>
                    </w:rPr>
                    <w:t>沉淀池</w:t>
                  </w:r>
                  <w:r>
                    <w:rPr>
                      <w:rFonts w:ascii="宋体" w:hAnsi="宋体" w:cs="宋体"/>
                      <w:spacing w:val="-12"/>
                      <w:szCs w:val="21"/>
                    </w:rPr>
                    <w:t>沉渣</w:t>
                  </w:r>
                </w:p>
              </w:tc>
              <w:tc>
                <w:tcPr>
                  <w:tcW w:w="2953" w:type="dxa"/>
                  <w:vAlign w:val="center"/>
                </w:tcPr>
                <w:p>
                  <w:pPr>
                    <w:pStyle w:val="77"/>
                    <w:spacing w:line="260" w:lineRule="exact"/>
                    <w:rPr>
                      <w:rFonts w:ascii="Times New Roman" w:hAnsi="Times New Roman"/>
                      <w:szCs w:val="21"/>
                    </w:rPr>
                  </w:pPr>
                  <w:r>
                    <w:rPr>
                      <w:rFonts w:hint="eastAsia" w:ascii="宋体" w:hAnsi="宋体" w:cs="宋体"/>
                      <w:szCs w:val="21"/>
                    </w:rPr>
                    <w:t>清掏</w:t>
                  </w:r>
                  <w:r>
                    <w:rPr>
                      <w:rFonts w:ascii="宋体" w:hAnsi="宋体" w:cs="宋体"/>
                      <w:szCs w:val="21"/>
                    </w:rPr>
                    <w:t>后</w:t>
                  </w:r>
                  <w:r>
                    <w:rPr>
                      <w:rFonts w:hint="eastAsia" w:ascii="宋体" w:hAnsi="宋体" w:cs="宋体"/>
                      <w:szCs w:val="21"/>
                    </w:rPr>
                    <w:t>可</w:t>
                  </w:r>
                  <w:r>
                    <w:rPr>
                      <w:rFonts w:ascii="宋体" w:hAnsi="宋体" w:cs="宋体"/>
                      <w:szCs w:val="21"/>
                    </w:rPr>
                    <w:t>作为绿化用土</w:t>
                  </w:r>
                </w:p>
              </w:tc>
              <w:tc>
                <w:tcPr>
                  <w:tcW w:w="2409" w:type="dxa"/>
                  <w:vAlign w:val="center"/>
                </w:tcPr>
                <w:p>
                  <w:pPr>
                    <w:pStyle w:val="77"/>
                    <w:spacing w:line="260" w:lineRule="exact"/>
                    <w:rPr>
                      <w:rFonts w:ascii="Times New Roman" w:hAnsi="Times New Roman"/>
                      <w:szCs w:val="21"/>
                    </w:rPr>
                  </w:pPr>
                  <w:r>
                    <w:rPr>
                      <w:rFonts w:hint="eastAsia" w:ascii="Times New Roman" w:hAnsi="Times New Roman"/>
                      <w:szCs w:val="21"/>
                    </w:rPr>
                    <w:t>综合</w:t>
                  </w:r>
                  <w:r>
                    <w:rPr>
                      <w:rFonts w:ascii="Times New Roman" w:hAnsi="Times New Roman"/>
                      <w:szCs w:val="21"/>
                    </w:rPr>
                    <w:t>利用</w:t>
                  </w:r>
                </w:p>
              </w:tc>
              <w:tc>
                <w:tcPr>
                  <w:tcW w:w="1336" w:type="dxa"/>
                  <w:vMerge w:val="continue"/>
                  <w:vAlign w:val="center"/>
                </w:tcPr>
                <w:p>
                  <w:pPr>
                    <w:pStyle w:val="77"/>
                    <w:spacing w:line="260" w:lineRule="exact"/>
                    <w:rPr>
                      <w:rFonts w:ascii="Times New Roman" w:hAnsi="Times New Roman"/>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140" w:hRule="atLeast"/>
              </w:trPr>
              <w:tc>
                <w:tcPr>
                  <w:tcW w:w="493" w:type="dxa"/>
                  <w:vMerge w:val="continue"/>
                  <w:vAlign w:val="center"/>
                </w:tcPr>
                <w:p>
                  <w:pPr>
                    <w:pStyle w:val="77"/>
                    <w:spacing w:line="260" w:lineRule="exact"/>
                    <w:rPr>
                      <w:rFonts w:ascii="Times New Roman" w:hAnsi="Times New Roman"/>
                      <w:szCs w:val="21"/>
                    </w:rPr>
                  </w:pPr>
                </w:p>
              </w:tc>
              <w:tc>
                <w:tcPr>
                  <w:tcW w:w="652" w:type="dxa"/>
                  <w:vAlign w:val="center"/>
                </w:tcPr>
                <w:p>
                  <w:pPr>
                    <w:pStyle w:val="77"/>
                    <w:spacing w:line="260" w:lineRule="exact"/>
                    <w:rPr>
                      <w:rFonts w:ascii="Times New Roman" w:hAnsi="Times New Roman"/>
                      <w:spacing w:val="-12"/>
                      <w:szCs w:val="21"/>
                    </w:rPr>
                  </w:pPr>
                  <w:r>
                    <w:rPr>
                      <w:rFonts w:ascii="Times New Roman" w:hAnsi="Times New Roman"/>
                      <w:spacing w:val="-12"/>
                      <w:szCs w:val="21"/>
                    </w:rPr>
                    <w:t>生活垃圾</w:t>
                  </w:r>
                </w:p>
              </w:tc>
              <w:tc>
                <w:tcPr>
                  <w:tcW w:w="2953" w:type="dxa"/>
                  <w:vAlign w:val="center"/>
                </w:tcPr>
                <w:p>
                  <w:pPr>
                    <w:pStyle w:val="77"/>
                    <w:spacing w:line="260" w:lineRule="exact"/>
                    <w:rPr>
                      <w:rFonts w:ascii="Times New Roman" w:hAnsi="Times New Roman"/>
                      <w:szCs w:val="21"/>
                    </w:rPr>
                  </w:pPr>
                  <w:r>
                    <w:rPr>
                      <w:rFonts w:ascii="Times New Roman" w:hAnsi="Times New Roman"/>
                      <w:szCs w:val="21"/>
                    </w:rPr>
                    <w:t>收集后定期交由环卫部门处理</w:t>
                  </w:r>
                </w:p>
              </w:tc>
              <w:tc>
                <w:tcPr>
                  <w:tcW w:w="2409" w:type="dxa"/>
                  <w:vAlign w:val="center"/>
                </w:tcPr>
                <w:p>
                  <w:pPr>
                    <w:pStyle w:val="77"/>
                    <w:spacing w:line="260" w:lineRule="exact"/>
                    <w:rPr>
                      <w:rFonts w:ascii="Times New Roman" w:hAnsi="Times New Roman"/>
                      <w:szCs w:val="21"/>
                    </w:rPr>
                  </w:pPr>
                  <w:r>
                    <w:rPr>
                      <w:rFonts w:ascii="Times New Roman" w:hAnsi="Times New Roman"/>
                      <w:szCs w:val="21"/>
                    </w:rPr>
                    <w:t>垃圾桶</w:t>
                  </w:r>
                </w:p>
              </w:tc>
              <w:tc>
                <w:tcPr>
                  <w:tcW w:w="1336" w:type="dxa"/>
                  <w:vMerge w:val="continue"/>
                  <w:vAlign w:val="center"/>
                </w:tcPr>
                <w:p>
                  <w:pPr>
                    <w:pStyle w:val="77"/>
                    <w:spacing w:line="260" w:lineRule="exact"/>
                    <w:rPr>
                      <w:rFonts w:ascii="Times New Roman" w:hAnsi="Times New Roman"/>
                      <w:szCs w:val="21"/>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140" w:hRule="atLeast"/>
              </w:trPr>
              <w:tc>
                <w:tcPr>
                  <w:tcW w:w="493" w:type="dxa"/>
                  <w:vMerge w:val="continue"/>
                  <w:vAlign w:val="center"/>
                </w:tcPr>
                <w:p>
                  <w:pPr>
                    <w:pStyle w:val="77"/>
                    <w:spacing w:line="260" w:lineRule="exact"/>
                    <w:rPr>
                      <w:rFonts w:ascii="Times New Roman" w:hAnsi="Times New Roman"/>
                      <w:szCs w:val="21"/>
                    </w:rPr>
                  </w:pPr>
                </w:p>
              </w:tc>
              <w:tc>
                <w:tcPr>
                  <w:tcW w:w="652" w:type="dxa"/>
                  <w:vAlign w:val="center"/>
                </w:tcPr>
                <w:p>
                  <w:pPr>
                    <w:spacing w:line="260" w:lineRule="exact"/>
                    <w:jc w:val="center"/>
                    <w:rPr>
                      <w:szCs w:val="21"/>
                    </w:rPr>
                  </w:pPr>
                  <w:r>
                    <w:rPr>
                      <w:szCs w:val="21"/>
                    </w:rPr>
                    <w:t>废润滑油</w:t>
                  </w:r>
                </w:p>
              </w:tc>
              <w:tc>
                <w:tcPr>
                  <w:tcW w:w="2953" w:type="dxa"/>
                  <w:vAlign w:val="center"/>
                </w:tcPr>
                <w:p>
                  <w:pPr>
                    <w:widowControl/>
                    <w:spacing w:line="260" w:lineRule="exact"/>
                    <w:jc w:val="left"/>
                    <w:rPr>
                      <w:szCs w:val="21"/>
                    </w:rPr>
                  </w:pPr>
                  <w:r>
                    <w:rPr>
                      <w:rFonts w:hint="eastAsia"/>
                      <w:bCs/>
                      <w:szCs w:val="21"/>
                    </w:rPr>
                    <w:t>装入</w:t>
                  </w:r>
                  <w:r>
                    <w:rPr>
                      <w:bCs/>
                      <w:szCs w:val="21"/>
                    </w:rPr>
                    <w:t>密闭</w:t>
                  </w:r>
                  <w:r>
                    <w:rPr>
                      <w:rFonts w:hint="eastAsia"/>
                      <w:bCs/>
                      <w:szCs w:val="21"/>
                    </w:rPr>
                    <w:t>容器</w:t>
                  </w:r>
                  <w:r>
                    <w:rPr>
                      <w:bCs/>
                      <w:szCs w:val="21"/>
                    </w:rPr>
                    <w:t>，并设置防渗漏底座，之后</w:t>
                  </w:r>
                  <w:r>
                    <w:rPr>
                      <w:rFonts w:hint="eastAsia"/>
                      <w:bCs/>
                      <w:szCs w:val="21"/>
                    </w:rPr>
                    <w:t>在</w:t>
                  </w:r>
                  <w:r>
                    <w:rPr>
                      <w:bCs/>
                      <w:szCs w:val="21"/>
                    </w:rPr>
                    <w:t>厂内危险废物暂存间暂存后（6m</w:t>
                  </w:r>
                  <w:r>
                    <w:rPr>
                      <w:bCs/>
                      <w:szCs w:val="21"/>
                      <w:vertAlign w:val="superscript"/>
                    </w:rPr>
                    <w:t>2</w:t>
                  </w:r>
                  <w:r>
                    <w:rPr>
                      <w:bCs/>
                      <w:szCs w:val="21"/>
                    </w:rPr>
                    <w:t>），定期交有资质的危险废物处置单位处理</w:t>
                  </w:r>
                </w:p>
              </w:tc>
              <w:tc>
                <w:tcPr>
                  <w:tcW w:w="2409" w:type="dxa"/>
                  <w:vAlign w:val="center"/>
                </w:tcPr>
                <w:p>
                  <w:pPr>
                    <w:pStyle w:val="77"/>
                    <w:spacing w:line="260" w:lineRule="exact"/>
                    <w:rPr>
                      <w:rFonts w:ascii="Times New Roman" w:hAnsi="Times New Roman"/>
                      <w:spacing w:val="-12"/>
                      <w:szCs w:val="21"/>
                    </w:rPr>
                  </w:pPr>
                  <w:r>
                    <w:rPr>
                      <w:rFonts w:hint="eastAsia" w:ascii="Times New Roman" w:hAnsi="Times New Roman"/>
                      <w:bCs/>
                      <w:spacing w:val="-12"/>
                      <w:szCs w:val="21"/>
                    </w:rPr>
                    <w:t>密闭</w:t>
                  </w:r>
                  <w:r>
                    <w:rPr>
                      <w:rFonts w:ascii="Times New Roman" w:hAnsi="Times New Roman"/>
                      <w:bCs/>
                      <w:spacing w:val="-12"/>
                      <w:szCs w:val="21"/>
                    </w:rPr>
                    <w:t>容器+防渗漏底座+危险废物暂存间（6m</w:t>
                  </w:r>
                  <w:r>
                    <w:rPr>
                      <w:rFonts w:ascii="Times New Roman" w:hAnsi="Times New Roman"/>
                      <w:bCs/>
                      <w:spacing w:val="-12"/>
                      <w:szCs w:val="21"/>
                      <w:vertAlign w:val="superscript"/>
                    </w:rPr>
                    <w:t>2</w:t>
                  </w:r>
                  <w:r>
                    <w:rPr>
                      <w:rFonts w:ascii="Times New Roman" w:hAnsi="Times New Roman"/>
                      <w:bCs/>
                      <w:spacing w:val="-12"/>
                      <w:szCs w:val="21"/>
                    </w:rPr>
                    <w:t>）+危废标识</w:t>
                  </w:r>
                </w:p>
              </w:tc>
              <w:tc>
                <w:tcPr>
                  <w:tcW w:w="1336" w:type="dxa"/>
                  <w:vAlign w:val="center"/>
                </w:tcPr>
                <w:p>
                  <w:pPr>
                    <w:pStyle w:val="77"/>
                    <w:spacing w:line="260" w:lineRule="exact"/>
                    <w:rPr>
                      <w:rFonts w:ascii="Times New Roman" w:hAnsi="Times New Roman"/>
                      <w:szCs w:val="21"/>
                    </w:rPr>
                  </w:pPr>
                  <w:r>
                    <w:rPr>
                      <w:rFonts w:ascii="Times New Roman" w:hAnsi="Times New Roman"/>
                      <w:szCs w:val="21"/>
                    </w:rPr>
                    <w:t>GB18597-2001《危险废物贮存污染控制标准》及2013年修改单</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rPr>
                <w:trHeight w:val="140" w:hRule="atLeast"/>
              </w:trPr>
              <w:tc>
                <w:tcPr>
                  <w:tcW w:w="1145" w:type="dxa"/>
                  <w:gridSpan w:val="2"/>
                  <w:vAlign w:val="center"/>
                </w:tcPr>
                <w:p>
                  <w:pPr>
                    <w:spacing w:line="260" w:lineRule="exact"/>
                    <w:jc w:val="center"/>
                    <w:rPr>
                      <w:szCs w:val="21"/>
                    </w:rPr>
                  </w:pPr>
                  <w:r>
                    <w:rPr>
                      <w:szCs w:val="21"/>
                    </w:rPr>
                    <w:t>运输车辆</w:t>
                  </w:r>
                </w:p>
              </w:tc>
              <w:tc>
                <w:tcPr>
                  <w:tcW w:w="2953" w:type="dxa"/>
                  <w:vAlign w:val="center"/>
                </w:tcPr>
                <w:p>
                  <w:pPr>
                    <w:spacing w:line="260" w:lineRule="exact"/>
                  </w:pPr>
                  <w:r>
                    <w:rPr>
                      <w:bCs/>
                      <w:szCs w:val="21"/>
                    </w:rPr>
                    <w:t>厂内运输车辆达到国五及以上排放标准</w:t>
                  </w:r>
                </w:p>
              </w:tc>
              <w:tc>
                <w:tcPr>
                  <w:tcW w:w="2409" w:type="dxa"/>
                  <w:vAlign w:val="center"/>
                </w:tcPr>
                <w:p>
                  <w:pPr>
                    <w:spacing w:line="260" w:lineRule="exact"/>
                  </w:pPr>
                  <w:r>
                    <w:rPr>
                      <w:bCs/>
                      <w:szCs w:val="21"/>
                    </w:rPr>
                    <w:t>厂内运输车辆达到国五及以上排放标准</w:t>
                  </w:r>
                </w:p>
              </w:tc>
              <w:tc>
                <w:tcPr>
                  <w:tcW w:w="1336" w:type="dxa"/>
                  <w:vAlign w:val="center"/>
                </w:tcPr>
                <w:p>
                  <w:pPr>
                    <w:pStyle w:val="77"/>
                    <w:spacing w:line="260" w:lineRule="exact"/>
                    <w:rPr>
                      <w:rFonts w:ascii="Times New Roman" w:hAnsi="Times New Roman"/>
                      <w:szCs w:val="21"/>
                    </w:rPr>
                  </w:pPr>
                  <w:r>
                    <w:rPr>
                      <w:rFonts w:ascii="Times New Roman" w:hAnsi="Times New Roman"/>
                      <w:szCs w:val="21"/>
                    </w:rPr>
                    <w:t>/</w:t>
                  </w:r>
                </w:p>
              </w:tc>
            </w:tr>
          </w:tbl>
          <w:p>
            <w:pPr>
              <w:autoSpaceDE w:val="0"/>
              <w:autoSpaceDN w:val="0"/>
              <w:adjustRightInd w:val="0"/>
              <w:snapToGrid w:val="0"/>
              <w:spacing w:line="40" w:lineRule="atLeast"/>
              <w:jc w:val="left"/>
              <w:rPr>
                <w:sz w:val="24"/>
              </w:rPr>
            </w:pPr>
          </w:p>
        </w:tc>
      </w:tr>
    </w:tbl>
    <w:p>
      <w:pPr>
        <w:adjustRightInd w:val="0"/>
        <w:snapToGrid w:val="0"/>
        <w:spacing w:line="360" w:lineRule="auto"/>
        <w:rPr>
          <w:rFonts w:cs="宋体"/>
          <w:b/>
          <w:kern w:val="0"/>
          <w:sz w:val="28"/>
          <w:szCs w:val="28"/>
        </w:rPr>
        <w:sectPr>
          <w:pgSz w:w="11907" w:h="16840"/>
          <w:pgMar w:top="1701" w:right="1531" w:bottom="2127" w:left="1531" w:header="851" w:footer="851" w:gutter="0"/>
          <w:cols w:space="720" w:num="1"/>
          <w:docGrid w:linePitch="312" w:charSpace="0"/>
        </w:sectPr>
      </w:pPr>
    </w:p>
    <w:p>
      <w:pPr>
        <w:pStyle w:val="18"/>
        <w:jc w:val="center"/>
        <w:outlineLvl w:val="0"/>
        <w:rPr>
          <w:rFonts w:ascii="Times New Roman" w:hAnsi="Times New Roman"/>
          <w:b/>
          <w:bCs/>
          <w:snapToGrid w:val="0"/>
          <w:sz w:val="30"/>
          <w:szCs w:val="30"/>
        </w:rPr>
      </w:pPr>
      <w:r>
        <w:rPr>
          <w:rFonts w:hint="eastAsia" w:ascii="Times New Roman" w:hAnsi="Times New Roman"/>
          <w:b/>
          <w:bCs/>
          <w:snapToGrid w:val="0"/>
          <w:sz w:val="30"/>
          <w:szCs w:val="30"/>
        </w:rPr>
        <w:t>五、</w:t>
      </w:r>
      <w:bookmarkStart w:id="4" w:name="_Hlk54167917"/>
      <w:r>
        <w:rPr>
          <w:rFonts w:hint="eastAsia" w:ascii="Times New Roman" w:hAnsi="Times New Roman"/>
          <w:b/>
          <w:bCs/>
          <w:snapToGrid w:val="0"/>
          <w:sz w:val="30"/>
          <w:szCs w:val="30"/>
        </w:rPr>
        <w:t>环境保护措施监督检查清单</w:t>
      </w:r>
      <w:bookmarkEnd w:id="4"/>
    </w:p>
    <w:tbl>
      <w:tblPr>
        <w:tblStyle w:val="22"/>
        <w:tblW w:w="890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11" w:type="dxa"/>
          <w:left w:w="28" w:type="dxa"/>
          <w:bottom w:w="11" w:type="dxa"/>
          <w:right w:w="28" w:type="dxa"/>
        </w:tblCellMar>
      </w:tblPr>
      <w:tblGrid>
        <w:gridCol w:w="1026"/>
        <w:gridCol w:w="1387"/>
        <w:gridCol w:w="739"/>
        <w:gridCol w:w="4068"/>
        <w:gridCol w:w="168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11" w:type="dxa"/>
            <w:left w:w="28" w:type="dxa"/>
            <w:bottom w:w="11" w:type="dxa"/>
            <w:right w:w="28" w:type="dxa"/>
          </w:tblCellMar>
        </w:tblPrEx>
        <w:trPr>
          <w:trHeight w:val="410" w:hRule="atLeast"/>
          <w:jc w:val="center"/>
        </w:trPr>
        <w:tc>
          <w:tcPr>
            <w:tcW w:w="1026" w:type="dxa"/>
            <w:tcBorders>
              <w:tl2br w:val="single" w:color="auto" w:sz="4" w:space="0"/>
            </w:tcBorders>
            <w:tcMar>
              <w:top w:w="40" w:type="dxa"/>
              <w:bottom w:w="40" w:type="dxa"/>
            </w:tcMar>
          </w:tcPr>
          <w:p>
            <w:pPr>
              <w:adjustRightInd w:val="0"/>
              <w:snapToGrid w:val="0"/>
              <w:spacing w:line="260" w:lineRule="exact"/>
              <w:jc w:val="right"/>
              <w:rPr>
                <w:rFonts w:ascii="宋体" w:hAnsi="宋体" w:cs="宋体"/>
                <w:szCs w:val="21"/>
              </w:rPr>
            </w:pPr>
            <w:r>
              <w:rPr>
                <w:rFonts w:hint="eastAsia" w:ascii="宋体" w:hAnsi="宋体" w:cs="宋体"/>
                <w:szCs w:val="21"/>
              </w:rPr>
              <w:t>内容</w:t>
            </w:r>
          </w:p>
          <w:p>
            <w:pPr>
              <w:adjustRightInd w:val="0"/>
              <w:snapToGrid w:val="0"/>
              <w:spacing w:line="260" w:lineRule="exact"/>
              <w:rPr>
                <w:rFonts w:ascii="宋体" w:hAnsi="宋体" w:cs="宋体"/>
                <w:szCs w:val="21"/>
              </w:rPr>
            </w:pPr>
            <w:r>
              <w:rPr>
                <w:rFonts w:hint="eastAsia" w:ascii="宋体" w:hAnsi="宋体" w:cs="宋体"/>
                <w:szCs w:val="21"/>
              </w:rPr>
              <w:t>要素</w:t>
            </w:r>
          </w:p>
        </w:tc>
        <w:tc>
          <w:tcPr>
            <w:tcW w:w="1387" w:type="dxa"/>
            <w:tcMar>
              <w:top w:w="40" w:type="dxa"/>
              <w:bottom w:w="40" w:type="dxa"/>
            </w:tcMar>
            <w:vAlign w:val="center"/>
          </w:tcPr>
          <w:p>
            <w:pPr>
              <w:adjustRightInd w:val="0"/>
              <w:snapToGrid w:val="0"/>
              <w:spacing w:line="260" w:lineRule="exact"/>
              <w:jc w:val="center"/>
              <w:rPr>
                <w:rFonts w:ascii="宋体" w:hAnsi="宋体" w:cs="宋体"/>
                <w:szCs w:val="21"/>
              </w:rPr>
            </w:pPr>
            <w:r>
              <w:rPr>
                <w:rFonts w:hint="eastAsia" w:ascii="宋体" w:hAnsi="宋体" w:cs="宋体"/>
                <w:szCs w:val="21"/>
              </w:rPr>
              <w:t>排放口(编号、名称)/污染源</w:t>
            </w:r>
          </w:p>
        </w:tc>
        <w:tc>
          <w:tcPr>
            <w:tcW w:w="739" w:type="dxa"/>
            <w:tcMar>
              <w:top w:w="40" w:type="dxa"/>
              <w:bottom w:w="40" w:type="dxa"/>
            </w:tcMar>
            <w:vAlign w:val="center"/>
          </w:tcPr>
          <w:p>
            <w:pPr>
              <w:adjustRightInd w:val="0"/>
              <w:snapToGrid w:val="0"/>
              <w:spacing w:line="260" w:lineRule="exact"/>
              <w:jc w:val="center"/>
              <w:rPr>
                <w:rFonts w:ascii="宋体" w:hAnsi="宋体" w:cs="宋体"/>
                <w:szCs w:val="21"/>
              </w:rPr>
            </w:pPr>
            <w:r>
              <w:rPr>
                <w:rFonts w:hint="eastAsia" w:ascii="宋体" w:hAnsi="宋体" w:cs="宋体"/>
                <w:szCs w:val="21"/>
              </w:rPr>
              <w:t>污染物项目</w:t>
            </w:r>
          </w:p>
        </w:tc>
        <w:tc>
          <w:tcPr>
            <w:tcW w:w="4068" w:type="dxa"/>
            <w:tcMar>
              <w:top w:w="40" w:type="dxa"/>
              <w:bottom w:w="40" w:type="dxa"/>
            </w:tcMar>
            <w:vAlign w:val="center"/>
          </w:tcPr>
          <w:p>
            <w:pPr>
              <w:adjustRightInd w:val="0"/>
              <w:snapToGrid w:val="0"/>
              <w:spacing w:line="260" w:lineRule="exact"/>
              <w:jc w:val="center"/>
              <w:rPr>
                <w:rFonts w:ascii="宋体" w:hAnsi="宋体" w:cs="宋体"/>
                <w:szCs w:val="21"/>
              </w:rPr>
            </w:pPr>
            <w:r>
              <w:rPr>
                <w:rFonts w:hint="eastAsia" w:ascii="宋体" w:hAnsi="宋体" w:cs="宋体"/>
                <w:szCs w:val="21"/>
              </w:rPr>
              <w:t>环境保护措施</w:t>
            </w:r>
          </w:p>
        </w:tc>
        <w:tc>
          <w:tcPr>
            <w:tcW w:w="1689" w:type="dxa"/>
            <w:tcMar>
              <w:top w:w="40" w:type="dxa"/>
              <w:bottom w:w="40" w:type="dxa"/>
            </w:tcMar>
            <w:vAlign w:val="center"/>
          </w:tcPr>
          <w:p>
            <w:pPr>
              <w:adjustRightInd w:val="0"/>
              <w:snapToGrid w:val="0"/>
              <w:spacing w:line="260" w:lineRule="exact"/>
              <w:jc w:val="center"/>
              <w:rPr>
                <w:rFonts w:ascii="宋体" w:hAnsi="宋体" w:cs="宋体"/>
                <w:szCs w:val="21"/>
              </w:rPr>
            </w:pPr>
            <w:r>
              <w:rPr>
                <w:rFonts w:hint="eastAsia" w:ascii="宋体" w:hAnsi="宋体" w:cs="宋体"/>
                <w:szCs w:val="21"/>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11" w:type="dxa"/>
            <w:left w:w="28" w:type="dxa"/>
            <w:bottom w:w="11" w:type="dxa"/>
            <w:right w:w="28" w:type="dxa"/>
          </w:tblCellMar>
        </w:tblPrEx>
        <w:trPr>
          <w:trHeight w:val="425" w:hRule="atLeast"/>
          <w:jc w:val="center"/>
        </w:trPr>
        <w:tc>
          <w:tcPr>
            <w:tcW w:w="1026" w:type="dxa"/>
            <w:vMerge w:val="restart"/>
            <w:tcMar>
              <w:top w:w="40" w:type="dxa"/>
              <w:bottom w:w="40" w:type="dxa"/>
            </w:tcMar>
            <w:vAlign w:val="center"/>
          </w:tcPr>
          <w:p>
            <w:pPr>
              <w:adjustRightInd w:val="0"/>
              <w:snapToGrid w:val="0"/>
              <w:spacing w:line="260" w:lineRule="exact"/>
              <w:jc w:val="center"/>
              <w:rPr>
                <w:rFonts w:ascii="宋体" w:hAnsi="宋体" w:cs="宋体"/>
                <w:szCs w:val="21"/>
              </w:rPr>
            </w:pPr>
            <w:r>
              <w:rPr>
                <w:rFonts w:hint="eastAsia" w:ascii="宋体" w:hAnsi="宋体" w:cs="宋体"/>
                <w:szCs w:val="21"/>
              </w:rPr>
              <w:t>大气环境</w:t>
            </w:r>
          </w:p>
        </w:tc>
        <w:tc>
          <w:tcPr>
            <w:tcW w:w="1387" w:type="dxa"/>
            <w:tcMar>
              <w:top w:w="40" w:type="dxa"/>
              <w:bottom w:w="40" w:type="dxa"/>
            </w:tcMar>
            <w:vAlign w:val="center"/>
          </w:tcPr>
          <w:p>
            <w:pPr>
              <w:spacing w:line="260" w:lineRule="exact"/>
              <w:contextualSpacing/>
              <w:jc w:val="center"/>
              <w:rPr>
                <w:rFonts w:cs="宋体"/>
                <w:szCs w:val="21"/>
              </w:rPr>
            </w:pPr>
            <w:r>
              <w:rPr>
                <w:rFonts w:hint="eastAsia" w:cs="宋体"/>
                <w:szCs w:val="21"/>
              </w:rPr>
              <w:t>原料库（DA001）</w:t>
            </w:r>
          </w:p>
        </w:tc>
        <w:tc>
          <w:tcPr>
            <w:tcW w:w="739" w:type="dxa"/>
            <w:tcMar>
              <w:top w:w="40" w:type="dxa"/>
              <w:bottom w:w="40" w:type="dxa"/>
            </w:tcMar>
            <w:vAlign w:val="center"/>
          </w:tcPr>
          <w:p>
            <w:pPr>
              <w:adjustRightInd w:val="0"/>
              <w:snapToGrid w:val="0"/>
              <w:spacing w:line="260" w:lineRule="exact"/>
              <w:jc w:val="center"/>
              <w:rPr>
                <w:szCs w:val="21"/>
              </w:rPr>
            </w:pPr>
            <w:r>
              <w:rPr>
                <w:szCs w:val="21"/>
              </w:rPr>
              <w:t>颗粒物</w:t>
            </w:r>
          </w:p>
        </w:tc>
        <w:tc>
          <w:tcPr>
            <w:tcW w:w="4068" w:type="dxa"/>
            <w:tcMar>
              <w:top w:w="40" w:type="dxa"/>
              <w:bottom w:w="40" w:type="dxa"/>
            </w:tcMar>
            <w:vAlign w:val="center"/>
          </w:tcPr>
          <w:p>
            <w:pPr>
              <w:snapToGrid w:val="0"/>
              <w:spacing w:line="260" w:lineRule="exact"/>
              <w:jc w:val="left"/>
              <w:rPr>
                <w:snapToGrid w:val="0"/>
                <w:kern w:val="0"/>
                <w:szCs w:val="21"/>
              </w:rPr>
            </w:pPr>
            <w:r>
              <w:rPr>
                <w:snapToGrid w:val="0"/>
                <w:kern w:val="0"/>
                <w:szCs w:val="21"/>
              </w:rPr>
              <w:t>仓顶1套脉冲袋式除尘器（1#）</w:t>
            </w:r>
            <w:r>
              <w:rPr>
                <w:szCs w:val="21"/>
              </w:rPr>
              <w:t>+</w:t>
            </w:r>
            <w:r>
              <w:rPr>
                <w:rFonts w:cs="宋体"/>
              </w:rPr>
              <w:t>仓顶排气筒（排气口高度19m</w:t>
            </w:r>
            <w:r>
              <w:rPr>
                <w:rFonts w:hint="eastAsia" w:cs="宋体"/>
              </w:rPr>
              <w:t>）</w:t>
            </w:r>
          </w:p>
        </w:tc>
        <w:tc>
          <w:tcPr>
            <w:tcW w:w="1689" w:type="dxa"/>
            <w:vMerge w:val="restart"/>
            <w:tcMar>
              <w:top w:w="40" w:type="dxa"/>
              <w:bottom w:w="40" w:type="dxa"/>
            </w:tcMar>
            <w:vAlign w:val="center"/>
          </w:tcPr>
          <w:p>
            <w:pPr>
              <w:adjustRightInd w:val="0"/>
              <w:snapToGrid w:val="0"/>
              <w:spacing w:line="260" w:lineRule="exact"/>
              <w:jc w:val="center"/>
              <w:rPr>
                <w:rFonts w:ascii="宋体" w:hAnsi="宋体" w:cs="宋体"/>
                <w:szCs w:val="21"/>
              </w:rPr>
            </w:pPr>
            <w:r>
              <w:rPr>
                <w:rFonts w:hint="eastAsia"/>
                <w:kern w:val="0"/>
                <w:szCs w:val="21"/>
              </w:rPr>
              <w:t>GB16297-1996《大气污染物综合排放标准》表2二级标准</w:t>
            </w:r>
            <w:r>
              <w:rPr>
                <w:rFonts w:hint="eastAsia"/>
                <w:szCs w:val="21"/>
              </w:rPr>
              <w:t>以及《河南省重</w:t>
            </w:r>
            <w:r>
              <w:rPr>
                <w:szCs w:val="21"/>
              </w:rPr>
              <w:t>污染天气通用行业应急减排措施制定技术指南</w:t>
            </w:r>
            <w:r>
              <w:rPr>
                <w:rFonts w:hint="eastAsia"/>
                <w:szCs w:val="21"/>
              </w:rPr>
              <w:t>（2021年修订稿）》附录2其他</w:t>
            </w:r>
            <w:r>
              <w:rPr>
                <w:szCs w:val="21"/>
              </w:rPr>
              <w:t>工序PM排放</w:t>
            </w:r>
            <w:r>
              <w:rPr>
                <w:rFonts w:hint="eastAsia"/>
                <w:szCs w:val="21"/>
              </w:rPr>
              <w:t>浓度</w:t>
            </w:r>
            <w:r>
              <w:rPr>
                <w:szCs w:val="21"/>
              </w:rPr>
              <w:t>不高于</w:t>
            </w:r>
            <w:r>
              <w:rPr>
                <w:rFonts w:hint="eastAsia"/>
                <w:szCs w:val="21"/>
              </w:rPr>
              <w:t>10</w:t>
            </w:r>
            <w:r>
              <w:rPr>
                <w:szCs w:val="21"/>
              </w:rPr>
              <w:t>mg/m</w:t>
            </w:r>
            <w:r>
              <w:rPr>
                <w:rFonts w:cs="宋体"/>
                <w:bCs/>
                <w:kern w:val="0"/>
                <w:szCs w:val="21"/>
                <w:vertAlign w:val="superscript"/>
              </w:rPr>
              <w:t>3</w:t>
            </w:r>
            <w:r>
              <w:rPr>
                <w:rFonts w:cs="宋体"/>
                <w:bCs/>
                <w:kern w:val="0"/>
                <w:szCs w:val="21"/>
              </w:rPr>
              <w:t>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11" w:type="dxa"/>
            <w:left w:w="28" w:type="dxa"/>
            <w:bottom w:w="11" w:type="dxa"/>
            <w:right w:w="28" w:type="dxa"/>
          </w:tblCellMar>
        </w:tblPrEx>
        <w:trPr>
          <w:trHeight w:val="425" w:hRule="atLeast"/>
          <w:jc w:val="center"/>
        </w:trPr>
        <w:tc>
          <w:tcPr>
            <w:tcW w:w="1026" w:type="dxa"/>
            <w:vMerge w:val="continue"/>
            <w:tcMar>
              <w:top w:w="40" w:type="dxa"/>
              <w:bottom w:w="40" w:type="dxa"/>
            </w:tcMar>
            <w:vAlign w:val="center"/>
          </w:tcPr>
          <w:p>
            <w:pPr>
              <w:adjustRightInd w:val="0"/>
              <w:snapToGrid w:val="0"/>
              <w:spacing w:line="260" w:lineRule="exact"/>
              <w:jc w:val="center"/>
              <w:rPr>
                <w:rFonts w:ascii="宋体" w:hAnsi="宋体" w:cs="宋体"/>
                <w:szCs w:val="21"/>
              </w:rPr>
            </w:pPr>
          </w:p>
        </w:tc>
        <w:tc>
          <w:tcPr>
            <w:tcW w:w="1387" w:type="dxa"/>
            <w:tcMar>
              <w:top w:w="40" w:type="dxa"/>
              <w:bottom w:w="40" w:type="dxa"/>
            </w:tcMar>
            <w:vAlign w:val="center"/>
          </w:tcPr>
          <w:p>
            <w:pPr>
              <w:spacing w:line="260" w:lineRule="exact"/>
              <w:contextualSpacing/>
              <w:jc w:val="center"/>
              <w:rPr>
                <w:rFonts w:cs="宋体"/>
                <w:szCs w:val="21"/>
              </w:rPr>
            </w:pPr>
            <w:r>
              <w:rPr>
                <w:rFonts w:hint="eastAsia" w:cs="宋体"/>
                <w:szCs w:val="21"/>
              </w:rPr>
              <w:t>粉磨机（DA002）</w:t>
            </w:r>
          </w:p>
        </w:tc>
        <w:tc>
          <w:tcPr>
            <w:tcW w:w="739" w:type="dxa"/>
            <w:tcMar>
              <w:top w:w="40" w:type="dxa"/>
              <w:bottom w:w="40" w:type="dxa"/>
            </w:tcMar>
            <w:vAlign w:val="center"/>
          </w:tcPr>
          <w:p>
            <w:pPr>
              <w:adjustRightInd w:val="0"/>
              <w:snapToGrid w:val="0"/>
              <w:spacing w:line="260" w:lineRule="exact"/>
              <w:jc w:val="center"/>
              <w:rPr>
                <w:szCs w:val="21"/>
              </w:rPr>
            </w:pPr>
            <w:r>
              <w:rPr>
                <w:szCs w:val="21"/>
              </w:rPr>
              <w:t>颗粒物</w:t>
            </w:r>
          </w:p>
        </w:tc>
        <w:tc>
          <w:tcPr>
            <w:tcW w:w="4068" w:type="dxa"/>
            <w:tcMar>
              <w:top w:w="40" w:type="dxa"/>
              <w:bottom w:w="40" w:type="dxa"/>
            </w:tcMar>
            <w:vAlign w:val="center"/>
          </w:tcPr>
          <w:p>
            <w:pPr>
              <w:widowControl/>
              <w:spacing w:line="260" w:lineRule="exact"/>
              <w:jc w:val="left"/>
              <w:rPr>
                <w:szCs w:val="21"/>
              </w:rPr>
            </w:pPr>
            <w:r>
              <w:rPr>
                <w:rFonts w:cs="宋体"/>
                <w:b/>
                <w:szCs w:val="21"/>
                <w:u w:val="single"/>
              </w:rPr>
              <w:t>粉磨</w:t>
            </w:r>
            <w:r>
              <w:rPr>
                <w:rFonts w:hint="eastAsia" w:cs="宋体"/>
                <w:b/>
                <w:szCs w:val="21"/>
                <w:u w:val="single"/>
              </w:rPr>
              <w:t>机进口</w:t>
            </w:r>
            <w:r>
              <w:rPr>
                <w:rFonts w:cs="宋体"/>
                <w:b/>
                <w:szCs w:val="21"/>
                <w:u w:val="single"/>
              </w:rPr>
              <w:t>、出口、气流输送回料至分选机下料口</w:t>
            </w:r>
            <w:r>
              <w:rPr>
                <w:rFonts w:hint="eastAsia" w:cs="宋体"/>
                <w:b/>
                <w:szCs w:val="21"/>
                <w:u w:val="single"/>
              </w:rPr>
              <w:t>设置</w:t>
            </w:r>
            <w:r>
              <w:rPr>
                <w:rFonts w:cs="宋体"/>
                <w:b/>
                <w:szCs w:val="21"/>
                <w:u w:val="single"/>
              </w:rPr>
              <w:t>集气罩</w:t>
            </w:r>
            <w:r>
              <w:rPr>
                <w:szCs w:val="21"/>
              </w:rPr>
              <w:t>+</w:t>
            </w:r>
            <w:r>
              <w:rPr>
                <w:rFonts w:hint="eastAsia"/>
                <w:szCs w:val="21"/>
              </w:rPr>
              <w:t>收尘</w:t>
            </w:r>
            <w:r>
              <w:rPr>
                <w:szCs w:val="21"/>
              </w:rPr>
              <w:t>管+脉冲袋式除尘器（2#）+15m高的排气筒（DA002）排放</w:t>
            </w:r>
          </w:p>
        </w:tc>
        <w:tc>
          <w:tcPr>
            <w:tcW w:w="1689" w:type="dxa"/>
            <w:vMerge w:val="continue"/>
            <w:tcMar>
              <w:top w:w="40" w:type="dxa"/>
              <w:bottom w:w="40" w:type="dxa"/>
            </w:tcMar>
            <w:vAlign w:val="center"/>
          </w:tcPr>
          <w:p>
            <w:pPr>
              <w:adjustRightInd w:val="0"/>
              <w:snapToGrid w:val="0"/>
              <w:spacing w:line="260" w:lineRule="exact"/>
              <w:jc w:val="center"/>
              <w:rPr>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11" w:type="dxa"/>
            <w:left w:w="28" w:type="dxa"/>
            <w:bottom w:w="11" w:type="dxa"/>
            <w:right w:w="28" w:type="dxa"/>
          </w:tblCellMar>
        </w:tblPrEx>
        <w:trPr>
          <w:trHeight w:val="425" w:hRule="atLeast"/>
          <w:jc w:val="center"/>
        </w:trPr>
        <w:tc>
          <w:tcPr>
            <w:tcW w:w="1026" w:type="dxa"/>
            <w:vMerge w:val="continue"/>
            <w:tcMar>
              <w:top w:w="40" w:type="dxa"/>
              <w:bottom w:w="40" w:type="dxa"/>
            </w:tcMar>
            <w:vAlign w:val="center"/>
          </w:tcPr>
          <w:p>
            <w:pPr>
              <w:adjustRightInd w:val="0"/>
              <w:snapToGrid w:val="0"/>
              <w:spacing w:line="260" w:lineRule="exact"/>
              <w:jc w:val="center"/>
              <w:rPr>
                <w:rFonts w:ascii="宋体" w:hAnsi="宋体" w:cs="宋体"/>
                <w:szCs w:val="21"/>
              </w:rPr>
            </w:pPr>
          </w:p>
        </w:tc>
        <w:tc>
          <w:tcPr>
            <w:tcW w:w="1387" w:type="dxa"/>
            <w:tcMar>
              <w:top w:w="40" w:type="dxa"/>
              <w:bottom w:w="40" w:type="dxa"/>
            </w:tcMar>
            <w:vAlign w:val="center"/>
          </w:tcPr>
          <w:p>
            <w:pPr>
              <w:spacing w:line="260" w:lineRule="exact"/>
              <w:contextualSpacing/>
              <w:jc w:val="center"/>
              <w:rPr>
                <w:rFonts w:cs="宋体"/>
                <w:szCs w:val="21"/>
              </w:rPr>
            </w:pPr>
            <w:r>
              <w:rPr>
                <w:rFonts w:hint="eastAsia"/>
                <w:szCs w:val="21"/>
              </w:rPr>
              <w:t>提升机</w:t>
            </w:r>
            <w:r>
              <w:rPr>
                <w:rFonts w:hint="eastAsia" w:cs="宋体"/>
                <w:szCs w:val="21"/>
              </w:rPr>
              <w:t>（DA00</w:t>
            </w:r>
            <w:r>
              <w:rPr>
                <w:rFonts w:cs="宋体"/>
                <w:szCs w:val="21"/>
              </w:rPr>
              <w:t>3</w:t>
            </w:r>
            <w:r>
              <w:rPr>
                <w:rFonts w:hint="eastAsia" w:cs="宋体"/>
                <w:szCs w:val="21"/>
              </w:rPr>
              <w:t>）</w:t>
            </w:r>
          </w:p>
        </w:tc>
        <w:tc>
          <w:tcPr>
            <w:tcW w:w="739" w:type="dxa"/>
            <w:tcMar>
              <w:top w:w="40" w:type="dxa"/>
              <w:bottom w:w="40" w:type="dxa"/>
            </w:tcMar>
            <w:vAlign w:val="center"/>
          </w:tcPr>
          <w:p>
            <w:pPr>
              <w:adjustRightInd w:val="0"/>
              <w:snapToGrid w:val="0"/>
              <w:spacing w:line="260" w:lineRule="exact"/>
              <w:jc w:val="center"/>
              <w:rPr>
                <w:szCs w:val="21"/>
              </w:rPr>
            </w:pPr>
            <w:r>
              <w:rPr>
                <w:szCs w:val="21"/>
              </w:rPr>
              <w:t>颗粒物</w:t>
            </w:r>
          </w:p>
        </w:tc>
        <w:tc>
          <w:tcPr>
            <w:tcW w:w="4068" w:type="dxa"/>
            <w:tcMar>
              <w:top w:w="40" w:type="dxa"/>
              <w:bottom w:w="40" w:type="dxa"/>
            </w:tcMar>
            <w:vAlign w:val="center"/>
          </w:tcPr>
          <w:p>
            <w:pPr>
              <w:widowControl/>
              <w:spacing w:line="260" w:lineRule="exact"/>
              <w:jc w:val="left"/>
              <w:rPr>
                <w:szCs w:val="21"/>
              </w:rPr>
            </w:pPr>
            <w:r>
              <w:rPr>
                <w:b/>
                <w:szCs w:val="21"/>
                <w:u w:val="single"/>
              </w:rPr>
              <w:t>2</w:t>
            </w:r>
            <w:r>
              <w:rPr>
                <w:rFonts w:hint="eastAsia"/>
                <w:b/>
                <w:szCs w:val="21"/>
                <w:u w:val="single"/>
              </w:rPr>
              <w:t>座提升</w:t>
            </w:r>
            <w:r>
              <w:rPr>
                <w:b/>
                <w:szCs w:val="21"/>
                <w:u w:val="single"/>
              </w:rPr>
              <w:t>机</w:t>
            </w:r>
            <w:r>
              <w:rPr>
                <w:rFonts w:hint="eastAsia"/>
                <w:b/>
                <w:szCs w:val="21"/>
                <w:u w:val="single"/>
              </w:rPr>
              <w:t>上料</w:t>
            </w:r>
            <w:r>
              <w:rPr>
                <w:b/>
                <w:szCs w:val="21"/>
                <w:u w:val="single"/>
              </w:rPr>
              <w:t>口、落料</w:t>
            </w:r>
            <w:r>
              <w:rPr>
                <w:rFonts w:hint="eastAsia"/>
                <w:b/>
                <w:szCs w:val="21"/>
                <w:u w:val="single"/>
              </w:rPr>
              <w:t>口分别</w:t>
            </w:r>
            <w:r>
              <w:rPr>
                <w:b/>
                <w:szCs w:val="21"/>
                <w:u w:val="single"/>
              </w:rPr>
              <w:t>设集气装置</w:t>
            </w:r>
            <w:r>
              <w:rPr>
                <w:szCs w:val="21"/>
              </w:rPr>
              <w:t>+</w:t>
            </w:r>
            <w:r>
              <w:rPr>
                <w:rFonts w:hint="eastAsia"/>
                <w:szCs w:val="21"/>
              </w:rPr>
              <w:t>收尘管</w:t>
            </w:r>
            <w:r>
              <w:rPr>
                <w:szCs w:val="21"/>
              </w:rPr>
              <w:t>+脉冲袋式除尘器（3#）+15m高的排气筒（DA003）排放</w:t>
            </w:r>
          </w:p>
        </w:tc>
        <w:tc>
          <w:tcPr>
            <w:tcW w:w="1689" w:type="dxa"/>
            <w:vMerge w:val="continue"/>
            <w:tcMar>
              <w:top w:w="40" w:type="dxa"/>
              <w:bottom w:w="40" w:type="dxa"/>
            </w:tcMar>
            <w:vAlign w:val="center"/>
          </w:tcPr>
          <w:p>
            <w:pPr>
              <w:adjustRightInd w:val="0"/>
              <w:snapToGrid w:val="0"/>
              <w:spacing w:line="260" w:lineRule="exact"/>
              <w:jc w:val="center"/>
              <w:rPr>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11" w:type="dxa"/>
            <w:left w:w="28" w:type="dxa"/>
            <w:bottom w:w="11" w:type="dxa"/>
            <w:right w:w="28" w:type="dxa"/>
          </w:tblCellMar>
        </w:tblPrEx>
        <w:trPr>
          <w:trHeight w:val="425" w:hRule="atLeast"/>
          <w:jc w:val="center"/>
        </w:trPr>
        <w:tc>
          <w:tcPr>
            <w:tcW w:w="1026" w:type="dxa"/>
            <w:vMerge w:val="continue"/>
            <w:tcMar>
              <w:top w:w="40" w:type="dxa"/>
              <w:bottom w:w="40" w:type="dxa"/>
            </w:tcMar>
            <w:vAlign w:val="center"/>
          </w:tcPr>
          <w:p>
            <w:pPr>
              <w:adjustRightInd w:val="0"/>
              <w:snapToGrid w:val="0"/>
              <w:spacing w:line="260" w:lineRule="exact"/>
              <w:jc w:val="center"/>
              <w:rPr>
                <w:rFonts w:ascii="宋体" w:hAnsi="宋体" w:cs="宋体"/>
                <w:szCs w:val="21"/>
              </w:rPr>
            </w:pPr>
          </w:p>
        </w:tc>
        <w:tc>
          <w:tcPr>
            <w:tcW w:w="1387" w:type="dxa"/>
            <w:tcMar>
              <w:top w:w="40" w:type="dxa"/>
              <w:bottom w:w="40" w:type="dxa"/>
            </w:tcMar>
            <w:vAlign w:val="center"/>
          </w:tcPr>
          <w:p>
            <w:pPr>
              <w:spacing w:line="260" w:lineRule="exact"/>
              <w:contextualSpacing/>
              <w:jc w:val="center"/>
              <w:rPr>
                <w:szCs w:val="21"/>
              </w:rPr>
            </w:pPr>
            <w:r>
              <w:rPr>
                <w:rFonts w:hint="eastAsia"/>
                <w:szCs w:val="21"/>
              </w:rPr>
              <w:t>成品仓</w:t>
            </w:r>
            <w:r>
              <w:rPr>
                <w:rFonts w:hint="eastAsia" w:cs="宋体"/>
                <w:szCs w:val="21"/>
              </w:rPr>
              <w:t>（DA00</w:t>
            </w:r>
            <w:r>
              <w:rPr>
                <w:rFonts w:cs="宋体"/>
                <w:szCs w:val="21"/>
              </w:rPr>
              <w:t>4</w:t>
            </w:r>
            <w:r>
              <w:rPr>
                <w:rFonts w:hint="eastAsia" w:cs="宋体"/>
                <w:szCs w:val="21"/>
              </w:rPr>
              <w:t>）</w:t>
            </w:r>
          </w:p>
        </w:tc>
        <w:tc>
          <w:tcPr>
            <w:tcW w:w="739" w:type="dxa"/>
            <w:tcMar>
              <w:top w:w="40" w:type="dxa"/>
              <w:bottom w:w="40" w:type="dxa"/>
            </w:tcMar>
            <w:vAlign w:val="center"/>
          </w:tcPr>
          <w:p>
            <w:pPr>
              <w:adjustRightInd w:val="0"/>
              <w:snapToGrid w:val="0"/>
              <w:spacing w:line="260" w:lineRule="exact"/>
              <w:jc w:val="center"/>
              <w:rPr>
                <w:szCs w:val="21"/>
              </w:rPr>
            </w:pPr>
            <w:r>
              <w:rPr>
                <w:szCs w:val="21"/>
              </w:rPr>
              <w:t>颗粒物</w:t>
            </w:r>
          </w:p>
        </w:tc>
        <w:tc>
          <w:tcPr>
            <w:tcW w:w="4068" w:type="dxa"/>
            <w:tcMar>
              <w:top w:w="40" w:type="dxa"/>
              <w:bottom w:w="40" w:type="dxa"/>
            </w:tcMar>
            <w:vAlign w:val="center"/>
          </w:tcPr>
          <w:p>
            <w:pPr>
              <w:widowControl/>
              <w:spacing w:line="260" w:lineRule="exact"/>
              <w:jc w:val="left"/>
              <w:rPr>
                <w:szCs w:val="21"/>
              </w:rPr>
            </w:pPr>
            <w:r>
              <w:rPr>
                <w:szCs w:val="21"/>
              </w:rPr>
              <w:t>密闭</w:t>
            </w:r>
            <w:r>
              <w:rPr>
                <w:rFonts w:hint="eastAsia"/>
                <w:szCs w:val="21"/>
              </w:rPr>
              <w:t>成品</w:t>
            </w:r>
            <w:r>
              <w:rPr>
                <w:szCs w:val="21"/>
              </w:rPr>
              <w:t>仓+脉冲袋式除尘器（4#）+</w:t>
            </w:r>
            <w:r>
              <w:rPr>
                <w:rFonts w:cs="宋体"/>
              </w:rPr>
              <w:t>仓顶排气筒（排气口高度21m</w:t>
            </w:r>
            <w:r>
              <w:rPr>
                <w:rFonts w:hint="eastAsia" w:cs="宋体"/>
              </w:rPr>
              <w:t>，</w:t>
            </w:r>
            <w:r>
              <w:rPr>
                <w:rFonts w:hint="eastAsia" w:cs="宋体"/>
                <w:szCs w:val="21"/>
              </w:rPr>
              <w:t>编号DA00</w:t>
            </w:r>
            <w:r>
              <w:rPr>
                <w:rFonts w:cs="宋体"/>
                <w:szCs w:val="21"/>
              </w:rPr>
              <w:t>4</w:t>
            </w:r>
            <w:r>
              <w:rPr>
                <w:rFonts w:hint="eastAsia" w:cs="宋体"/>
                <w:szCs w:val="21"/>
              </w:rPr>
              <w:t>）</w:t>
            </w:r>
          </w:p>
        </w:tc>
        <w:tc>
          <w:tcPr>
            <w:tcW w:w="1689" w:type="dxa"/>
            <w:vMerge w:val="continue"/>
            <w:tcMar>
              <w:top w:w="40" w:type="dxa"/>
              <w:bottom w:w="40" w:type="dxa"/>
            </w:tcMar>
            <w:vAlign w:val="center"/>
          </w:tcPr>
          <w:p>
            <w:pPr>
              <w:adjustRightInd w:val="0"/>
              <w:snapToGrid w:val="0"/>
              <w:spacing w:line="260" w:lineRule="exact"/>
              <w:jc w:val="center"/>
              <w:rPr>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11" w:type="dxa"/>
            <w:left w:w="28" w:type="dxa"/>
            <w:bottom w:w="11" w:type="dxa"/>
            <w:right w:w="28" w:type="dxa"/>
          </w:tblCellMar>
        </w:tblPrEx>
        <w:trPr>
          <w:trHeight w:val="425" w:hRule="atLeast"/>
          <w:jc w:val="center"/>
        </w:trPr>
        <w:tc>
          <w:tcPr>
            <w:tcW w:w="1026" w:type="dxa"/>
            <w:vMerge w:val="continue"/>
            <w:tcMar>
              <w:top w:w="40" w:type="dxa"/>
              <w:bottom w:w="40" w:type="dxa"/>
            </w:tcMar>
            <w:vAlign w:val="center"/>
          </w:tcPr>
          <w:p>
            <w:pPr>
              <w:adjustRightInd w:val="0"/>
              <w:snapToGrid w:val="0"/>
              <w:spacing w:line="260" w:lineRule="exact"/>
              <w:jc w:val="center"/>
              <w:rPr>
                <w:rFonts w:ascii="宋体" w:hAnsi="宋体" w:cs="宋体"/>
                <w:szCs w:val="21"/>
              </w:rPr>
            </w:pPr>
          </w:p>
        </w:tc>
        <w:tc>
          <w:tcPr>
            <w:tcW w:w="1387" w:type="dxa"/>
            <w:tcMar>
              <w:top w:w="40" w:type="dxa"/>
              <w:bottom w:w="40" w:type="dxa"/>
            </w:tcMar>
            <w:vAlign w:val="center"/>
          </w:tcPr>
          <w:p>
            <w:pPr>
              <w:spacing w:line="260" w:lineRule="exact"/>
              <w:contextualSpacing/>
              <w:jc w:val="center"/>
              <w:rPr>
                <w:szCs w:val="21"/>
              </w:rPr>
            </w:pPr>
            <w:r>
              <w:rPr>
                <w:rFonts w:hint="eastAsia"/>
                <w:szCs w:val="21"/>
              </w:rPr>
              <w:t>散装机</w:t>
            </w:r>
            <w:r>
              <w:rPr>
                <w:rFonts w:hint="eastAsia" w:cs="宋体"/>
                <w:szCs w:val="21"/>
              </w:rPr>
              <w:t>（DA00</w:t>
            </w:r>
            <w:r>
              <w:rPr>
                <w:rFonts w:cs="宋体"/>
                <w:szCs w:val="21"/>
              </w:rPr>
              <w:t>5</w:t>
            </w:r>
            <w:r>
              <w:rPr>
                <w:rFonts w:hint="eastAsia" w:cs="宋体"/>
                <w:szCs w:val="21"/>
              </w:rPr>
              <w:t>）</w:t>
            </w:r>
          </w:p>
        </w:tc>
        <w:tc>
          <w:tcPr>
            <w:tcW w:w="739" w:type="dxa"/>
            <w:tcMar>
              <w:top w:w="40" w:type="dxa"/>
              <w:bottom w:w="40" w:type="dxa"/>
            </w:tcMar>
            <w:vAlign w:val="center"/>
          </w:tcPr>
          <w:p>
            <w:pPr>
              <w:spacing w:line="260" w:lineRule="exact"/>
              <w:jc w:val="center"/>
              <w:rPr>
                <w:szCs w:val="21"/>
              </w:rPr>
            </w:pPr>
            <w:r>
              <w:rPr>
                <w:szCs w:val="21"/>
              </w:rPr>
              <w:t>颗粒物</w:t>
            </w:r>
          </w:p>
        </w:tc>
        <w:tc>
          <w:tcPr>
            <w:tcW w:w="4068" w:type="dxa"/>
            <w:tcMar>
              <w:top w:w="40" w:type="dxa"/>
              <w:bottom w:w="40" w:type="dxa"/>
            </w:tcMar>
            <w:vAlign w:val="center"/>
          </w:tcPr>
          <w:p>
            <w:pPr>
              <w:widowControl/>
              <w:spacing w:line="260" w:lineRule="exact"/>
              <w:jc w:val="left"/>
              <w:rPr>
                <w:spacing w:val="-6"/>
                <w:szCs w:val="21"/>
              </w:rPr>
            </w:pPr>
            <w:r>
              <w:rPr>
                <w:b/>
                <w:spacing w:val="-6"/>
                <w:szCs w:val="21"/>
                <w:u w:val="single"/>
              </w:rPr>
              <w:t>落料</w:t>
            </w:r>
            <w:r>
              <w:rPr>
                <w:rFonts w:hint="eastAsia"/>
                <w:b/>
                <w:spacing w:val="-6"/>
                <w:szCs w:val="21"/>
                <w:u w:val="single"/>
              </w:rPr>
              <w:t>口设置集气罩</w:t>
            </w:r>
            <w:r>
              <w:rPr>
                <w:spacing w:val="-6"/>
                <w:szCs w:val="21"/>
              </w:rPr>
              <w:t>+</w:t>
            </w:r>
            <w:r>
              <w:rPr>
                <w:rFonts w:hint="eastAsia"/>
                <w:spacing w:val="-6"/>
                <w:szCs w:val="21"/>
              </w:rPr>
              <w:t>收尘</w:t>
            </w:r>
            <w:r>
              <w:rPr>
                <w:spacing w:val="-6"/>
                <w:szCs w:val="21"/>
              </w:rPr>
              <w:t>管</w:t>
            </w:r>
            <w:r>
              <w:rPr>
                <w:rFonts w:hint="eastAsia"/>
                <w:spacing w:val="-6"/>
                <w:szCs w:val="21"/>
              </w:rPr>
              <w:t>+</w:t>
            </w:r>
            <w:r>
              <w:rPr>
                <w:spacing w:val="-6"/>
                <w:szCs w:val="21"/>
              </w:rPr>
              <w:t>脉冲袋式除尘器（5#）+15m高的排气筒（DA005）排放</w:t>
            </w:r>
          </w:p>
        </w:tc>
        <w:tc>
          <w:tcPr>
            <w:tcW w:w="1689" w:type="dxa"/>
            <w:vMerge w:val="continue"/>
            <w:tcMar>
              <w:top w:w="40" w:type="dxa"/>
              <w:bottom w:w="40" w:type="dxa"/>
            </w:tcMar>
            <w:vAlign w:val="center"/>
          </w:tcPr>
          <w:p>
            <w:pPr>
              <w:spacing w:line="260" w:lineRule="exact"/>
              <w:jc w:val="center"/>
              <w:rPr>
                <w:spacing w:val="-12"/>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11" w:type="dxa"/>
            <w:left w:w="28" w:type="dxa"/>
            <w:bottom w:w="11" w:type="dxa"/>
            <w:right w:w="28" w:type="dxa"/>
          </w:tblCellMar>
        </w:tblPrEx>
        <w:trPr>
          <w:trHeight w:val="1063" w:hRule="atLeast"/>
          <w:jc w:val="center"/>
        </w:trPr>
        <w:tc>
          <w:tcPr>
            <w:tcW w:w="1026" w:type="dxa"/>
            <w:vMerge w:val="continue"/>
            <w:tcMar>
              <w:top w:w="40" w:type="dxa"/>
              <w:bottom w:w="40" w:type="dxa"/>
            </w:tcMar>
            <w:vAlign w:val="center"/>
          </w:tcPr>
          <w:p>
            <w:pPr>
              <w:adjustRightInd w:val="0"/>
              <w:snapToGrid w:val="0"/>
              <w:spacing w:line="260" w:lineRule="exact"/>
              <w:jc w:val="center"/>
              <w:rPr>
                <w:rFonts w:ascii="宋体" w:hAnsi="宋体" w:cs="宋体"/>
                <w:szCs w:val="21"/>
              </w:rPr>
            </w:pPr>
          </w:p>
        </w:tc>
        <w:tc>
          <w:tcPr>
            <w:tcW w:w="1387" w:type="dxa"/>
            <w:tcMar>
              <w:top w:w="40" w:type="dxa"/>
              <w:bottom w:w="40" w:type="dxa"/>
            </w:tcMar>
            <w:vAlign w:val="center"/>
          </w:tcPr>
          <w:p>
            <w:pPr>
              <w:spacing w:line="260" w:lineRule="exact"/>
              <w:jc w:val="center"/>
              <w:rPr>
                <w:szCs w:val="21"/>
                <w:lang w:val="zh-CN"/>
              </w:rPr>
            </w:pPr>
            <w:r>
              <w:rPr>
                <w:rFonts w:hint="eastAsia"/>
                <w:szCs w:val="21"/>
                <w:lang w:val="zh-CN"/>
              </w:rPr>
              <w:t>无组织</w:t>
            </w:r>
            <w:r>
              <w:rPr>
                <w:szCs w:val="21"/>
                <w:lang w:val="zh-CN"/>
              </w:rPr>
              <w:t>废气</w:t>
            </w:r>
          </w:p>
        </w:tc>
        <w:tc>
          <w:tcPr>
            <w:tcW w:w="739" w:type="dxa"/>
            <w:tcMar>
              <w:top w:w="40" w:type="dxa"/>
              <w:bottom w:w="40" w:type="dxa"/>
            </w:tcMar>
            <w:vAlign w:val="center"/>
          </w:tcPr>
          <w:p>
            <w:pPr>
              <w:spacing w:line="260" w:lineRule="exact"/>
              <w:jc w:val="center"/>
              <w:rPr>
                <w:szCs w:val="21"/>
              </w:rPr>
            </w:pPr>
            <w:r>
              <w:rPr>
                <w:szCs w:val="21"/>
              </w:rPr>
              <w:t>颗粒物</w:t>
            </w:r>
          </w:p>
        </w:tc>
        <w:tc>
          <w:tcPr>
            <w:tcW w:w="4068" w:type="dxa"/>
            <w:tcMar>
              <w:top w:w="40" w:type="dxa"/>
              <w:bottom w:w="40" w:type="dxa"/>
            </w:tcMar>
            <w:vAlign w:val="center"/>
          </w:tcPr>
          <w:p>
            <w:pPr>
              <w:adjustRightInd w:val="0"/>
              <w:snapToGrid w:val="0"/>
              <w:spacing w:line="260" w:lineRule="exact"/>
              <w:jc w:val="left"/>
              <w:rPr>
                <w:szCs w:val="21"/>
              </w:rPr>
            </w:pPr>
            <w:r>
              <w:rPr>
                <w:rFonts w:hint="eastAsia"/>
                <w:szCs w:val="21"/>
              </w:rPr>
              <w:t>分选机、粉磨</w:t>
            </w:r>
            <w:r>
              <w:rPr>
                <w:szCs w:val="21"/>
              </w:rPr>
              <w:t>机等</w:t>
            </w:r>
            <w:r>
              <w:rPr>
                <w:rFonts w:hint="eastAsia"/>
                <w:szCs w:val="21"/>
              </w:rPr>
              <w:t>设备安装在全封闭的生产车间内，厂区闲置裸露空地绿化，道路</w:t>
            </w:r>
            <w:r>
              <w:rPr>
                <w:szCs w:val="21"/>
              </w:rPr>
              <w:t>全部硬化，</w:t>
            </w:r>
            <w:r>
              <w:rPr>
                <w:rFonts w:hint="eastAsia"/>
                <w:szCs w:val="21"/>
              </w:rPr>
              <w:t>无裸露空地，</w:t>
            </w:r>
            <w:r>
              <w:rPr>
                <w:rFonts w:hint="eastAsia"/>
                <w:spacing w:val="-6"/>
                <w:szCs w:val="21"/>
              </w:rPr>
              <w:t>出厂门口配备高压清洗装置，设置洒水装置，车间设置干雾</w:t>
            </w:r>
            <w:r>
              <w:rPr>
                <w:spacing w:val="-6"/>
                <w:szCs w:val="21"/>
              </w:rPr>
              <w:t>抑尘装置，</w:t>
            </w:r>
            <w:r>
              <w:rPr>
                <w:rFonts w:hint="eastAsia"/>
                <w:spacing w:val="-6"/>
                <w:szCs w:val="21"/>
              </w:rPr>
              <w:t>厂区定期进行洒水降尘</w:t>
            </w:r>
          </w:p>
        </w:tc>
        <w:tc>
          <w:tcPr>
            <w:tcW w:w="1689" w:type="dxa"/>
            <w:tcMar>
              <w:top w:w="40" w:type="dxa"/>
              <w:bottom w:w="40" w:type="dxa"/>
            </w:tcMar>
            <w:vAlign w:val="center"/>
          </w:tcPr>
          <w:p>
            <w:pPr>
              <w:adjustRightInd w:val="0"/>
              <w:snapToGrid w:val="0"/>
              <w:spacing w:line="260" w:lineRule="exact"/>
              <w:jc w:val="center"/>
              <w:rPr>
                <w:rFonts w:ascii="宋体" w:hAnsi="宋体" w:cs="宋体"/>
                <w:szCs w:val="21"/>
              </w:rPr>
            </w:pPr>
            <w:r>
              <w:rPr>
                <w:rFonts w:hint="eastAsia"/>
                <w:kern w:val="0"/>
                <w:szCs w:val="21"/>
              </w:rPr>
              <w:t>GB16297-1996《大气污染物综合排放标准》表2二级标准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11" w:type="dxa"/>
            <w:left w:w="28" w:type="dxa"/>
            <w:bottom w:w="11" w:type="dxa"/>
            <w:right w:w="28" w:type="dxa"/>
          </w:tblCellMar>
        </w:tblPrEx>
        <w:trPr>
          <w:trHeight w:val="299" w:hRule="atLeast"/>
          <w:jc w:val="center"/>
        </w:trPr>
        <w:tc>
          <w:tcPr>
            <w:tcW w:w="1026" w:type="dxa"/>
            <w:vMerge w:val="restart"/>
            <w:tcMar>
              <w:top w:w="40" w:type="dxa"/>
              <w:bottom w:w="40" w:type="dxa"/>
            </w:tcMar>
            <w:vAlign w:val="center"/>
          </w:tcPr>
          <w:p>
            <w:pPr>
              <w:adjustRightInd w:val="0"/>
              <w:snapToGrid w:val="0"/>
              <w:spacing w:line="260" w:lineRule="exact"/>
              <w:jc w:val="center"/>
              <w:rPr>
                <w:rFonts w:ascii="宋体" w:hAnsi="宋体" w:cs="宋体"/>
                <w:szCs w:val="21"/>
              </w:rPr>
            </w:pPr>
            <w:r>
              <w:rPr>
                <w:rFonts w:hint="eastAsia" w:ascii="宋体" w:hAnsi="宋体" w:cs="宋体"/>
                <w:szCs w:val="21"/>
              </w:rPr>
              <w:t>地表水环境</w:t>
            </w:r>
          </w:p>
        </w:tc>
        <w:tc>
          <w:tcPr>
            <w:tcW w:w="1387" w:type="dxa"/>
            <w:tcMar>
              <w:top w:w="40" w:type="dxa"/>
              <w:bottom w:w="40" w:type="dxa"/>
            </w:tcMar>
            <w:vAlign w:val="center"/>
          </w:tcPr>
          <w:p>
            <w:pPr>
              <w:adjustRightInd w:val="0"/>
              <w:snapToGrid w:val="0"/>
              <w:spacing w:line="260" w:lineRule="exact"/>
              <w:jc w:val="center"/>
              <w:rPr>
                <w:rFonts w:ascii="宋体" w:hAnsi="宋体" w:cs="宋体"/>
                <w:szCs w:val="21"/>
              </w:rPr>
            </w:pPr>
            <w:r>
              <w:rPr>
                <w:rFonts w:hint="eastAsia" w:ascii="宋体" w:hAnsi="宋体" w:cs="宋体"/>
                <w:szCs w:val="21"/>
              </w:rPr>
              <w:t>生活</w:t>
            </w:r>
            <w:r>
              <w:rPr>
                <w:rFonts w:ascii="宋体" w:hAnsi="宋体" w:cs="宋体"/>
                <w:szCs w:val="21"/>
              </w:rPr>
              <w:t>污水</w:t>
            </w:r>
          </w:p>
        </w:tc>
        <w:tc>
          <w:tcPr>
            <w:tcW w:w="739" w:type="dxa"/>
            <w:tcMar>
              <w:top w:w="40" w:type="dxa"/>
              <w:bottom w:w="40" w:type="dxa"/>
            </w:tcMar>
            <w:vAlign w:val="center"/>
          </w:tcPr>
          <w:p>
            <w:pPr>
              <w:spacing w:line="260" w:lineRule="exact"/>
              <w:jc w:val="center"/>
              <w:rPr>
                <w:szCs w:val="21"/>
              </w:rPr>
            </w:pPr>
            <w:r>
              <w:rPr>
                <w:rFonts w:hint="eastAsia"/>
                <w:szCs w:val="21"/>
              </w:rPr>
              <w:t>COD</w:t>
            </w:r>
            <w:r>
              <w:rPr>
                <w:szCs w:val="21"/>
              </w:rPr>
              <w:t>、NH</w:t>
            </w:r>
            <w:r>
              <w:rPr>
                <w:szCs w:val="21"/>
                <w:vertAlign w:val="subscript"/>
              </w:rPr>
              <w:t>3</w:t>
            </w:r>
            <w:r>
              <w:rPr>
                <w:szCs w:val="21"/>
              </w:rPr>
              <w:t>-N</w:t>
            </w:r>
          </w:p>
        </w:tc>
        <w:tc>
          <w:tcPr>
            <w:tcW w:w="4068" w:type="dxa"/>
            <w:tcMar>
              <w:top w:w="40" w:type="dxa"/>
              <w:bottom w:w="40" w:type="dxa"/>
            </w:tcMar>
            <w:vAlign w:val="center"/>
          </w:tcPr>
          <w:p>
            <w:pPr>
              <w:pStyle w:val="77"/>
              <w:spacing w:line="260" w:lineRule="exact"/>
              <w:jc w:val="left"/>
              <w:rPr>
                <w:rFonts w:ascii="Times New Roman" w:hAnsi="Times New Roman"/>
                <w:szCs w:val="21"/>
              </w:rPr>
            </w:pPr>
            <w:r>
              <w:rPr>
                <w:rFonts w:ascii="Times New Roman" w:hAnsi="Times New Roman"/>
                <w:szCs w:val="21"/>
              </w:rPr>
              <w:t>新</w:t>
            </w:r>
            <w:r>
              <w:rPr>
                <w:rFonts w:ascii="Times New Roman" w:hAnsi="Times New Roman"/>
                <w:spacing w:val="-4"/>
                <w:szCs w:val="21"/>
              </w:rPr>
              <w:t>建旱厕，生活污水经化粪池（新建，6m</w:t>
            </w:r>
            <w:r>
              <w:rPr>
                <w:rFonts w:ascii="Times New Roman" w:hAnsi="Times New Roman"/>
                <w:spacing w:val="-4"/>
                <w:szCs w:val="21"/>
                <w:vertAlign w:val="superscript"/>
              </w:rPr>
              <w:t>3</w:t>
            </w:r>
            <w:r>
              <w:rPr>
                <w:rFonts w:ascii="Times New Roman" w:hAnsi="Times New Roman"/>
                <w:spacing w:val="-4"/>
                <w:szCs w:val="21"/>
              </w:rPr>
              <w:t>）处理后，定期由吸粪车运至周边农田施肥</w:t>
            </w:r>
          </w:p>
        </w:tc>
        <w:tc>
          <w:tcPr>
            <w:tcW w:w="1689" w:type="dxa"/>
            <w:tcMar>
              <w:top w:w="40" w:type="dxa"/>
              <w:bottom w:w="40" w:type="dxa"/>
            </w:tcMar>
            <w:vAlign w:val="center"/>
          </w:tcPr>
          <w:p>
            <w:pPr>
              <w:pStyle w:val="77"/>
              <w:spacing w:line="260" w:lineRule="exact"/>
              <w:ind w:firstLine="525" w:firstLineChars="250"/>
              <w:jc w:val="left"/>
              <w:rPr>
                <w:rFonts w:ascii="Times New Roman" w:hAnsi="Times New Roman"/>
                <w:szCs w:val="21"/>
              </w:rPr>
            </w:pPr>
            <w:r>
              <w:rPr>
                <w:rFonts w:ascii="Times New Roman" w:hAnsi="Times New Roman"/>
                <w:szCs w:val="21"/>
              </w:rPr>
              <w:t>不外排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11" w:type="dxa"/>
            <w:left w:w="28" w:type="dxa"/>
            <w:bottom w:w="11" w:type="dxa"/>
            <w:right w:w="28" w:type="dxa"/>
          </w:tblCellMar>
        </w:tblPrEx>
        <w:trPr>
          <w:trHeight w:val="299" w:hRule="atLeast"/>
          <w:jc w:val="center"/>
        </w:trPr>
        <w:tc>
          <w:tcPr>
            <w:tcW w:w="1026" w:type="dxa"/>
            <w:vMerge w:val="continue"/>
            <w:tcMar>
              <w:top w:w="40" w:type="dxa"/>
              <w:bottom w:w="40" w:type="dxa"/>
            </w:tcMar>
            <w:vAlign w:val="center"/>
          </w:tcPr>
          <w:p>
            <w:pPr>
              <w:adjustRightInd w:val="0"/>
              <w:snapToGrid w:val="0"/>
              <w:spacing w:line="260" w:lineRule="exact"/>
              <w:jc w:val="center"/>
              <w:rPr>
                <w:rFonts w:ascii="宋体" w:hAnsi="宋体" w:cs="宋体"/>
                <w:szCs w:val="21"/>
              </w:rPr>
            </w:pPr>
          </w:p>
        </w:tc>
        <w:tc>
          <w:tcPr>
            <w:tcW w:w="1387" w:type="dxa"/>
            <w:tcMar>
              <w:top w:w="40" w:type="dxa"/>
              <w:bottom w:w="40" w:type="dxa"/>
            </w:tcMar>
            <w:vAlign w:val="center"/>
          </w:tcPr>
          <w:p>
            <w:pPr>
              <w:adjustRightInd w:val="0"/>
              <w:snapToGrid w:val="0"/>
              <w:spacing w:line="260" w:lineRule="exact"/>
              <w:jc w:val="center"/>
              <w:rPr>
                <w:rFonts w:ascii="宋体" w:hAnsi="宋体" w:cs="宋体"/>
                <w:szCs w:val="21"/>
              </w:rPr>
            </w:pPr>
            <w:r>
              <w:rPr>
                <w:szCs w:val="21"/>
              </w:rPr>
              <w:t>车辆冲洗废水</w:t>
            </w:r>
          </w:p>
        </w:tc>
        <w:tc>
          <w:tcPr>
            <w:tcW w:w="739" w:type="dxa"/>
            <w:tcMar>
              <w:top w:w="40" w:type="dxa"/>
              <w:bottom w:w="40" w:type="dxa"/>
            </w:tcMar>
            <w:vAlign w:val="center"/>
          </w:tcPr>
          <w:p>
            <w:pPr>
              <w:spacing w:line="260" w:lineRule="exact"/>
              <w:jc w:val="center"/>
              <w:rPr>
                <w:szCs w:val="21"/>
              </w:rPr>
            </w:pPr>
            <w:r>
              <w:rPr>
                <w:rFonts w:hint="eastAsia"/>
                <w:szCs w:val="21"/>
              </w:rPr>
              <w:t>SS</w:t>
            </w:r>
          </w:p>
        </w:tc>
        <w:tc>
          <w:tcPr>
            <w:tcW w:w="4068" w:type="dxa"/>
            <w:tcMar>
              <w:top w:w="40" w:type="dxa"/>
              <w:bottom w:w="40" w:type="dxa"/>
            </w:tcMar>
            <w:vAlign w:val="center"/>
          </w:tcPr>
          <w:p>
            <w:pPr>
              <w:spacing w:line="260" w:lineRule="exact"/>
              <w:contextualSpacing/>
              <w:jc w:val="center"/>
              <w:rPr>
                <w:szCs w:val="21"/>
              </w:rPr>
            </w:pPr>
            <w:r>
              <w:rPr>
                <w:spacing w:val="-4"/>
                <w:szCs w:val="21"/>
              </w:rPr>
              <w:t>设置感应式车辆冲洗装置，冲洗废水经沉淀池（18m</w:t>
            </w:r>
            <w:r>
              <w:rPr>
                <w:spacing w:val="-4"/>
                <w:szCs w:val="21"/>
                <w:vertAlign w:val="superscript"/>
              </w:rPr>
              <w:t>3</w:t>
            </w:r>
            <w:r>
              <w:rPr>
                <w:spacing w:val="-4"/>
                <w:szCs w:val="21"/>
              </w:rPr>
              <w:t>）沉淀处理后，回用于车辆冲洗</w:t>
            </w:r>
          </w:p>
        </w:tc>
        <w:tc>
          <w:tcPr>
            <w:tcW w:w="1689" w:type="dxa"/>
            <w:tcMar>
              <w:top w:w="40" w:type="dxa"/>
              <w:bottom w:w="40" w:type="dxa"/>
            </w:tcMar>
            <w:vAlign w:val="center"/>
          </w:tcPr>
          <w:p>
            <w:pPr>
              <w:spacing w:line="260" w:lineRule="exact"/>
              <w:contextualSpacing/>
              <w:jc w:val="center"/>
              <w:rPr>
                <w:szCs w:val="21"/>
              </w:rPr>
            </w:pPr>
            <w:r>
              <w:rPr>
                <w:szCs w:val="21"/>
              </w:rPr>
              <w:t>沉淀后循环使用，不外排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11" w:type="dxa"/>
            <w:left w:w="28" w:type="dxa"/>
            <w:bottom w:w="11" w:type="dxa"/>
            <w:right w:w="28" w:type="dxa"/>
          </w:tblCellMar>
        </w:tblPrEx>
        <w:trPr>
          <w:trHeight w:val="423" w:hRule="atLeast"/>
          <w:jc w:val="center"/>
        </w:trPr>
        <w:tc>
          <w:tcPr>
            <w:tcW w:w="1026" w:type="dxa"/>
            <w:tcMar>
              <w:top w:w="40" w:type="dxa"/>
              <w:bottom w:w="40" w:type="dxa"/>
            </w:tcMar>
            <w:vAlign w:val="center"/>
          </w:tcPr>
          <w:p>
            <w:pPr>
              <w:adjustRightInd w:val="0"/>
              <w:snapToGrid w:val="0"/>
              <w:spacing w:line="260" w:lineRule="exact"/>
              <w:jc w:val="center"/>
              <w:rPr>
                <w:rFonts w:ascii="宋体" w:hAnsi="宋体" w:cs="宋体"/>
                <w:szCs w:val="21"/>
              </w:rPr>
            </w:pPr>
            <w:r>
              <w:rPr>
                <w:rFonts w:hint="eastAsia" w:ascii="宋体" w:hAnsi="宋体" w:cs="宋体"/>
                <w:szCs w:val="21"/>
              </w:rPr>
              <w:t>声环境</w:t>
            </w:r>
          </w:p>
        </w:tc>
        <w:tc>
          <w:tcPr>
            <w:tcW w:w="1387" w:type="dxa"/>
            <w:tcBorders>
              <w:bottom w:val="single" w:color="auto" w:sz="4" w:space="0"/>
            </w:tcBorders>
            <w:tcMar>
              <w:top w:w="40" w:type="dxa"/>
              <w:bottom w:w="40" w:type="dxa"/>
            </w:tcMar>
            <w:vAlign w:val="center"/>
          </w:tcPr>
          <w:p>
            <w:pPr>
              <w:adjustRightInd w:val="0"/>
              <w:snapToGrid w:val="0"/>
              <w:spacing w:line="260" w:lineRule="exact"/>
              <w:jc w:val="center"/>
              <w:rPr>
                <w:rFonts w:ascii="宋体" w:hAnsi="宋体" w:cs="宋体"/>
                <w:szCs w:val="21"/>
              </w:rPr>
            </w:pPr>
            <w:r>
              <w:rPr>
                <w:rFonts w:hint="eastAsia" w:ascii="宋体" w:hAnsi="宋体" w:cs="宋体"/>
                <w:szCs w:val="21"/>
              </w:rPr>
              <w:t>设备噪声</w:t>
            </w:r>
          </w:p>
        </w:tc>
        <w:tc>
          <w:tcPr>
            <w:tcW w:w="739" w:type="dxa"/>
            <w:tcBorders>
              <w:bottom w:val="single" w:color="auto" w:sz="4" w:space="0"/>
            </w:tcBorders>
            <w:tcMar>
              <w:top w:w="40" w:type="dxa"/>
              <w:bottom w:w="40" w:type="dxa"/>
            </w:tcMar>
            <w:vAlign w:val="center"/>
          </w:tcPr>
          <w:p>
            <w:pPr>
              <w:adjustRightInd w:val="0"/>
              <w:snapToGrid w:val="0"/>
              <w:spacing w:line="260" w:lineRule="exact"/>
              <w:jc w:val="center"/>
              <w:rPr>
                <w:rFonts w:ascii="宋体" w:hAnsi="宋体" w:cs="宋体"/>
                <w:szCs w:val="21"/>
              </w:rPr>
            </w:pPr>
            <w:r>
              <w:rPr>
                <w:rFonts w:hint="eastAsia" w:ascii="宋体" w:hAnsi="宋体" w:cs="宋体"/>
                <w:szCs w:val="21"/>
              </w:rPr>
              <w:t>等效声级</w:t>
            </w:r>
          </w:p>
        </w:tc>
        <w:tc>
          <w:tcPr>
            <w:tcW w:w="4068" w:type="dxa"/>
            <w:tcBorders>
              <w:bottom w:val="single" w:color="auto" w:sz="4" w:space="0"/>
            </w:tcBorders>
            <w:tcMar>
              <w:top w:w="40" w:type="dxa"/>
              <w:bottom w:w="40" w:type="dxa"/>
            </w:tcMar>
            <w:vAlign w:val="center"/>
          </w:tcPr>
          <w:p>
            <w:pPr>
              <w:adjustRightInd w:val="0"/>
              <w:snapToGrid w:val="0"/>
              <w:spacing w:line="260" w:lineRule="exact"/>
              <w:jc w:val="center"/>
              <w:rPr>
                <w:rFonts w:ascii="宋体" w:hAnsi="宋体" w:cs="宋体"/>
                <w:szCs w:val="21"/>
              </w:rPr>
            </w:pPr>
            <w:r>
              <w:rPr>
                <w:szCs w:val="21"/>
              </w:rPr>
              <w:t>基础减振</w:t>
            </w:r>
            <w:r>
              <w:rPr>
                <w:rFonts w:hint="eastAsia"/>
                <w:szCs w:val="21"/>
              </w:rPr>
              <w:t>、消声、厂房隔声等</w:t>
            </w:r>
          </w:p>
        </w:tc>
        <w:tc>
          <w:tcPr>
            <w:tcW w:w="1689" w:type="dxa"/>
            <w:tcBorders>
              <w:bottom w:val="single" w:color="auto" w:sz="4" w:space="0"/>
            </w:tcBorders>
            <w:tcMar>
              <w:top w:w="40" w:type="dxa"/>
              <w:bottom w:w="40" w:type="dxa"/>
            </w:tcMar>
            <w:vAlign w:val="center"/>
          </w:tcPr>
          <w:p>
            <w:pPr>
              <w:adjustRightInd w:val="0"/>
              <w:snapToGrid w:val="0"/>
              <w:spacing w:line="260" w:lineRule="exact"/>
              <w:rPr>
                <w:rFonts w:ascii="宋体" w:hAnsi="宋体" w:cs="宋体"/>
                <w:spacing w:val="-16"/>
                <w:szCs w:val="21"/>
              </w:rPr>
            </w:pPr>
            <w:r>
              <w:rPr>
                <w:rFonts w:hint="eastAsia"/>
                <w:spacing w:val="-16"/>
                <w:szCs w:val="21"/>
              </w:rPr>
              <w:t>四周厂界</w:t>
            </w:r>
            <w:r>
              <w:rPr>
                <w:spacing w:val="-16"/>
                <w:szCs w:val="21"/>
              </w:rPr>
              <w:t>噪</w:t>
            </w:r>
            <w:r>
              <w:rPr>
                <w:spacing w:val="-12"/>
                <w:szCs w:val="21"/>
              </w:rPr>
              <w:t>声满足GB12348-2008《工业企业厂界环境噪声排</w:t>
            </w:r>
            <w:r>
              <w:rPr>
                <w:spacing w:val="-16"/>
                <w:szCs w:val="21"/>
              </w:rPr>
              <w:t>放标准》2类</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11" w:type="dxa"/>
            <w:left w:w="28" w:type="dxa"/>
            <w:bottom w:w="11" w:type="dxa"/>
            <w:right w:w="28" w:type="dxa"/>
          </w:tblCellMar>
        </w:tblPrEx>
        <w:trPr>
          <w:trHeight w:val="713" w:hRule="atLeast"/>
          <w:jc w:val="center"/>
        </w:trPr>
        <w:tc>
          <w:tcPr>
            <w:tcW w:w="1026" w:type="dxa"/>
            <w:vMerge w:val="restart"/>
            <w:tcMar>
              <w:top w:w="40" w:type="dxa"/>
              <w:bottom w:w="40" w:type="dxa"/>
            </w:tcMar>
            <w:vAlign w:val="center"/>
          </w:tcPr>
          <w:p>
            <w:pPr>
              <w:adjustRightInd w:val="0"/>
              <w:snapToGrid w:val="0"/>
              <w:spacing w:line="260" w:lineRule="exact"/>
              <w:jc w:val="center"/>
              <w:rPr>
                <w:rFonts w:ascii="宋体" w:hAnsi="宋体" w:cs="宋体"/>
                <w:szCs w:val="21"/>
              </w:rPr>
            </w:pPr>
            <w:r>
              <w:rPr>
                <w:rFonts w:hint="eastAsia" w:ascii="宋体" w:hAnsi="宋体" w:cs="宋体"/>
                <w:szCs w:val="21"/>
              </w:rPr>
              <w:t>固体废物</w:t>
            </w:r>
          </w:p>
        </w:tc>
        <w:tc>
          <w:tcPr>
            <w:tcW w:w="6194" w:type="dxa"/>
            <w:gridSpan w:val="3"/>
            <w:tcBorders>
              <w:top w:val="single" w:color="auto" w:sz="4" w:space="0"/>
              <w:bottom w:val="single" w:color="auto" w:sz="4" w:space="0"/>
              <w:right w:val="single" w:color="auto" w:sz="6" w:space="0"/>
            </w:tcBorders>
            <w:tcMar>
              <w:top w:w="40" w:type="dxa"/>
              <w:bottom w:w="40" w:type="dxa"/>
            </w:tcMar>
            <w:vAlign w:val="center"/>
          </w:tcPr>
          <w:p>
            <w:pPr>
              <w:autoSpaceDE w:val="0"/>
              <w:autoSpaceDN w:val="0"/>
              <w:adjustRightInd w:val="0"/>
              <w:spacing w:line="260" w:lineRule="exact"/>
              <w:jc w:val="left"/>
              <w:rPr>
                <w:kern w:val="0"/>
                <w:szCs w:val="21"/>
              </w:rPr>
            </w:pPr>
            <w:r>
              <w:rPr>
                <w:rFonts w:hint="eastAsia"/>
                <w:szCs w:val="21"/>
              </w:rPr>
              <w:t>袋式</w:t>
            </w:r>
            <w:r>
              <w:t>除尘器粉尘</w:t>
            </w:r>
            <w:r>
              <w:rPr>
                <w:rFonts w:hint="eastAsia"/>
              </w:rPr>
              <w:t>回用生产，车辆</w:t>
            </w:r>
            <w:r>
              <w:t>清洗废水</w:t>
            </w:r>
            <w:r>
              <w:rPr>
                <w:rFonts w:hint="eastAsia"/>
              </w:rPr>
              <w:t>沉淀池</w:t>
            </w:r>
            <w:r>
              <w:t>沉渣</w:t>
            </w:r>
            <w:r>
              <w:rPr>
                <w:rFonts w:hint="eastAsia"/>
              </w:rPr>
              <w:t>清掏</w:t>
            </w:r>
            <w:r>
              <w:t>后</w:t>
            </w:r>
            <w:r>
              <w:rPr>
                <w:rFonts w:hint="eastAsia"/>
              </w:rPr>
              <w:t>可</w:t>
            </w:r>
            <w:r>
              <w:t>作为绿化用土</w:t>
            </w:r>
            <w:r>
              <w:rPr>
                <w:rFonts w:hint="eastAsia"/>
              </w:rPr>
              <w:t>，生活垃圾收集后定期交由环卫部门处理，</w:t>
            </w:r>
            <w:r>
              <w:t>厂区设置</w:t>
            </w:r>
            <w:r>
              <w:rPr>
                <w:rFonts w:hint="eastAsia"/>
              </w:rPr>
              <w:t>若干垃圾桶</w:t>
            </w:r>
          </w:p>
        </w:tc>
        <w:tc>
          <w:tcPr>
            <w:tcW w:w="1689" w:type="dxa"/>
            <w:tcBorders>
              <w:top w:val="single" w:color="auto" w:sz="4" w:space="0"/>
              <w:left w:val="single" w:color="auto" w:sz="6" w:space="0"/>
              <w:bottom w:val="single" w:color="auto" w:sz="4" w:space="0"/>
              <w:right w:val="single" w:color="auto" w:sz="4" w:space="0"/>
            </w:tcBorders>
            <w:tcMar>
              <w:top w:w="40" w:type="dxa"/>
              <w:bottom w:w="40" w:type="dxa"/>
            </w:tcMar>
            <w:vAlign w:val="center"/>
          </w:tcPr>
          <w:p>
            <w:pPr>
              <w:autoSpaceDE w:val="0"/>
              <w:autoSpaceDN w:val="0"/>
              <w:adjustRightInd w:val="0"/>
              <w:spacing w:line="260" w:lineRule="exact"/>
              <w:jc w:val="left"/>
              <w:rPr>
                <w:spacing w:val="-8"/>
                <w:kern w:val="0"/>
                <w:szCs w:val="21"/>
              </w:rPr>
            </w:pPr>
            <w:r>
              <w:rPr>
                <w:spacing w:val="-8"/>
                <w:szCs w:val="21"/>
              </w:rPr>
              <w:t>《一般工业固体废物贮存</w:t>
            </w:r>
            <w:r>
              <w:rPr>
                <w:rFonts w:hint="eastAsia"/>
                <w:spacing w:val="-8"/>
                <w:szCs w:val="21"/>
              </w:rPr>
              <w:t>和</w:t>
            </w:r>
            <w:r>
              <w:rPr>
                <w:spacing w:val="-8"/>
                <w:szCs w:val="21"/>
              </w:rPr>
              <w:t>填埋污染控制标准》</w:t>
            </w:r>
            <w:r>
              <w:rPr>
                <w:rFonts w:hint="eastAsia"/>
                <w:spacing w:val="-8"/>
                <w:szCs w:val="21"/>
              </w:rPr>
              <w:t>（</w:t>
            </w:r>
            <w:r>
              <w:rPr>
                <w:spacing w:val="-8"/>
                <w:szCs w:val="21"/>
              </w:rPr>
              <w:t>GB18599-20</w:t>
            </w:r>
            <w:r>
              <w:rPr>
                <w:rFonts w:hint="eastAsia"/>
                <w:spacing w:val="-8"/>
                <w:szCs w:val="21"/>
              </w:rPr>
              <w:t>20）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11" w:type="dxa"/>
            <w:left w:w="28" w:type="dxa"/>
            <w:bottom w:w="11" w:type="dxa"/>
            <w:right w:w="28" w:type="dxa"/>
          </w:tblCellMar>
        </w:tblPrEx>
        <w:trPr>
          <w:trHeight w:val="202" w:hRule="atLeast"/>
          <w:jc w:val="center"/>
        </w:trPr>
        <w:tc>
          <w:tcPr>
            <w:tcW w:w="1026" w:type="dxa"/>
            <w:vMerge w:val="continue"/>
            <w:tcMar>
              <w:top w:w="40" w:type="dxa"/>
              <w:bottom w:w="40" w:type="dxa"/>
            </w:tcMar>
            <w:vAlign w:val="center"/>
          </w:tcPr>
          <w:p>
            <w:pPr>
              <w:adjustRightInd w:val="0"/>
              <w:snapToGrid w:val="0"/>
              <w:spacing w:line="260" w:lineRule="exact"/>
              <w:jc w:val="center"/>
              <w:rPr>
                <w:rFonts w:ascii="宋体" w:hAnsi="宋体" w:cs="宋体"/>
                <w:szCs w:val="21"/>
              </w:rPr>
            </w:pPr>
          </w:p>
        </w:tc>
        <w:tc>
          <w:tcPr>
            <w:tcW w:w="6194" w:type="dxa"/>
            <w:gridSpan w:val="3"/>
            <w:tcBorders>
              <w:top w:val="single" w:color="auto" w:sz="4" w:space="0"/>
              <w:bottom w:val="single" w:color="auto" w:sz="4" w:space="0"/>
              <w:right w:val="single" w:color="auto" w:sz="6" w:space="0"/>
            </w:tcBorders>
            <w:tcMar>
              <w:top w:w="40" w:type="dxa"/>
              <w:bottom w:w="40" w:type="dxa"/>
            </w:tcMar>
            <w:vAlign w:val="center"/>
          </w:tcPr>
          <w:p>
            <w:pPr>
              <w:autoSpaceDE w:val="0"/>
              <w:autoSpaceDN w:val="0"/>
              <w:adjustRightInd w:val="0"/>
              <w:spacing w:line="260" w:lineRule="exact"/>
              <w:jc w:val="left"/>
              <w:rPr>
                <w:szCs w:val="21"/>
              </w:rPr>
            </w:pPr>
            <w:r>
              <w:rPr>
                <w:rFonts w:hint="eastAsia"/>
                <w:bCs/>
                <w:szCs w:val="21"/>
              </w:rPr>
              <w:t>装入</w:t>
            </w:r>
            <w:r>
              <w:rPr>
                <w:bCs/>
                <w:szCs w:val="21"/>
              </w:rPr>
              <w:t>密闭</w:t>
            </w:r>
            <w:r>
              <w:rPr>
                <w:rFonts w:hint="eastAsia"/>
                <w:bCs/>
                <w:szCs w:val="21"/>
              </w:rPr>
              <w:t>容器</w:t>
            </w:r>
            <w:r>
              <w:rPr>
                <w:bCs/>
                <w:szCs w:val="21"/>
              </w:rPr>
              <w:t>，并设置防渗漏底座，之后</w:t>
            </w:r>
            <w:r>
              <w:rPr>
                <w:rFonts w:hint="eastAsia"/>
                <w:bCs/>
                <w:szCs w:val="21"/>
              </w:rPr>
              <w:t>在</w:t>
            </w:r>
            <w:r>
              <w:rPr>
                <w:bCs/>
                <w:szCs w:val="21"/>
              </w:rPr>
              <w:t>厂内危险废物暂存间暂存后（6m</w:t>
            </w:r>
            <w:r>
              <w:rPr>
                <w:bCs/>
                <w:szCs w:val="21"/>
                <w:vertAlign w:val="superscript"/>
              </w:rPr>
              <w:t>2</w:t>
            </w:r>
            <w:r>
              <w:rPr>
                <w:bCs/>
                <w:szCs w:val="21"/>
              </w:rPr>
              <w:t>），定期交有资质的危险废物处置单位处理</w:t>
            </w:r>
          </w:p>
        </w:tc>
        <w:tc>
          <w:tcPr>
            <w:tcW w:w="1689" w:type="dxa"/>
            <w:tcBorders>
              <w:top w:val="single" w:color="auto" w:sz="4" w:space="0"/>
              <w:left w:val="single" w:color="auto" w:sz="6" w:space="0"/>
              <w:bottom w:val="single" w:color="auto" w:sz="4" w:space="0"/>
              <w:right w:val="single" w:color="auto" w:sz="4" w:space="0"/>
            </w:tcBorders>
            <w:tcMar>
              <w:top w:w="40" w:type="dxa"/>
              <w:bottom w:w="40" w:type="dxa"/>
            </w:tcMar>
            <w:vAlign w:val="center"/>
          </w:tcPr>
          <w:p>
            <w:pPr>
              <w:autoSpaceDE w:val="0"/>
              <w:autoSpaceDN w:val="0"/>
              <w:adjustRightInd w:val="0"/>
              <w:spacing w:line="260" w:lineRule="exact"/>
              <w:jc w:val="left"/>
              <w:rPr>
                <w:spacing w:val="-14"/>
                <w:kern w:val="0"/>
                <w:szCs w:val="21"/>
              </w:rPr>
            </w:pPr>
            <w:r>
              <w:rPr>
                <w:spacing w:val="-14"/>
                <w:szCs w:val="21"/>
              </w:rPr>
              <w:t>《危险废物贮存污染控制标准》（GB18597-2001）及2013年修改单</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11" w:type="dxa"/>
            <w:left w:w="28" w:type="dxa"/>
            <w:bottom w:w="11" w:type="dxa"/>
            <w:right w:w="28" w:type="dxa"/>
          </w:tblCellMar>
        </w:tblPrEx>
        <w:trPr>
          <w:trHeight w:val="42" w:hRule="atLeast"/>
          <w:jc w:val="center"/>
        </w:trPr>
        <w:tc>
          <w:tcPr>
            <w:tcW w:w="1026" w:type="dxa"/>
            <w:tcMar>
              <w:top w:w="40" w:type="dxa"/>
              <w:bottom w:w="40" w:type="dxa"/>
            </w:tcMar>
            <w:vAlign w:val="center"/>
          </w:tcPr>
          <w:p>
            <w:pPr>
              <w:adjustRightInd w:val="0"/>
              <w:snapToGrid w:val="0"/>
              <w:spacing w:line="260" w:lineRule="exact"/>
              <w:jc w:val="center"/>
              <w:rPr>
                <w:rFonts w:ascii="宋体" w:hAnsi="宋体" w:cs="宋体"/>
                <w:szCs w:val="21"/>
              </w:rPr>
            </w:pPr>
            <w:r>
              <w:rPr>
                <w:rFonts w:hint="eastAsia" w:ascii="宋体" w:hAnsi="宋体" w:cs="宋体"/>
                <w:szCs w:val="21"/>
              </w:rPr>
              <w:t>土壤及地下水污染防治措施</w:t>
            </w:r>
          </w:p>
        </w:tc>
        <w:tc>
          <w:tcPr>
            <w:tcW w:w="7883" w:type="dxa"/>
            <w:gridSpan w:val="4"/>
            <w:tcBorders>
              <w:top w:val="single" w:color="auto" w:sz="4" w:space="0"/>
            </w:tcBorders>
            <w:tcMar>
              <w:top w:w="40" w:type="dxa"/>
              <w:bottom w:w="40" w:type="dxa"/>
            </w:tcMar>
            <w:vAlign w:val="center"/>
          </w:tcPr>
          <w:p>
            <w:pPr>
              <w:adjustRightInd w:val="0"/>
              <w:snapToGrid w:val="0"/>
              <w:spacing w:line="260" w:lineRule="exact"/>
              <w:rPr>
                <w:rFonts w:ascii="宋体" w:hAnsi="宋体" w:cs="宋体"/>
                <w:szCs w:val="21"/>
              </w:rPr>
            </w:pPr>
            <w:r>
              <w:rPr>
                <w:rFonts w:hint="eastAsia"/>
                <w:szCs w:val="21"/>
              </w:rPr>
              <w:t>车间地面进行水泥硬化，且为全封闭密闭，同时要求厂内设置相应的生活垃圾分类暂存桶，</w:t>
            </w:r>
            <w:r>
              <w:rPr>
                <w:szCs w:val="21"/>
              </w:rPr>
              <w:t>危险废物按照《危险废物贮存污染控制标准》（GB18597-2001）及2013年修改单</w:t>
            </w:r>
            <w:r>
              <w:rPr>
                <w:rFonts w:hint="eastAsia"/>
                <w:szCs w:val="21"/>
              </w:rPr>
              <w:t>相关</w:t>
            </w:r>
            <w:r>
              <w:rPr>
                <w:szCs w:val="21"/>
              </w:rPr>
              <w:t>要求进行建设</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11" w:type="dxa"/>
            <w:left w:w="28" w:type="dxa"/>
            <w:bottom w:w="11" w:type="dxa"/>
            <w:right w:w="28" w:type="dxa"/>
          </w:tblCellMar>
        </w:tblPrEx>
        <w:trPr>
          <w:trHeight w:val="42" w:hRule="atLeast"/>
          <w:jc w:val="center"/>
        </w:trPr>
        <w:tc>
          <w:tcPr>
            <w:tcW w:w="1026" w:type="dxa"/>
            <w:tcMar>
              <w:top w:w="40" w:type="dxa"/>
              <w:bottom w:w="40" w:type="dxa"/>
            </w:tcMar>
            <w:vAlign w:val="center"/>
          </w:tcPr>
          <w:p>
            <w:pPr>
              <w:adjustRightInd w:val="0"/>
              <w:snapToGrid w:val="0"/>
              <w:spacing w:line="260" w:lineRule="exact"/>
              <w:jc w:val="center"/>
              <w:rPr>
                <w:rFonts w:ascii="宋体" w:hAnsi="宋体" w:cs="宋体"/>
                <w:spacing w:val="-8"/>
                <w:szCs w:val="21"/>
              </w:rPr>
            </w:pPr>
            <w:r>
              <w:rPr>
                <w:rFonts w:hint="eastAsia" w:ascii="宋体" w:hAnsi="宋体" w:cs="宋体"/>
                <w:spacing w:val="-8"/>
                <w:szCs w:val="21"/>
              </w:rPr>
              <w:t>其他环境</w:t>
            </w:r>
          </w:p>
          <w:p>
            <w:pPr>
              <w:adjustRightInd w:val="0"/>
              <w:snapToGrid w:val="0"/>
              <w:spacing w:line="260" w:lineRule="exact"/>
              <w:jc w:val="center"/>
              <w:rPr>
                <w:rFonts w:ascii="宋体" w:hAnsi="宋体" w:cs="宋体"/>
                <w:spacing w:val="-8"/>
                <w:szCs w:val="21"/>
              </w:rPr>
            </w:pPr>
            <w:r>
              <w:rPr>
                <w:rFonts w:hint="eastAsia" w:ascii="宋体" w:hAnsi="宋体" w:cs="宋体"/>
                <w:spacing w:val="-8"/>
                <w:szCs w:val="21"/>
              </w:rPr>
              <w:t>管理要求</w:t>
            </w:r>
          </w:p>
        </w:tc>
        <w:tc>
          <w:tcPr>
            <w:tcW w:w="7883" w:type="dxa"/>
            <w:gridSpan w:val="4"/>
            <w:tcMar>
              <w:top w:w="40" w:type="dxa"/>
              <w:bottom w:w="40" w:type="dxa"/>
            </w:tcMar>
            <w:vAlign w:val="center"/>
          </w:tcPr>
          <w:p>
            <w:pPr>
              <w:adjustRightInd w:val="0"/>
              <w:snapToGrid w:val="0"/>
              <w:spacing w:line="260" w:lineRule="exact"/>
              <w:rPr>
                <w:rFonts w:ascii="宋体" w:hAnsi="宋体" w:cs="宋体"/>
                <w:spacing w:val="-8"/>
                <w:szCs w:val="21"/>
              </w:rPr>
            </w:pPr>
            <w:r>
              <w:rPr>
                <w:bCs/>
                <w:spacing w:val="-8"/>
                <w:szCs w:val="21"/>
              </w:rPr>
              <w:t>厂内运输车辆达到国五及以上排放标准（重型燃气车辆达到国六排放标准）</w:t>
            </w:r>
            <w:r>
              <w:rPr>
                <w:rFonts w:hint="eastAsia"/>
                <w:bCs/>
                <w:spacing w:val="-8"/>
                <w:szCs w:val="21"/>
              </w:rPr>
              <w:t>，按当地环保部门的管理要求安装视频监控系统。</w:t>
            </w:r>
            <w:r>
              <w:rPr>
                <w:spacing w:val="-8"/>
                <w:szCs w:val="21"/>
              </w:rPr>
              <w:t>设置环境保护管理机构，负责组织、落实、监督</w:t>
            </w:r>
            <w:r>
              <w:rPr>
                <w:rFonts w:hint="eastAsia"/>
                <w:spacing w:val="-8"/>
                <w:szCs w:val="21"/>
              </w:rPr>
              <w:t>本项目</w:t>
            </w:r>
            <w:r>
              <w:rPr>
                <w:spacing w:val="-8"/>
                <w:szCs w:val="21"/>
              </w:rPr>
              <w:t>的环保工作</w:t>
            </w:r>
            <w:r>
              <w:rPr>
                <w:rFonts w:hint="eastAsia"/>
                <w:spacing w:val="-8"/>
                <w:szCs w:val="21"/>
              </w:rPr>
              <w:t>，本项目应由</w:t>
            </w:r>
            <w:r>
              <w:rPr>
                <w:spacing w:val="-8"/>
                <w:szCs w:val="21"/>
              </w:rPr>
              <w:t>一名主管</w:t>
            </w:r>
            <w:r>
              <w:rPr>
                <w:rFonts w:hint="eastAsia"/>
                <w:spacing w:val="-8"/>
                <w:szCs w:val="21"/>
              </w:rPr>
              <w:t>副厂长</w:t>
            </w:r>
            <w:r>
              <w:rPr>
                <w:spacing w:val="-8"/>
                <w:szCs w:val="21"/>
              </w:rPr>
              <w:t>分管</w:t>
            </w:r>
            <w:r>
              <w:rPr>
                <w:rFonts w:hint="eastAsia"/>
                <w:spacing w:val="-8"/>
                <w:szCs w:val="21"/>
              </w:rPr>
              <w:t>厂内</w:t>
            </w:r>
            <w:r>
              <w:rPr>
                <w:spacing w:val="-8"/>
                <w:szCs w:val="21"/>
              </w:rPr>
              <w:t>的环保工作，</w:t>
            </w:r>
            <w:r>
              <w:rPr>
                <w:rFonts w:hint="eastAsia"/>
                <w:spacing w:val="-8"/>
                <w:szCs w:val="21"/>
              </w:rPr>
              <w:t>并</w:t>
            </w:r>
            <w:r>
              <w:rPr>
                <w:spacing w:val="-8"/>
                <w:szCs w:val="21"/>
              </w:rPr>
              <w:t>设立环保专门机构，配备1名专职人员负责具体工作</w:t>
            </w:r>
            <w:r>
              <w:rPr>
                <w:rFonts w:hint="eastAsia"/>
                <w:spacing w:val="-8"/>
                <w:szCs w:val="21"/>
              </w:rPr>
              <w:t>。</w:t>
            </w:r>
          </w:p>
        </w:tc>
      </w:tr>
    </w:tbl>
    <w:p>
      <w:pPr>
        <w:pStyle w:val="18"/>
        <w:jc w:val="center"/>
        <w:outlineLvl w:val="0"/>
        <w:rPr>
          <w:rFonts w:ascii="Times New Roman" w:hAnsi="Times New Roman"/>
          <w:snapToGrid w:val="0"/>
          <w:sz w:val="30"/>
          <w:szCs w:val="30"/>
        </w:rPr>
      </w:pPr>
      <w:r>
        <w:rPr>
          <w:rFonts w:hint="eastAsia" w:ascii="Times New Roman" w:hAnsi="Times New Roman"/>
          <w:b/>
          <w:bCs/>
          <w:snapToGrid w:val="0"/>
          <w:sz w:val="30"/>
          <w:szCs w:val="30"/>
        </w:rPr>
        <w:t>六、结论</w:t>
      </w:r>
    </w:p>
    <w:tbl>
      <w:tblPr>
        <w:tblStyle w:val="22"/>
        <w:tblW w:w="886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vAlign w:val="center"/>
          </w:tcPr>
          <w:p>
            <w:pPr>
              <w:spacing w:line="500" w:lineRule="exact"/>
              <w:ind w:firstLine="480" w:firstLineChars="200"/>
              <w:rPr>
                <w:bCs/>
                <w:sz w:val="24"/>
              </w:rPr>
            </w:pPr>
            <w:r>
              <w:rPr>
                <w:rFonts w:hint="eastAsia"/>
                <w:bCs/>
                <w:sz w:val="24"/>
              </w:rPr>
              <w:t>鲁山县恒兴工贸有限公司年产3万吨固废粉末罐装储存项目符合国家产业政策，在采取相应的治理措施后，本项目在运行过程中产生的各种污染因素可达到相关环境标准和环保法规的要求，对周围水环境、大气环境、声环境的影响较小。在本项目实施过程中，必须严格落实本评价提出的各项污染防治措施和相关管理规定，确保环保设施正常运转。在此前提下，从环境保护角度考虑，项目建设是可行的。</w:t>
            </w:r>
          </w:p>
        </w:tc>
      </w:tr>
    </w:tbl>
    <w:p>
      <w:pPr>
        <w:sectPr>
          <w:pgSz w:w="11906" w:h="16838"/>
          <w:pgMar w:top="1701" w:right="1531" w:bottom="1701" w:left="1531" w:header="851" w:footer="851" w:gutter="0"/>
          <w:cols w:space="720" w:num="1"/>
          <w:docGrid w:linePitch="312" w:charSpace="0"/>
        </w:sectPr>
      </w:pPr>
    </w:p>
    <w:p>
      <w:pPr>
        <w:pStyle w:val="18"/>
        <w:adjustRightInd w:val="0"/>
        <w:snapToGrid w:val="0"/>
        <w:spacing w:before="0" w:beforeAutospacing="0" w:after="0" w:afterAutospacing="0" w:line="648" w:lineRule="auto"/>
        <w:outlineLvl w:val="0"/>
        <w:rPr>
          <w:rFonts w:ascii="Times New Roman" w:hAnsi="Times New Roman"/>
          <w:snapToGrid w:val="0"/>
          <w:sz w:val="32"/>
          <w:szCs w:val="32"/>
        </w:rPr>
      </w:pPr>
      <w:r>
        <w:rPr>
          <w:rFonts w:hint="eastAsia" w:ascii="Times New Roman" w:hAnsi="Times New Roman"/>
          <w:snapToGrid w:val="0"/>
          <w:sz w:val="32"/>
          <w:szCs w:val="32"/>
        </w:rPr>
        <w:t>附表</w:t>
      </w:r>
    </w:p>
    <w:p>
      <w:pPr>
        <w:pStyle w:val="18"/>
        <w:adjustRightInd w:val="0"/>
        <w:snapToGrid w:val="0"/>
        <w:spacing w:before="0" w:beforeAutospacing="0" w:after="0" w:afterAutospacing="0" w:line="360" w:lineRule="auto"/>
        <w:jc w:val="center"/>
        <w:outlineLvl w:val="0"/>
        <w:rPr>
          <w:rFonts w:ascii="Times New Roman" w:hAnsi="Times New Roman"/>
          <w:snapToGrid w:val="0"/>
          <w:sz w:val="38"/>
          <w:szCs w:val="38"/>
        </w:rPr>
      </w:pPr>
      <w:r>
        <w:rPr>
          <w:rFonts w:hint="eastAsia" w:ascii="Times New Roman" w:hAnsi="Times New Roman"/>
          <w:snapToGrid w:val="0"/>
          <w:sz w:val="38"/>
          <w:szCs w:val="38"/>
        </w:rPr>
        <w:t>建设项目污染物排放量汇总表</w:t>
      </w:r>
    </w:p>
    <w:tbl>
      <w:tblPr>
        <w:tblStyle w:val="22"/>
        <w:tblW w:w="1378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88"/>
        <w:gridCol w:w="1417"/>
        <w:gridCol w:w="1701"/>
        <w:gridCol w:w="1276"/>
        <w:gridCol w:w="1701"/>
        <w:gridCol w:w="1464"/>
        <w:gridCol w:w="1713"/>
        <w:gridCol w:w="1512"/>
        <w:gridCol w:w="141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588" w:type="dxa"/>
            <w:tcBorders>
              <w:tl2br w:val="single" w:color="auto" w:sz="4" w:space="0"/>
            </w:tcBorders>
            <w:tcMar>
              <w:left w:w="28" w:type="dxa"/>
              <w:right w:w="28" w:type="dxa"/>
            </w:tcMar>
            <w:vAlign w:val="center"/>
          </w:tcPr>
          <w:p>
            <w:pPr>
              <w:pStyle w:val="36"/>
              <w:spacing w:beforeLines="0" w:afterLines="0" w:line="240" w:lineRule="auto"/>
              <w:jc w:val="right"/>
              <w:rPr>
                <w:rFonts w:ascii="Times New Roman" w:cs="宋体"/>
                <w:snapToGrid w:val="0"/>
                <w:spacing w:val="-6"/>
                <w:kern w:val="21"/>
                <w:szCs w:val="21"/>
              </w:rPr>
            </w:pPr>
            <w:r>
              <w:rPr>
                <w:rFonts w:hint="eastAsia" w:ascii="Times New Roman" w:cs="宋体"/>
                <w:snapToGrid w:val="0"/>
                <w:spacing w:val="-6"/>
                <w:kern w:val="21"/>
                <w:szCs w:val="21"/>
              </w:rPr>
              <w:t>项目</w:t>
            </w:r>
          </w:p>
          <w:p>
            <w:pPr>
              <w:pStyle w:val="36"/>
              <w:spacing w:beforeLines="0" w:afterLines="0" w:line="240" w:lineRule="auto"/>
              <w:jc w:val="left"/>
              <w:rPr>
                <w:rFonts w:ascii="Times New Roman" w:cs="宋体"/>
                <w:snapToGrid w:val="0"/>
                <w:spacing w:val="-6"/>
                <w:kern w:val="21"/>
                <w:szCs w:val="21"/>
              </w:rPr>
            </w:pPr>
            <w:r>
              <w:rPr>
                <w:rFonts w:hint="eastAsia" w:ascii="Times New Roman" w:cs="宋体"/>
                <w:snapToGrid w:val="0"/>
                <w:spacing w:val="-6"/>
                <w:kern w:val="21"/>
                <w:szCs w:val="21"/>
              </w:rPr>
              <w:t>分类</w:t>
            </w:r>
          </w:p>
        </w:tc>
        <w:tc>
          <w:tcPr>
            <w:tcW w:w="1417" w:type="dxa"/>
            <w:tcMar>
              <w:left w:w="28" w:type="dxa"/>
              <w:right w:w="28" w:type="dxa"/>
            </w:tcMar>
            <w:vAlign w:val="center"/>
          </w:tcPr>
          <w:p>
            <w:pPr>
              <w:pStyle w:val="36"/>
              <w:spacing w:beforeLines="0" w:afterLines="0" w:line="240" w:lineRule="auto"/>
              <w:rPr>
                <w:rFonts w:ascii="Times New Roman" w:cs="宋体"/>
                <w:snapToGrid w:val="0"/>
                <w:spacing w:val="-6"/>
                <w:kern w:val="21"/>
                <w:szCs w:val="21"/>
              </w:rPr>
            </w:pPr>
            <w:r>
              <w:rPr>
                <w:rFonts w:hint="eastAsia" w:ascii="Times New Roman" w:cs="宋体"/>
                <w:snapToGrid w:val="0"/>
                <w:spacing w:val="-6"/>
                <w:kern w:val="21"/>
                <w:szCs w:val="21"/>
              </w:rPr>
              <w:t>污染物名称</w:t>
            </w:r>
          </w:p>
        </w:tc>
        <w:tc>
          <w:tcPr>
            <w:tcW w:w="1701" w:type="dxa"/>
            <w:tcMar>
              <w:left w:w="28" w:type="dxa"/>
              <w:right w:w="28" w:type="dxa"/>
            </w:tcMar>
            <w:vAlign w:val="center"/>
          </w:tcPr>
          <w:p>
            <w:pPr>
              <w:pStyle w:val="36"/>
              <w:spacing w:beforeLines="0" w:afterLines="0" w:line="240" w:lineRule="auto"/>
              <w:rPr>
                <w:rFonts w:ascii="Times New Roman"/>
                <w:snapToGrid w:val="0"/>
                <w:spacing w:val="-6"/>
                <w:kern w:val="21"/>
                <w:szCs w:val="21"/>
              </w:rPr>
            </w:pPr>
            <w:r>
              <w:rPr>
                <w:rFonts w:ascii="Times New Roman"/>
                <w:snapToGrid w:val="0"/>
                <w:spacing w:val="-6"/>
                <w:kern w:val="21"/>
                <w:szCs w:val="21"/>
              </w:rPr>
              <w:t>现有工程</w:t>
            </w:r>
          </w:p>
          <w:p>
            <w:pPr>
              <w:pStyle w:val="36"/>
              <w:spacing w:beforeLines="0" w:afterLines="0" w:line="240" w:lineRule="auto"/>
              <w:rPr>
                <w:rFonts w:ascii="Times New Roman"/>
                <w:snapToGrid w:val="0"/>
                <w:spacing w:val="-6"/>
                <w:kern w:val="21"/>
                <w:szCs w:val="21"/>
              </w:rPr>
            </w:pPr>
            <w:r>
              <w:rPr>
                <w:rFonts w:ascii="Times New Roman"/>
                <w:snapToGrid w:val="0"/>
                <w:spacing w:val="-6"/>
                <w:kern w:val="21"/>
                <w:szCs w:val="21"/>
              </w:rPr>
              <w:t>排放量（固</w:t>
            </w:r>
            <w:r>
              <w:rPr>
                <w:rFonts w:hint="eastAsia" w:ascii="Times New Roman"/>
                <w:snapToGrid w:val="0"/>
                <w:spacing w:val="-6"/>
                <w:kern w:val="21"/>
                <w:szCs w:val="21"/>
              </w:rPr>
              <w:t>体</w:t>
            </w:r>
            <w:r>
              <w:rPr>
                <w:rFonts w:ascii="Times New Roman"/>
                <w:snapToGrid w:val="0"/>
                <w:spacing w:val="-6"/>
                <w:kern w:val="21"/>
                <w:szCs w:val="21"/>
              </w:rPr>
              <w:t>废</w:t>
            </w:r>
            <w:r>
              <w:rPr>
                <w:rFonts w:hint="eastAsia" w:ascii="Times New Roman"/>
                <w:snapToGrid w:val="0"/>
                <w:spacing w:val="-6"/>
                <w:kern w:val="21"/>
                <w:szCs w:val="21"/>
              </w:rPr>
              <w:t>物</w:t>
            </w:r>
            <w:r>
              <w:rPr>
                <w:rFonts w:ascii="Times New Roman"/>
                <w:snapToGrid w:val="0"/>
                <w:spacing w:val="-6"/>
                <w:kern w:val="21"/>
                <w:szCs w:val="21"/>
              </w:rPr>
              <w:t>产生量）</w:t>
            </w:r>
            <w:r>
              <w:rPr>
                <w:rFonts w:ascii="Times New Roman"/>
                <w:snapToGrid w:val="0"/>
                <w:spacing w:val="-6"/>
                <w:kern w:val="21"/>
                <w:szCs w:val="21"/>
              </w:rPr>
              <w:fldChar w:fldCharType="begin"/>
            </w:r>
            <w:r>
              <w:rPr>
                <w:rFonts w:ascii="Times New Roman"/>
                <w:snapToGrid w:val="0"/>
                <w:spacing w:val="-6"/>
                <w:kern w:val="21"/>
                <w:szCs w:val="21"/>
              </w:rPr>
              <w:instrText xml:space="preserve"> = 1 \* GB3 \* MERGEFORMAT </w:instrText>
            </w:r>
            <w:r>
              <w:rPr>
                <w:rFonts w:ascii="Times New Roman"/>
                <w:snapToGrid w:val="0"/>
                <w:spacing w:val="-6"/>
                <w:kern w:val="21"/>
                <w:szCs w:val="21"/>
              </w:rPr>
              <w:fldChar w:fldCharType="separate"/>
            </w:r>
            <w:r>
              <w:rPr>
                <w:rFonts w:hint="eastAsia" w:ascii="Times New Roman" w:cs="宋体"/>
                <w:kern w:val="2"/>
                <w:szCs w:val="21"/>
              </w:rPr>
              <w:t>①</w:t>
            </w:r>
            <w:r>
              <w:rPr>
                <w:rFonts w:ascii="Times New Roman"/>
                <w:snapToGrid w:val="0"/>
                <w:spacing w:val="-6"/>
                <w:kern w:val="21"/>
                <w:szCs w:val="21"/>
              </w:rPr>
              <w:fldChar w:fldCharType="end"/>
            </w:r>
          </w:p>
        </w:tc>
        <w:tc>
          <w:tcPr>
            <w:tcW w:w="1276" w:type="dxa"/>
            <w:tcMar>
              <w:left w:w="28" w:type="dxa"/>
              <w:right w:w="28" w:type="dxa"/>
            </w:tcMar>
            <w:vAlign w:val="center"/>
          </w:tcPr>
          <w:p>
            <w:pPr>
              <w:pStyle w:val="36"/>
              <w:spacing w:beforeLines="0" w:afterLines="0" w:line="240" w:lineRule="auto"/>
              <w:rPr>
                <w:rFonts w:ascii="Times New Roman"/>
                <w:snapToGrid w:val="0"/>
                <w:spacing w:val="-6"/>
                <w:kern w:val="21"/>
                <w:szCs w:val="21"/>
              </w:rPr>
            </w:pPr>
            <w:r>
              <w:rPr>
                <w:rFonts w:ascii="Times New Roman"/>
                <w:snapToGrid w:val="0"/>
                <w:spacing w:val="-6"/>
                <w:kern w:val="21"/>
                <w:szCs w:val="21"/>
              </w:rPr>
              <w:t>现有工程</w:t>
            </w:r>
          </w:p>
          <w:p>
            <w:pPr>
              <w:pStyle w:val="36"/>
              <w:spacing w:beforeLines="0" w:afterLines="0" w:line="240" w:lineRule="auto"/>
              <w:rPr>
                <w:rFonts w:ascii="Times New Roman"/>
                <w:snapToGrid w:val="0"/>
                <w:spacing w:val="-6"/>
                <w:kern w:val="21"/>
                <w:szCs w:val="21"/>
              </w:rPr>
            </w:pPr>
            <w:r>
              <w:rPr>
                <w:rFonts w:ascii="Times New Roman"/>
                <w:snapToGrid w:val="0"/>
                <w:spacing w:val="-6"/>
                <w:kern w:val="21"/>
                <w:szCs w:val="21"/>
              </w:rPr>
              <w:t>许可排放量</w:t>
            </w:r>
          </w:p>
          <w:p>
            <w:pPr>
              <w:pStyle w:val="36"/>
              <w:spacing w:beforeLines="0" w:afterLines="0"/>
              <w:rPr>
                <w:rFonts w:ascii="Times New Roman"/>
                <w:snapToGrid w:val="0"/>
                <w:spacing w:val="-6"/>
                <w:kern w:val="21"/>
                <w:szCs w:val="21"/>
              </w:rPr>
            </w:pPr>
            <w:r>
              <w:rPr>
                <w:rFonts w:ascii="Times New Roman"/>
                <w:snapToGrid w:val="0"/>
                <w:spacing w:val="-6"/>
                <w:kern w:val="21"/>
                <w:szCs w:val="21"/>
              </w:rPr>
              <w:fldChar w:fldCharType="begin"/>
            </w:r>
            <w:r>
              <w:rPr>
                <w:rFonts w:ascii="Times New Roman"/>
                <w:snapToGrid w:val="0"/>
                <w:spacing w:val="-6"/>
                <w:kern w:val="21"/>
                <w:szCs w:val="21"/>
              </w:rPr>
              <w:instrText xml:space="preserve"> = 2 \* GB3 \* MERGEFORMAT </w:instrText>
            </w:r>
            <w:r>
              <w:rPr>
                <w:rFonts w:ascii="Times New Roman"/>
                <w:snapToGrid w:val="0"/>
                <w:spacing w:val="-6"/>
                <w:kern w:val="21"/>
                <w:szCs w:val="21"/>
              </w:rPr>
              <w:fldChar w:fldCharType="separate"/>
            </w:r>
            <w:r>
              <w:rPr>
                <w:rFonts w:hint="eastAsia" w:ascii="Times New Roman" w:cs="宋体"/>
                <w:snapToGrid w:val="0"/>
                <w:spacing w:val="-6"/>
                <w:kern w:val="21"/>
                <w:szCs w:val="21"/>
              </w:rPr>
              <w:t>②</w:t>
            </w:r>
            <w:r>
              <w:rPr>
                <w:rFonts w:ascii="Times New Roman"/>
                <w:snapToGrid w:val="0"/>
                <w:spacing w:val="-6"/>
                <w:kern w:val="21"/>
                <w:szCs w:val="21"/>
              </w:rPr>
              <w:fldChar w:fldCharType="end"/>
            </w:r>
          </w:p>
        </w:tc>
        <w:tc>
          <w:tcPr>
            <w:tcW w:w="1701" w:type="dxa"/>
            <w:tcMar>
              <w:left w:w="28" w:type="dxa"/>
              <w:right w:w="28" w:type="dxa"/>
            </w:tcMar>
            <w:vAlign w:val="center"/>
          </w:tcPr>
          <w:p>
            <w:pPr>
              <w:pStyle w:val="36"/>
              <w:spacing w:beforeLines="0" w:afterLines="0" w:line="240" w:lineRule="auto"/>
              <w:rPr>
                <w:rFonts w:ascii="Times New Roman"/>
                <w:snapToGrid w:val="0"/>
                <w:spacing w:val="-6"/>
                <w:kern w:val="21"/>
                <w:szCs w:val="21"/>
              </w:rPr>
            </w:pPr>
            <w:r>
              <w:rPr>
                <w:rFonts w:ascii="Times New Roman"/>
                <w:snapToGrid w:val="0"/>
                <w:spacing w:val="-6"/>
                <w:kern w:val="21"/>
                <w:szCs w:val="21"/>
              </w:rPr>
              <w:t>在建工程</w:t>
            </w:r>
          </w:p>
          <w:p>
            <w:pPr>
              <w:pStyle w:val="36"/>
              <w:spacing w:beforeLines="0" w:afterLines="0" w:line="240" w:lineRule="auto"/>
              <w:rPr>
                <w:rFonts w:ascii="Times New Roman"/>
                <w:snapToGrid w:val="0"/>
                <w:spacing w:val="-6"/>
                <w:kern w:val="21"/>
                <w:szCs w:val="21"/>
              </w:rPr>
            </w:pPr>
            <w:r>
              <w:rPr>
                <w:rFonts w:ascii="Times New Roman"/>
                <w:snapToGrid w:val="0"/>
                <w:spacing w:val="-6"/>
                <w:kern w:val="21"/>
                <w:szCs w:val="21"/>
              </w:rPr>
              <w:t>排放量（固</w:t>
            </w:r>
            <w:r>
              <w:rPr>
                <w:rFonts w:hint="eastAsia" w:ascii="Times New Roman"/>
                <w:snapToGrid w:val="0"/>
                <w:spacing w:val="-6"/>
                <w:kern w:val="21"/>
                <w:szCs w:val="21"/>
              </w:rPr>
              <w:t>体</w:t>
            </w:r>
            <w:r>
              <w:rPr>
                <w:rFonts w:ascii="Times New Roman"/>
                <w:snapToGrid w:val="0"/>
                <w:spacing w:val="-6"/>
                <w:kern w:val="21"/>
                <w:szCs w:val="21"/>
              </w:rPr>
              <w:t>废</w:t>
            </w:r>
            <w:r>
              <w:rPr>
                <w:rFonts w:hint="eastAsia" w:ascii="Times New Roman"/>
                <w:snapToGrid w:val="0"/>
                <w:spacing w:val="-6"/>
                <w:kern w:val="21"/>
                <w:szCs w:val="21"/>
              </w:rPr>
              <w:t>物</w:t>
            </w:r>
            <w:r>
              <w:rPr>
                <w:rFonts w:ascii="Times New Roman"/>
                <w:snapToGrid w:val="0"/>
                <w:spacing w:val="-6"/>
                <w:kern w:val="21"/>
                <w:szCs w:val="21"/>
              </w:rPr>
              <w:t>产生量）</w:t>
            </w:r>
            <w:r>
              <w:rPr>
                <w:rFonts w:ascii="Times New Roman"/>
                <w:snapToGrid w:val="0"/>
                <w:spacing w:val="-6"/>
                <w:kern w:val="21"/>
                <w:szCs w:val="21"/>
              </w:rPr>
              <w:fldChar w:fldCharType="begin"/>
            </w:r>
            <w:r>
              <w:rPr>
                <w:rFonts w:ascii="Times New Roman"/>
                <w:snapToGrid w:val="0"/>
                <w:spacing w:val="-6"/>
                <w:kern w:val="21"/>
                <w:szCs w:val="21"/>
              </w:rPr>
              <w:instrText xml:space="preserve"> = 3 \* GB3 \* MERGEFORMAT </w:instrText>
            </w:r>
            <w:r>
              <w:rPr>
                <w:rFonts w:ascii="Times New Roman"/>
                <w:snapToGrid w:val="0"/>
                <w:spacing w:val="-6"/>
                <w:kern w:val="21"/>
                <w:szCs w:val="21"/>
              </w:rPr>
              <w:fldChar w:fldCharType="separate"/>
            </w:r>
            <w:r>
              <w:rPr>
                <w:rFonts w:hint="eastAsia" w:ascii="Times New Roman" w:cs="宋体"/>
                <w:kern w:val="2"/>
                <w:szCs w:val="21"/>
              </w:rPr>
              <w:t>③</w:t>
            </w:r>
            <w:r>
              <w:rPr>
                <w:rFonts w:ascii="Times New Roman"/>
                <w:snapToGrid w:val="0"/>
                <w:spacing w:val="-6"/>
                <w:kern w:val="21"/>
                <w:szCs w:val="21"/>
              </w:rPr>
              <w:fldChar w:fldCharType="end"/>
            </w:r>
          </w:p>
        </w:tc>
        <w:tc>
          <w:tcPr>
            <w:tcW w:w="1464" w:type="dxa"/>
            <w:tcMar>
              <w:left w:w="28" w:type="dxa"/>
              <w:right w:w="28" w:type="dxa"/>
            </w:tcMar>
            <w:vAlign w:val="center"/>
          </w:tcPr>
          <w:p>
            <w:pPr>
              <w:pStyle w:val="36"/>
              <w:spacing w:beforeLines="0" w:afterLines="0" w:line="240" w:lineRule="auto"/>
              <w:rPr>
                <w:rFonts w:ascii="Times New Roman"/>
                <w:snapToGrid w:val="0"/>
                <w:spacing w:val="-6"/>
                <w:kern w:val="21"/>
                <w:szCs w:val="21"/>
              </w:rPr>
            </w:pPr>
            <w:r>
              <w:rPr>
                <w:rFonts w:ascii="Times New Roman"/>
                <w:snapToGrid w:val="0"/>
                <w:spacing w:val="-6"/>
                <w:kern w:val="21"/>
                <w:szCs w:val="21"/>
              </w:rPr>
              <w:t>本项目</w:t>
            </w:r>
          </w:p>
          <w:p>
            <w:pPr>
              <w:pStyle w:val="36"/>
              <w:spacing w:beforeLines="0" w:afterLines="0" w:line="240" w:lineRule="auto"/>
              <w:rPr>
                <w:rFonts w:ascii="Times New Roman"/>
                <w:snapToGrid w:val="0"/>
                <w:spacing w:val="-6"/>
                <w:kern w:val="21"/>
                <w:szCs w:val="21"/>
              </w:rPr>
            </w:pPr>
            <w:r>
              <w:rPr>
                <w:rFonts w:ascii="Times New Roman"/>
                <w:snapToGrid w:val="0"/>
                <w:spacing w:val="-6"/>
                <w:kern w:val="21"/>
                <w:szCs w:val="21"/>
              </w:rPr>
              <w:t>排放量（固</w:t>
            </w:r>
            <w:r>
              <w:rPr>
                <w:rFonts w:hint="eastAsia" w:ascii="Times New Roman"/>
                <w:snapToGrid w:val="0"/>
                <w:spacing w:val="-6"/>
                <w:kern w:val="21"/>
                <w:szCs w:val="21"/>
              </w:rPr>
              <w:t>体</w:t>
            </w:r>
            <w:r>
              <w:rPr>
                <w:rFonts w:ascii="Times New Roman"/>
                <w:snapToGrid w:val="0"/>
                <w:spacing w:val="-6"/>
                <w:kern w:val="21"/>
                <w:szCs w:val="21"/>
              </w:rPr>
              <w:t>废</w:t>
            </w:r>
            <w:r>
              <w:rPr>
                <w:rFonts w:hint="eastAsia" w:ascii="Times New Roman"/>
                <w:snapToGrid w:val="0"/>
                <w:spacing w:val="-6"/>
                <w:kern w:val="21"/>
                <w:szCs w:val="21"/>
              </w:rPr>
              <w:t>物</w:t>
            </w:r>
            <w:r>
              <w:rPr>
                <w:rFonts w:ascii="Times New Roman"/>
                <w:snapToGrid w:val="0"/>
                <w:spacing w:val="-6"/>
                <w:kern w:val="21"/>
                <w:szCs w:val="21"/>
              </w:rPr>
              <w:t>产生量）</w:t>
            </w:r>
            <w:r>
              <w:rPr>
                <w:rFonts w:ascii="Times New Roman"/>
                <w:snapToGrid w:val="0"/>
                <w:spacing w:val="-6"/>
                <w:kern w:val="21"/>
                <w:szCs w:val="21"/>
              </w:rPr>
              <w:fldChar w:fldCharType="begin"/>
            </w:r>
            <w:r>
              <w:rPr>
                <w:rFonts w:ascii="Times New Roman"/>
                <w:snapToGrid w:val="0"/>
                <w:spacing w:val="-6"/>
                <w:kern w:val="21"/>
                <w:szCs w:val="21"/>
              </w:rPr>
              <w:instrText xml:space="preserve"> = 4 \* GB3 \* MERGEFORMAT </w:instrText>
            </w:r>
            <w:r>
              <w:rPr>
                <w:rFonts w:ascii="Times New Roman"/>
                <w:snapToGrid w:val="0"/>
                <w:spacing w:val="-6"/>
                <w:kern w:val="21"/>
                <w:szCs w:val="21"/>
              </w:rPr>
              <w:fldChar w:fldCharType="separate"/>
            </w:r>
            <w:r>
              <w:rPr>
                <w:rFonts w:hint="eastAsia" w:ascii="Times New Roman" w:cs="宋体"/>
                <w:kern w:val="2"/>
                <w:szCs w:val="21"/>
              </w:rPr>
              <w:t>④</w:t>
            </w:r>
            <w:r>
              <w:rPr>
                <w:rFonts w:ascii="Times New Roman"/>
                <w:snapToGrid w:val="0"/>
                <w:spacing w:val="-6"/>
                <w:kern w:val="21"/>
                <w:szCs w:val="21"/>
              </w:rPr>
              <w:fldChar w:fldCharType="end"/>
            </w:r>
          </w:p>
        </w:tc>
        <w:tc>
          <w:tcPr>
            <w:tcW w:w="1713" w:type="dxa"/>
            <w:tcMar>
              <w:left w:w="28" w:type="dxa"/>
              <w:right w:w="28" w:type="dxa"/>
            </w:tcMar>
            <w:vAlign w:val="center"/>
          </w:tcPr>
          <w:p>
            <w:pPr>
              <w:pStyle w:val="36"/>
              <w:spacing w:beforeLines="0" w:afterLines="0" w:line="240" w:lineRule="auto"/>
              <w:rPr>
                <w:rFonts w:ascii="Times New Roman"/>
                <w:snapToGrid w:val="0"/>
                <w:spacing w:val="-16"/>
                <w:kern w:val="21"/>
                <w:szCs w:val="21"/>
              </w:rPr>
            </w:pPr>
            <w:r>
              <w:rPr>
                <w:rFonts w:ascii="Times New Roman"/>
                <w:snapToGrid w:val="0"/>
                <w:spacing w:val="-16"/>
                <w:kern w:val="21"/>
                <w:szCs w:val="21"/>
              </w:rPr>
              <w:t>以新带老削减量</w:t>
            </w:r>
          </w:p>
          <w:p>
            <w:pPr>
              <w:pStyle w:val="36"/>
              <w:spacing w:beforeLines="0" w:afterLines="0" w:line="240" w:lineRule="auto"/>
              <w:rPr>
                <w:rFonts w:ascii="Times New Roman"/>
                <w:snapToGrid w:val="0"/>
                <w:spacing w:val="-16"/>
                <w:kern w:val="21"/>
                <w:szCs w:val="21"/>
              </w:rPr>
            </w:pPr>
            <w:r>
              <w:rPr>
                <w:rFonts w:ascii="Times New Roman"/>
                <w:snapToGrid w:val="0"/>
                <w:spacing w:val="-16"/>
                <w:kern w:val="21"/>
                <w:szCs w:val="21"/>
              </w:rPr>
              <w:t>（新建项目不填）</w:t>
            </w:r>
            <w:r>
              <w:rPr>
                <w:rFonts w:ascii="Times New Roman"/>
                <w:snapToGrid w:val="0"/>
                <w:spacing w:val="-16"/>
                <w:kern w:val="21"/>
                <w:szCs w:val="21"/>
              </w:rPr>
              <w:fldChar w:fldCharType="begin"/>
            </w:r>
            <w:r>
              <w:rPr>
                <w:rFonts w:ascii="Times New Roman"/>
                <w:snapToGrid w:val="0"/>
                <w:spacing w:val="-16"/>
                <w:kern w:val="21"/>
                <w:szCs w:val="21"/>
              </w:rPr>
              <w:instrText xml:space="preserve"> = 5 \* GB3 \* MERGEFORMAT </w:instrText>
            </w:r>
            <w:r>
              <w:rPr>
                <w:rFonts w:ascii="Times New Roman"/>
                <w:snapToGrid w:val="0"/>
                <w:spacing w:val="-16"/>
                <w:kern w:val="21"/>
                <w:szCs w:val="21"/>
              </w:rPr>
              <w:fldChar w:fldCharType="separate"/>
            </w:r>
            <w:r>
              <w:rPr>
                <w:rFonts w:hint="eastAsia" w:ascii="Times New Roman" w:cs="宋体"/>
                <w:kern w:val="2"/>
                <w:szCs w:val="21"/>
              </w:rPr>
              <w:t>⑤</w:t>
            </w:r>
            <w:r>
              <w:rPr>
                <w:rFonts w:ascii="Times New Roman"/>
                <w:snapToGrid w:val="0"/>
                <w:spacing w:val="-16"/>
                <w:kern w:val="21"/>
                <w:szCs w:val="21"/>
              </w:rPr>
              <w:fldChar w:fldCharType="end"/>
            </w:r>
          </w:p>
        </w:tc>
        <w:tc>
          <w:tcPr>
            <w:tcW w:w="1512" w:type="dxa"/>
            <w:tcMar>
              <w:left w:w="28" w:type="dxa"/>
              <w:right w:w="28" w:type="dxa"/>
            </w:tcMar>
            <w:vAlign w:val="center"/>
          </w:tcPr>
          <w:p>
            <w:pPr>
              <w:pStyle w:val="36"/>
              <w:spacing w:beforeLines="0" w:afterLines="0" w:line="240" w:lineRule="auto"/>
              <w:rPr>
                <w:rFonts w:ascii="Times New Roman"/>
                <w:snapToGrid w:val="0"/>
                <w:spacing w:val="-16"/>
                <w:kern w:val="21"/>
                <w:szCs w:val="21"/>
              </w:rPr>
            </w:pPr>
            <w:r>
              <w:rPr>
                <w:rFonts w:ascii="Times New Roman"/>
                <w:snapToGrid w:val="0"/>
                <w:spacing w:val="-16"/>
                <w:kern w:val="21"/>
                <w:szCs w:val="21"/>
              </w:rPr>
              <w:t>本项目建成后</w:t>
            </w:r>
          </w:p>
          <w:p>
            <w:pPr>
              <w:pStyle w:val="36"/>
              <w:spacing w:beforeLines="0" w:afterLines="0" w:line="240" w:lineRule="auto"/>
              <w:rPr>
                <w:rFonts w:ascii="Times New Roman"/>
                <w:snapToGrid w:val="0"/>
                <w:spacing w:val="-16"/>
                <w:kern w:val="21"/>
                <w:szCs w:val="21"/>
              </w:rPr>
            </w:pPr>
            <w:r>
              <w:rPr>
                <w:rFonts w:hint="eastAsia" w:ascii="Times New Roman"/>
                <w:snapToGrid w:val="0"/>
                <w:spacing w:val="-16"/>
                <w:kern w:val="21"/>
                <w:szCs w:val="21"/>
              </w:rPr>
              <w:t>全厂</w:t>
            </w:r>
            <w:r>
              <w:rPr>
                <w:rFonts w:ascii="Times New Roman"/>
                <w:snapToGrid w:val="0"/>
                <w:spacing w:val="-16"/>
                <w:kern w:val="21"/>
                <w:szCs w:val="21"/>
              </w:rPr>
              <w:t>排放量（固</w:t>
            </w:r>
            <w:r>
              <w:rPr>
                <w:rFonts w:hint="eastAsia" w:ascii="Times New Roman"/>
                <w:snapToGrid w:val="0"/>
                <w:spacing w:val="-16"/>
                <w:kern w:val="21"/>
                <w:szCs w:val="21"/>
              </w:rPr>
              <w:t>体</w:t>
            </w:r>
            <w:r>
              <w:rPr>
                <w:rFonts w:ascii="Times New Roman"/>
                <w:snapToGrid w:val="0"/>
                <w:spacing w:val="-16"/>
                <w:kern w:val="21"/>
                <w:szCs w:val="21"/>
              </w:rPr>
              <w:t>废</w:t>
            </w:r>
            <w:r>
              <w:rPr>
                <w:rFonts w:hint="eastAsia" w:ascii="Times New Roman"/>
                <w:snapToGrid w:val="0"/>
                <w:spacing w:val="-16"/>
                <w:kern w:val="21"/>
                <w:szCs w:val="21"/>
              </w:rPr>
              <w:t>物</w:t>
            </w:r>
            <w:r>
              <w:rPr>
                <w:rFonts w:ascii="Times New Roman"/>
                <w:snapToGrid w:val="0"/>
                <w:spacing w:val="-16"/>
                <w:kern w:val="21"/>
                <w:szCs w:val="21"/>
              </w:rPr>
              <w:t>产生量）</w:t>
            </w:r>
            <w:r>
              <w:rPr>
                <w:rFonts w:ascii="Times New Roman"/>
                <w:snapToGrid w:val="0"/>
                <w:spacing w:val="-16"/>
                <w:kern w:val="21"/>
                <w:szCs w:val="21"/>
              </w:rPr>
              <w:fldChar w:fldCharType="begin"/>
            </w:r>
            <w:r>
              <w:rPr>
                <w:rFonts w:ascii="Times New Roman"/>
                <w:snapToGrid w:val="0"/>
                <w:spacing w:val="-16"/>
                <w:kern w:val="21"/>
                <w:szCs w:val="21"/>
              </w:rPr>
              <w:instrText xml:space="preserve"> = 6 \* GB3 \* MERGEFORMAT </w:instrText>
            </w:r>
            <w:r>
              <w:rPr>
                <w:rFonts w:ascii="Times New Roman"/>
                <w:snapToGrid w:val="0"/>
                <w:spacing w:val="-16"/>
                <w:kern w:val="21"/>
                <w:szCs w:val="21"/>
              </w:rPr>
              <w:fldChar w:fldCharType="separate"/>
            </w:r>
            <w:r>
              <w:rPr>
                <w:rFonts w:hint="eastAsia" w:ascii="Times New Roman" w:cs="宋体"/>
                <w:kern w:val="2"/>
                <w:szCs w:val="21"/>
              </w:rPr>
              <w:t>⑥</w:t>
            </w:r>
            <w:r>
              <w:rPr>
                <w:rFonts w:ascii="Times New Roman"/>
                <w:snapToGrid w:val="0"/>
                <w:spacing w:val="-16"/>
                <w:kern w:val="21"/>
                <w:szCs w:val="21"/>
              </w:rPr>
              <w:fldChar w:fldCharType="end"/>
            </w:r>
          </w:p>
        </w:tc>
        <w:tc>
          <w:tcPr>
            <w:tcW w:w="1416" w:type="dxa"/>
            <w:tcMar>
              <w:left w:w="28" w:type="dxa"/>
              <w:right w:w="28" w:type="dxa"/>
            </w:tcMar>
            <w:vAlign w:val="center"/>
          </w:tcPr>
          <w:p>
            <w:pPr>
              <w:pStyle w:val="36"/>
              <w:spacing w:beforeLines="0" w:afterLines="0" w:line="240" w:lineRule="auto"/>
              <w:rPr>
                <w:rFonts w:ascii="Times New Roman"/>
                <w:snapToGrid w:val="0"/>
                <w:spacing w:val="-6"/>
                <w:kern w:val="21"/>
                <w:szCs w:val="21"/>
              </w:rPr>
            </w:pPr>
            <w:r>
              <w:rPr>
                <w:rFonts w:ascii="Times New Roman"/>
                <w:snapToGrid w:val="0"/>
                <w:spacing w:val="-6"/>
                <w:kern w:val="21"/>
                <w:szCs w:val="21"/>
              </w:rPr>
              <w:t>变化量</w:t>
            </w:r>
          </w:p>
          <w:p>
            <w:pPr>
              <w:pStyle w:val="36"/>
              <w:spacing w:beforeLines="0" w:afterLines="0" w:line="240" w:lineRule="auto"/>
              <w:rPr>
                <w:rFonts w:ascii="Times New Roman"/>
                <w:snapToGrid w:val="0"/>
                <w:spacing w:val="-6"/>
                <w:kern w:val="21"/>
                <w:szCs w:val="21"/>
              </w:rPr>
            </w:pPr>
            <w:r>
              <w:rPr>
                <w:rFonts w:ascii="Times New Roman"/>
                <w:snapToGrid w:val="0"/>
                <w:spacing w:val="-6"/>
                <w:kern w:val="21"/>
                <w:szCs w:val="21"/>
              </w:rPr>
              <w:fldChar w:fldCharType="begin"/>
            </w:r>
            <w:r>
              <w:rPr>
                <w:rFonts w:ascii="Times New Roman"/>
                <w:snapToGrid w:val="0"/>
                <w:spacing w:val="-6"/>
                <w:kern w:val="21"/>
                <w:szCs w:val="21"/>
              </w:rPr>
              <w:instrText xml:space="preserve"> = 7 \* GB3 \* MERGEFORMAT </w:instrText>
            </w:r>
            <w:r>
              <w:rPr>
                <w:rFonts w:ascii="Times New Roman"/>
                <w:snapToGrid w:val="0"/>
                <w:spacing w:val="-6"/>
                <w:kern w:val="21"/>
                <w:szCs w:val="21"/>
              </w:rPr>
              <w:fldChar w:fldCharType="separate"/>
            </w:r>
            <w:r>
              <w:rPr>
                <w:rFonts w:hint="eastAsia" w:ascii="Times New Roman" w:cs="宋体"/>
                <w:kern w:val="2"/>
                <w:szCs w:val="21"/>
              </w:rPr>
              <w:t>⑦</w:t>
            </w:r>
            <w:r>
              <w:rPr>
                <w:rFonts w:ascii="Times New Roman"/>
                <w:snapToGrid w:val="0"/>
                <w:spacing w:val="-6"/>
                <w:kern w:val="21"/>
                <w:szCs w:val="21"/>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1588" w:type="dxa"/>
            <w:vMerge w:val="restart"/>
            <w:vAlign w:val="center"/>
          </w:tcPr>
          <w:p>
            <w:pPr>
              <w:pStyle w:val="36"/>
              <w:spacing w:beforeLines="0" w:afterLines="0" w:line="240" w:lineRule="auto"/>
              <w:rPr>
                <w:rFonts w:ascii="Times New Roman" w:cs="宋体"/>
                <w:snapToGrid w:val="0"/>
                <w:kern w:val="21"/>
                <w:szCs w:val="21"/>
              </w:rPr>
            </w:pPr>
            <w:r>
              <w:rPr>
                <w:rFonts w:hint="eastAsia" w:ascii="Times New Roman" w:cs="宋体"/>
                <w:snapToGrid w:val="0"/>
                <w:kern w:val="21"/>
                <w:szCs w:val="21"/>
              </w:rPr>
              <w:t>废气</w:t>
            </w:r>
          </w:p>
        </w:tc>
        <w:tc>
          <w:tcPr>
            <w:tcW w:w="1417" w:type="dxa"/>
            <w:vAlign w:val="center"/>
          </w:tcPr>
          <w:p>
            <w:pPr>
              <w:pStyle w:val="36"/>
              <w:spacing w:beforeLines="0" w:afterLines="0" w:line="240" w:lineRule="auto"/>
              <w:rPr>
                <w:rFonts w:ascii="Times New Roman" w:cs="宋体"/>
                <w:snapToGrid w:val="0"/>
                <w:kern w:val="21"/>
                <w:szCs w:val="21"/>
              </w:rPr>
            </w:pPr>
            <w:r>
              <w:rPr>
                <w:rFonts w:hint="eastAsia" w:ascii="Times New Roman" w:cs="宋体"/>
                <w:snapToGrid w:val="0"/>
                <w:kern w:val="21"/>
                <w:szCs w:val="21"/>
              </w:rPr>
              <w:t>颗粒物</w:t>
            </w:r>
          </w:p>
        </w:tc>
        <w:tc>
          <w:tcPr>
            <w:tcW w:w="1701" w:type="dxa"/>
            <w:vAlign w:val="center"/>
          </w:tcPr>
          <w:p>
            <w:pPr>
              <w:pStyle w:val="36"/>
              <w:spacing w:beforeLines="0" w:afterLines="0" w:line="240" w:lineRule="auto"/>
              <w:rPr>
                <w:rFonts w:ascii="Times New Roman" w:cs="宋体"/>
                <w:snapToGrid w:val="0"/>
                <w:kern w:val="21"/>
                <w:szCs w:val="21"/>
              </w:rPr>
            </w:pPr>
          </w:p>
        </w:tc>
        <w:tc>
          <w:tcPr>
            <w:tcW w:w="1276" w:type="dxa"/>
            <w:vAlign w:val="center"/>
          </w:tcPr>
          <w:p>
            <w:pPr>
              <w:pStyle w:val="36"/>
              <w:spacing w:beforeLines="0" w:afterLines="0" w:line="240" w:lineRule="auto"/>
              <w:rPr>
                <w:rFonts w:ascii="Times New Roman" w:cs="宋体"/>
                <w:snapToGrid w:val="0"/>
                <w:kern w:val="21"/>
                <w:szCs w:val="21"/>
              </w:rPr>
            </w:pPr>
          </w:p>
        </w:tc>
        <w:tc>
          <w:tcPr>
            <w:tcW w:w="1701" w:type="dxa"/>
            <w:vAlign w:val="center"/>
          </w:tcPr>
          <w:p>
            <w:pPr>
              <w:pStyle w:val="36"/>
              <w:spacing w:beforeLines="0" w:afterLines="0" w:line="240" w:lineRule="auto"/>
              <w:rPr>
                <w:rFonts w:ascii="Times New Roman" w:cs="宋体"/>
                <w:snapToGrid w:val="0"/>
                <w:kern w:val="21"/>
                <w:szCs w:val="21"/>
              </w:rPr>
            </w:pPr>
          </w:p>
        </w:tc>
        <w:tc>
          <w:tcPr>
            <w:tcW w:w="1464" w:type="dxa"/>
            <w:vAlign w:val="center"/>
          </w:tcPr>
          <w:p>
            <w:pPr>
              <w:pStyle w:val="36"/>
              <w:spacing w:beforeLines="0" w:afterLines="0" w:line="240" w:lineRule="auto"/>
              <w:rPr>
                <w:rFonts w:ascii="Times New Roman" w:cs="宋体"/>
                <w:snapToGrid w:val="0"/>
                <w:kern w:val="21"/>
                <w:szCs w:val="21"/>
              </w:rPr>
            </w:pPr>
            <w:r>
              <w:rPr>
                <w:rFonts w:ascii="Times New Roman" w:cs="宋体"/>
                <w:snapToGrid w:val="0"/>
                <w:kern w:val="21"/>
                <w:szCs w:val="21"/>
              </w:rPr>
              <w:t>0.81</w:t>
            </w:r>
            <w:r>
              <w:rPr>
                <w:rFonts w:hint="eastAsia" w:ascii="Times New Roman" w:cs="宋体"/>
                <w:snapToGrid w:val="0"/>
                <w:kern w:val="21"/>
                <w:szCs w:val="21"/>
              </w:rPr>
              <w:t>t/a</w:t>
            </w:r>
          </w:p>
        </w:tc>
        <w:tc>
          <w:tcPr>
            <w:tcW w:w="1713" w:type="dxa"/>
            <w:vAlign w:val="center"/>
          </w:tcPr>
          <w:p>
            <w:pPr>
              <w:pStyle w:val="36"/>
              <w:spacing w:beforeLines="0" w:afterLines="0" w:line="240" w:lineRule="auto"/>
              <w:rPr>
                <w:rFonts w:ascii="Times New Roman" w:cs="宋体"/>
                <w:snapToGrid w:val="0"/>
                <w:kern w:val="21"/>
                <w:szCs w:val="21"/>
              </w:rPr>
            </w:pPr>
          </w:p>
        </w:tc>
        <w:tc>
          <w:tcPr>
            <w:tcW w:w="1512" w:type="dxa"/>
            <w:vAlign w:val="center"/>
          </w:tcPr>
          <w:p>
            <w:pPr>
              <w:pStyle w:val="36"/>
              <w:spacing w:beforeLines="0" w:afterLines="0" w:line="240" w:lineRule="auto"/>
              <w:rPr>
                <w:rFonts w:ascii="Times New Roman" w:cs="宋体"/>
                <w:snapToGrid w:val="0"/>
                <w:kern w:val="21"/>
                <w:szCs w:val="21"/>
              </w:rPr>
            </w:pPr>
            <w:r>
              <w:rPr>
                <w:rFonts w:ascii="Times New Roman" w:cs="宋体"/>
                <w:snapToGrid w:val="0"/>
                <w:kern w:val="21"/>
                <w:szCs w:val="21"/>
              </w:rPr>
              <w:t>0.81</w:t>
            </w:r>
            <w:r>
              <w:rPr>
                <w:rFonts w:hint="eastAsia" w:ascii="Times New Roman" w:cs="宋体"/>
                <w:snapToGrid w:val="0"/>
                <w:kern w:val="21"/>
                <w:szCs w:val="21"/>
              </w:rPr>
              <w:t>t/a</w:t>
            </w:r>
          </w:p>
        </w:tc>
        <w:tc>
          <w:tcPr>
            <w:tcW w:w="1416" w:type="dxa"/>
            <w:vAlign w:val="center"/>
          </w:tcPr>
          <w:p>
            <w:pPr>
              <w:pStyle w:val="36"/>
              <w:spacing w:beforeLines="0" w:afterLines="0" w:line="240" w:lineRule="auto"/>
              <w:rPr>
                <w:rFonts w:ascii="Times New Roman" w:cs="宋体"/>
                <w:snapToGrid w:val="0"/>
                <w:kern w:val="21"/>
                <w:szCs w:val="21"/>
              </w:rPr>
            </w:pPr>
            <w:r>
              <w:rPr>
                <w:rFonts w:hint="eastAsia" w:ascii="Times New Roman" w:cs="宋体"/>
                <w:snapToGrid w:val="0"/>
                <w:kern w:val="21"/>
                <w:szCs w:val="21"/>
              </w:rPr>
              <w:t>+0.</w:t>
            </w:r>
            <w:r>
              <w:rPr>
                <w:rFonts w:ascii="Times New Roman" w:cs="宋体"/>
                <w:snapToGrid w:val="0"/>
                <w:kern w:val="21"/>
                <w:szCs w:val="21"/>
              </w:rPr>
              <w:t>81</w:t>
            </w:r>
            <w:r>
              <w:rPr>
                <w:rFonts w:hint="eastAsia" w:ascii="Times New Roman" w:cs="宋体"/>
                <w:snapToGrid w:val="0"/>
                <w:kern w:val="21"/>
                <w:szCs w:val="21"/>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1588" w:type="dxa"/>
            <w:vMerge w:val="continue"/>
            <w:vAlign w:val="center"/>
          </w:tcPr>
          <w:p>
            <w:pPr>
              <w:pStyle w:val="36"/>
              <w:spacing w:beforeLines="0" w:afterLines="0" w:line="240" w:lineRule="auto"/>
              <w:rPr>
                <w:rFonts w:ascii="Times New Roman" w:cs="宋体"/>
                <w:snapToGrid w:val="0"/>
                <w:kern w:val="21"/>
                <w:szCs w:val="21"/>
              </w:rPr>
            </w:pPr>
          </w:p>
        </w:tc>
        <w:tc>
          <w:tcPr>
            <w:tcW w:w="1417" w:type="dxa"/>
            <w:vAlign w:val="center"/>
          </w:tcPr>
          <w:p>
            <w:pPr>
              <w:pStyle w:val="36"/>
              <w:spacing w:beforeLines="0" w:afterLines="0" w:line="240" w:lineRule="auto"/>
              <w:rPr>
                <w:rFonts w:ascii="Times New Roman" w:cs="宋体"/>
                <w:snapToGrid w:val="0"/>
                <w:kern w:val="21"/>
                <w:szCs w:val="21"/>
              </w:rPr>
            </w:pPr>
          </w:p>
        </w:tc>
        <w:tc>
          <w:tcPr>
            <w:tcW w:w="1701" w:type="dxa"/>
            <w:vAlign w:val="center"/>
          </w:tcPr>
          <w:p>
            <w:pPr>
              <w:pStyle w:val="36"/>
              <w:spacing w:beforeLines="0" w:afterLines="0" w:line="240" w:lineRule="auto"/>
              <w:rPr>
                <w:rFonts w:ascii="Times New Roman" w:cs="宋体"/>
                <w:snapToGrid w:val="0"/>
                <w:kern w:val="21"/>
                <w:szCs w:val="21"/>
              </w:rPr>
            </w:pPr>
          </w:p>
        </w:tc>
        <w:tc>
          <w:tcPr>
            <w:tcW w:w="1276" w:type="dxa"/>
            <w:vAlign w:val="center"/>
          </w:tcPr>
          <w:p>
            <w:pPr>
              <w:pStyle w:val="36"/>
              <w:spacing w:beforeLines="0" w:afterLines="0" w:line="240" w:lineRule="auto"/>
              <w:rPr>
                <w:rFonts w:ascii="Times New Roman" w:cs="宋体"/>
                <w:snapToGrid w:val="0"/>
                <w:kern w:val="21"/>
                <w:szCs w:val="21"/>
              </w:rPr>
            </w:pPr>
          </w:p>
        </w:tc>
        <w:tc>
          <w:tcPr>
            <w:tcW w:w="1701" w:type="dxa"/>
            <w:vAlign w:val="center"/>
          </w:tcPr>
          <w:p>
            <w:pPr>
              <w:pStyle w:val="36"/>
              <w:spacing w:beforeLines="0" w:afterLines="0" w:line="240" w:lineRule="auto"/>
              <w:rPr>
                <w:rFonts w:ascii="Times New Roman" w:cs="宋体"/>
                <w:snapToGrid w:val="0"/>
                <w:kern w:val="21"/>
                <w:szCs w:val="21"/>
              </w:rPr>
            </w:pPr>
          </w:p>
        </w:tc>
        <w:tc>
          <w:tcPr>
            <w:tcW w:w="1464" w:type="dxa"/>
            <w:vAlign w:val="center"/>
          </w:tcPr>
          <w:p>
            <w:pPr>
              <w:pStyle w:val="36"/>
              <w:spacing w:beforeLines="0" w:afterLines="0" w:line="240" w:lineRule="auto"/>
              <w:rPr>
                <w:rFonts w:ascii="Times New Roman" w:cs="宋体"/>
                <w:snapToGrid w:val="0"/>
                <w:kern w:val="21"/>
                <w:szCs w:val="21"/>
              </w:rPr>
            </w:pPr>
          </w:p>
        </w:tc>
        <w:tc>
          <w:tcPr>
            <w:tcW w:w="1713" w:type="dxa"/>
            <w:vAlign w:val="center"/>
          </w:tcPr>
          <w:p>
            <w:pPr>
              <w:pStyle w:val="36"/>
              <w:spacing w:beforeLines="0" w:afterLines="0" w:line="240" w:lineRule="auto"/>
              <w:rPr>
                <w:rFonts w:ascii="Times New Roman" w:cs="宋体"/>
                <w:snapToGrid w:val="0"/>
                <w:kern w:val="21"/>
                <w:szCs w:val="21"/>
              </w:rPr>
            </w:pPr>
          </w:p>
        </w:tc>
        <w:tc>
          <w:tcPr>
            <w:tcW w:w="1512" w:type="dxa"/>
            <w:vAlign w:val="center"/>
          </w:tcPr>
          <w:p>
            <w:pPr>
              <w:pStyle w:val="36"/>
              <w:spacing w:beforeLines="0" w:afterLines="0" w:line="240" w:lineRule="auto"/>
              <w:rPr>
                <w:rFonts w:ascii="Times New Roman" w:cs="宋体"/>
                <w:snapToGrid w:val="0"/>
                <w:kern w:val="21"/>
                <w:szCs w:val="21"/>
              </w:rPr>
            </w:pPr>
          </w:p>
        </w:tc>
        <w:tc>
          <w:tcPr>
            <w:tcW w:w="1416" w:type="dxa"/>
            <w:vAlign w:val="center"/>
          </w:tcPr>
          <w:p>
            <w:pPr>
              <w:pStyle w:val="36"/>
              <w:spacing w:beforeLines="0" w:afterLines="0" w:line="240" w:lineRule="auto"/>
              <w:rPr>
                <w:rFonts w:ascii="Times New Roman" w:cs="宋体"/>
                <w:snapToGrid w:val="0"/>
                <w:kern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1588" w:type="dxa"/>
            <w:vMerge w:val="continue"/>
            <w:vAlign w:val="center"/>
          </w:tcPr>
          <w:p>
            <w:pPr>
              <w:pStyle w:val="36"/>
              <w:spacing w:beforeLines="0" w:afterLines="0" w:line="240" w:lineRule="auto"/>
              <w:rPr>
                <w:rFonts w:ascii="Times New Roman" w:cs="宋体"/>
                <w:snapToGrid w:val="0"/>
                <w:kern w:val="21"/>
                <w:szCs w:val="21"/>
              </w:rPr>
            </w:pPr>
          </w:p>
        </w:tc>
        <w:tc>
          <w:tcPr>
            <w:tcW w:w="1417" w:type="dxa"/>
            <w:vAlign w:val="center"/>
          </w:tcPr>
          <w:p>
            <w:pPr>
              <w:pStyle w:val="36"/>
              <w:spacing w:beforeLines="0" w:afterLines="0" w:line="240" w:lineRule="auto"/>
              <w:rPr>
                <w:rFonts w:ascii="Times New Roman" w:cs="宋体"/>
                <w:snapToGrid w:val="0"/>
                <w:kern w:val="21"/>
                <w:szCs w:val="21"/>
              </w:rPr>
            </w:pPr>
          </w:p>
        </w:tc>
        <w:tc>
          <w:tcPr>
            <w:tcW w:w="1701" w:type="dxa"/>
            <w:vAlign w:val="center"/>
          </w:tcPr>
          <w:p>
            <w:pPr>
              <w:pStyle w:val="36"/>
              <w:spacing w:beforeLines="0" w:afterLines="0" w:line="240" w:lineRule="auto"/>
              <w:rPr>
                <w:rFonts w:ascii="Times New Roman" w:cs="宋体"/>
                <w:snapToGrid w:val="0"/>
                <w:kern w:val="21"/>
                <w:szCs w:val="21"/>
              </w:rPr>
            </w:pPr>
          </w:p>
        </w:tc>
        <w:tc>
          <w:tcPr>
            <w:tcW w:w="1276" w:type="dxa"/>
            <w:vAlign w:val="center"/>
          </w:tcPr>
          <w:p>
            <w:pPr>
              <w:pStyle w:val="36"/>
              <w:spacing w:beforeLines="0" w:afterLines="0" w:line="240" w:lineRule="auto"/>
              <w:rPr>
                <w:rFonts w:ascii="Times New Roman" w:cs="宋体"/>
                <w:snapToGrid w:val="0"/>
                <w:kern w:val="21"/>
                <w:szCs w:val="21"/>
              </w:rPr>
            </w:pPr>
          </w:p>
        </w:tc>
        <w:tc>
          <w:tcPr>
            <w:tcW w:w="1701" w:type="dxa"/>
            <w:vAlign w:val="center"/>
          </w:tcPr>
          <w:p>
            <w:pPr>
              <w:pStyle w:val="36"/>
              <w:spacing w:beforeLines="0" w:afterLines="0" w:line="240" w:lineRule="auto"/>
              <w:rPr>
                <w:rFonts w:ascii="Times New Roman" w:cs="宋体"/>
                <w:snapToGrid w:val="0"/>
                <w:kern w:val="21"/>
                <w:szCs w:val="21"/>
              </w:rPr>
            </w:pPr>
          </w:p>
        </w:tc>
        <w:tc>
          <w:tcPr>
            <w:tcW w:w="1464" w:type="dxa"/>
            <w:vAlign w:val="center"/>
          </w:tcPr>
          <w:p>
            <w:pPr>
              <w:pStyle w:val="36"/>
              <w:spacing w:beforeLines="0" w:afterLines="0" w:line="240" w:lineRule="auto"/>
              <w:rPr>
                <w:rFonts w:ascii="Times New Roman" w:cs="宋体"/>
                <w:snapToGrid w:val="0"/>
                <w:kern w:val="21"/>
                <w:szCs w:val="21"/>
              </w:rPr>
            </w:pPr>
          </w:p>
        </w:tc>
        <w:tc>
          <w:tcPr>
            <w:tcW w:w="1713" w:type="dxa"/>
            <w:vAlign w:val="center"/>
          </w:tcPr>
          <w:p>
            <w:pPr>
              <w:pStyle w:val="36"/>
              <w:spacing w:beforeLines="0" w:afterLines="0" w:line="240" w:lineRule="auto"/>
              <w:rPr>
                <w:rFonts w:ascii="Times New Roman" w:cs="宋体"/>
                <w:snapToGrid w:val="0"/>
                <w:kern w:val="21"/>
                <w:szCs w:val="21"/>
              </w:rPr>
            </w:pPr>
          </w:p>
        </w:tc>
        <w:tc>
          <w:tcPr>
            <w:tcW w:w="1512" w:type="dxa"/>
            <w:vAlign w:val="center"/>
          </w:tcPr>
          <w:p>
            <w:pPr>
              <w:pStyle w:val="36"/>
              <w:spacing w:beforeLines="0" w:afterLines="0" w:line="240" w:lineRule="auto"/>
              <w:rPr>
                <w:rFonts w:ascii="Times New Roman" w:cs="宋体"/>
                <w:snapToGrid w:val="0"/>
                <w:kern w:val="21"/>
                <w:szCs w:val="21"/>
              </w:rPr>
            </w:pPr>
          </w:p>
        </w:tc>
        <w:tc>
          <w:tcPr>
            <w:tcW w:w="1416" w:type="dxa"/>
            <w:vAlign w:val="center"/>
          </w:tcPr>
          <w:p>
            <w:pPr>
              <w:pStyle w:val="36"/>
              <w:spacing w:beforeLines="0" w:afterLines="0" w:line="240" w:lineRule="auto"/>
              <w:rPr>
                <w:rFonts w:ascii="Times New Roman" w:cs="宋体"/>
                <w:snapToGrid w:val="0"/>
                <w:kern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1588" w:type="dxa"/>
            <w:vMerge w:val="continue"/>
            <w:vAlign w:val="center"/>
          </w:tcPr>
          <w:p>
            <w:pPr>
              <w:pStyle w:val="36"/>
              <w:spacing w:beforeLines="0" w:afterLines="0" w:line="240" w:lineRule="auto"/>
              <w:rPr>
                <w:rFonts w:ascii="Times New Roman" w:cs="宋体"/>
                <w:snapToGrid w:val="0"/>
                <w:kern w:val="21"/>
                <w:szCs w:val="21"/>
              </w:rPr>
            </w:pPr>
          </w:p>
        </w:tc>
        <w:tc>
          <w:tcPr>
            <w:tcW w:w="1417" w:type="dxa"/>
            <w:vAlign w:val="center"/>
          </w:tcPr>
          <w:p>
            <w:pPr>
              <w:pStyle w:val="36"/>
              <w:spacing w:beforeLines="0" w:afterLines="0" w:line="240" w:lineRule="auto"/>
              <w:rPr>
                <w:rFonts w:ascii="Times New Roman" w:cs="宋体"/>
                <w:snapToGrid w:val="0"/>
                <w:kern w:val="21"/>
                <w:szCs w:val="21"/>
              </w:rPr>
            </w:pPr>
          </w:p>
        </w:tc>
        <w:tc>
          <w:tcPr>
            <w:tcW w:w="1701" w:type="dxa"/>
            <w:vAlign w:val="center"/>
          </w:tcPr>
          <w:p>
            <w:pPr>
              <w:pStyle w:val="36"/>
              <w:spacing w:beforeLines="0" w:afterLines="0" w:line="240" w:lineRule="auto"/>
              <w:rPr>
                <w:rFonts w:ascii="Times New Roman" w:cs="宋体"/>
                <w:snapToGrid w:val="0"/>
                <w:kern w:val="21"/>
                <w:szCs w:val="21"/>
              </w:rPr>
            </w:pPr>
          </w:p>
        </w:tc>
        <w:tc>
          <w:tcPr>
            <w:tcW w:w="1276" w:type="dxa"/>
            <w:vAlign w:val="center"/>
          </w:tcPr>
          <w:p>
            <w:pPr>
              <w:pStyle w:val="36"/>
              <w:spacing w:beforeLines="0" w:afterLines="0" w:line="240" w:lineRule="auto"/>
              <w:rPr>
                <w:rFonts w:ascii="Times New Roman" w:cs="宋体"/>
                <w:snapToGrid w:val="0"/>
                <w:kern w:val="21"/>
                <w:szCs w:val="21"/>
              </w:rPr>
            </w:pPr>
          </w:p>
        </w:tc>
        <w:tc>
          <w:tcPr>
            <w:tcW w:w="1701" w:type="dxa"/>
            <w:vAlign w:val="center"/>
          </w:tcPr>
          <w:p>
            <w:pPr>
              <w:pStyle w:val="36"/>
              <w:spacing w:beforeLines="0" w:afterLines="0" w:line="240" w:lineRule="auto"/>
              <w:rPr>
                <w:rFonts w:ascii="Times New Roman" w:cs="宋体"/>
                <w:snapToGrid w:val="0"/>
                <w:kern w:val="21"/>
                <w:szCs w:val="21"/>
              </w:rPr>
            </w:pPr>
          </w:p>
        </w:tc>
        <w:tc>
          <w:tcPr>
            <w:tcW w:w="1464" w:type="dxa"/>
            <w:vAlign w:val="center"/>
          </w:tcPr>
          <w:p>
            <w:pPr>
              <w:pStyle w:val="36"/>
              <w:spacing w:beforeLines="0" w:afterLines="0" w:line="240" w:lineRule="auto"/>
              <w:rPr>
                <w:rFonts w:ascii="Times New Roman" w:cs="宋体"/>
                <w:snapToGrid w:val="0"/>
                <w:kern w:val="21"/>
                <w:szCs w:val="21"/>
              </w:rPr>
            </w:pPr>
          </w:p>
        </w:tc>
        <w:tc>
          <w:tcPr>
            <w:tcW w:w="1713" w:type="dxa"/>
            <w:vAlign w:val="center"/>
          </w:tcPr>
          <w:p>
            <w:pPr>
              <w:pStyle w:val="36"/>
              <w:spacing w:beforeLines="0" w:afterLines="0" w:line="240" w:lineRule="auto"/>
              <w:rPr>
                <w:rFonts w:ascii="Times New Roman" w:cs="宋体"/>
                <w:snapToGrid w:val="0"/>
                <w:kern w:val="21"/>
                <w:szCs w:val="21"/>
              </w:rPr>
            </w:pPr>
          </w:p>
        </w:tc>
        <w:tc>
          <w:tcPr>
            <w:tcW w:w="1512" w:type="dxa"/>
            <w:vAlign w:val="center"/>
          </w:tcPr>
          <w:p>
            <w:pPr>
              <w:pStyle w:val="36"/>
              <w:spacing w:beforeLines="0" w:afterLines="0" w:line="240" w:lineRule="auto"/>
              <w:rPr>
                <w:rFonts w:ascii="Times New Roman" w:cs="宋体"/>
                <w:snapToGrid w:val="0"/>
                <w:kern w:val="21"/>
                <w:szCs w:val="21"/>
              </w:rPr>
            </w:pPr>
          </w:p>
        </w:tc>
        <w:tc>
          <w:tcPr>
            <w:tcW w:w="1416" w:type="dxa"/>
            <w:vAlign w:val="center"/>
          </w:tcPr>
          <w:p>
            <w:pPr>
              <w:pStyle w:val="36"/>
              <w:spacing w:beforeLines="0" w:afterLines="0" w:line="240" w:lineRule="auto"/>
              <w:rPr>
                <w:rFonts w:ascii="Times New Roman" w:cs="宋体"/>
                <w:snapToGrid w:val="0"/>
                <w:kern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1588" w:type="dxa"/>
            <w:vMerge w:val="continue"/>
            <w:vAlign w:val="center"/>
          </w:tcPr>
          <w:p>
            <w:pPr>
              <w:pStyle w:val="36"/>
              <w:spacing w:beforeLines="0" w:afterLines="0" w:line="240" w:lineRule="auto"/>
              <w:rPr>
                <w:rFonts w:ascii="Times New Roman" w:cs="宋体"/>
                <w:snapToGrid w:val="0"/>
                <w:kern w:val="21"/>
                <w:szCs w:val="21"/>
              </w:rPr>
            </w:pPr>
          </w:p>
        </w:tc>
        <w:tc>
          <w:tcPr>
            <w:tcW w:w="1417" w:type="dxa"/>
            <w:vAlign w:val="center"/>
          </w:tcPr>
          <w:p>
            <w:pPr>
              <w:pStyle w:val="36"/>
              <w:spacing w:beforeLines="0" w:afterLines="0" w:line="240" w:lineRule="auto"/>
              <w:rPr>
                <w:rFonts w:ascii="Times New Roman" w:cs="宋体"/>
                <w:snapToGrid w:val="0"/>
                <w:kern w:val="21"/>
                <w:szCs w:val="21"/>
              </w:rPr>
            </w:pPr>
          </w:p>
        </w:tc>
        <w:tc>
          <w:tcPr>
            <w:tcW w:w="1701" w:type="dxa"/>
            <w:vAlign w:val="center"/>
          </w:tcPr>
          <w:p>
            <w:pPr>
              <w:pStyle w:val="36"/>
              <w:spacing w:beforeLines="0" w:afterLines="0" w:line="240" w:lineRule="auto"/>
              <w:rPr>
                <w:rFonts w:ascii="Times New Roman" w:cs="宋体"/>
                <w:snapToGrid w:val="0"/>
                <w:kern w:val="21"/>
                <w:szCs w:val="21"/>
              </w:rPr>
            </w:pPr>
          </w:p>
        </w:tc>
        <w:tc>
          <w:tcPr>
            <w:tcW w:w="1276" w:type="dxa"/>
            <w:vAlign w:val="center"/>
          </w:tcPr>
          <w:p>
            <w:pPr>
              <w:pStyle w:val="36"/>
              <w:spacing w:beforeLines="0" w:afterLines="0" w:line="240" w:lineRule="auto"/>
              <w:rPr>
                <w:rFonts w:ascii="Times New Roman" w:cs="宋体"/>
                <w:snapToGrid w:val="0"/>
                <w:kern w:val="21"/>
                <w:szCs w:val="21"/>
              </w:rPr>
            </w:pPr>
          </w:p>
        </w:tc>
        <w:tc>
          <w:tcPr>
            <w:tcW w:w="1701" w:type="dxa"/>
            <w:vAlign w:val="center"/>
          </w:tcPr>
          <w:p>
            <w:pPr>
              <w:pStyle w:val="36"/>
              <w:spacing w:beforeLines="0" w:afterLines="0" w:line="240" w:lineRule="auto"/>
              <w:rPr>
                <w:rFonts w:ascii="Times New Roman" w:cs="宋体"/>
                <w:snapToGrid w:val="0"/>
                <w:kern w:val="21"/>
                <w:szCs w:val="21"/>
              </w:rPr>
            </w:pPr>
          </w:p>
        </w:tc>
        <w:tc>
          <w:tcPr>
            <w:tcW w:w="1464" w:type="dxa"/>
            <w:vAlign w:val="center"/>
          </w:tcPr>
          <w:p>
            <w:pPr>
              <w:pStyle w:val="36"/>
              <w:spacing w:beforeLines="0" w:afterLines="0" w:line="240" w:lineRule="auto"/>
              <w:rPr>
                <w:rFonts w:ascii="Times New Roman" w:cs="宋体"/>
                <w:snapToGrid w:val="0"/>
                <w:kern w:val="21"/>
                <w:szCs w:val="21"/>
              </w:rPr>
            </w:pPr>
          </w:p>
        </w:tc>
        <w:tc>
          <w:tcPr>
            <w:tcW w:w="1713" w:type="dxa"/>
            <w:vAlign w:val="center"/>
          </w:tcPr>
          <w:p>
            <w:pPr>
              <w:pStyle w:val="36"/>
              <w:spacing w:beforeLines="0" w:afterLines="0" w:line="240" w:lineRule="auto"/>
              <w:rPr>
                <w:rFonts w:ascii="Times New Roman" w:cs="宋体"/>
                <w:snapToGrid w:val="0"/>
                <w:kern w:val="21"/>
                <w:szCs w:val="21"/>
              </w:rPr>
            </w:pPr>
          </w:p>
        </w:tc>
        <w:tc>
          <w:tcPr>
            <w:tcW w:w="1512" w:type="dxa"/>
            <w:vAlign w:val="center"/>
          </w:tcPr>
          <w:p>
            <w:pPr>
              <w:pStyle w:val="36"/>
              <w:spacing w:beforeLines="0" w:afterLines="0" w:line="240" w:lineRule="auto"/>
              <w:rPr>
                <w:rFonts w:ascii="Times New Roman" w:cs="宋体"/>
                <w:snapToGrid w:val="0"/>
                <w:kern w:val="21"/>
                <w:szCs w:val="21"/>
              </w:rPr>
            </w:pPr>
          </w:p>
        </w:tc>
        <w:tc>
          <w:tcPr>
            <w:tcW w:w="1416" w:type="dxa"/>
            <w:vAlign w:val="center"/>
          </w:tcPr>
          <w:p>
            <w:pPr>
              <w:pStyle w:val="36"/>
              <w:spacing w:beforeLines="0" w:afterLines="0" w:line="240" w:lineRule="auto"/>
              <w:rPr>
                <w:rFonts w:ascii="Times New Roman" w:cs="宋体"/>
                <w:snapToGrid w:val="0"/>
                <w:kern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restart"/>
            <w:vAlign w:val="center"/>
          </w:tcPr>
          <w:p>
            <w:pPr>
              <w:pStyle w:val="36"/>
              <w:spacing w:beforeLines="0" w:afterLines="0" w:line="240" w:lineRule="auto"/>
              <w:rPr>
                <w:rFonts w:ascii="Times New Roman" w:cs="宋体"/>
                <w:snapToGrid w:val="0"/>
                <w:kern w:val="21"/>
                <w:szCs w:val="21"/>
              </w:rPr>
            </w:pPr>
            <w:r>
              <w:rPr>
                <w:rFonts w:hint="eastAsia" w:ascii="Times New Roman" w:cs="宋体"/>
                <w:snapToGrid w:val="0"/>
                <w:kern w:val="21"/>
                <w:szCs w:val="21"/>
              </w:rPr>
              <w:t>一般工业</w:t>
            </w:r>
          </w:p>
          <w:p>
            <w:pPr>
              <w:pStyle w:val="36"/>
              <w:spacing w:beforeLines="0" w:afterLines="0" w:line="240" w:lineRule="auto"/>
              <w:rPr>
                <w:rFonts w:ascii="Times New Roman" w:cs="宋体"/>
                <w:snapToGrid w:val="0"/>
                <w:kern w:val="21"/>
                <w:szCs w:val="21"/>
              </w:rPr>
            </w:pPr>
            <w:r>
              <w:rPr>
                <w:rFonts w:hint="eastAsia" w:ascii="Times New Roman" w:cs="宋体"/>
                <w:snapToGrid w:val="0"/>
                <w:kern w:val="21"/>
                <w:szCs w:val="21"/>
              </w:rPr>
              <w:t>固体废物</w:t>
            </w:r>
          </w:p>
        </w:tc>
        <w:tc>
          <w:tcPr>
            <w:tcW w:w="1417" w:type="dxa"/>
            <w:vAlign w:val="center"/>
          </w:tcPr>
          <w:p>
            <w:pPr>
              <w:pStyle w:val="36"/>
              <w:spacing w:beforeLines="0" w:afterLines="0" w:line="240" w:lineRule="auto"/>
              <w:rPr>
                <w:rFonts w:ascii="Times New Roman" w:cs="宋体"/>
                <w:snapToGrid w:val="0"/>
                <w:kern w:val="21"/>
                <w:szCs w:val="21"/>
              </w:rPr>
            </w:pPr>
            <w:r>
              <w:rPr>
                <w:rFonts w:hint="eastAsia" w:ascii="Times New Roman"/>
                <w:szCs w:val="21"/>
              </w:rPr>
              <w:t>除尘器收集的颗粒物</w:t>
            </w:r>
          </w:p>
        </w:tc>
        <w:tc>
          <w:tcPr>
            <w:tcW w:w="1701" w:type="dxa"/>
            <w:vAlign w:val="center"/>
          </w:tcPr>
          <w:p>
            <w:pPr>
              <w:pStyle w:val="36"/>
              <w:spacing w:beforeLines="0" w:afterLines="0" w:line="240" w:lineRule="auto"/>
              <w:rPr>
                <w:rFonts w:ascii="Times New Roman" w:cs="宋体"/>
                <w:snapToGrid w:val="0"/>
                <w:kern w:val="21"/>
                <w:szCs w:val="21"/>
              </w:rPr>
            </w:pPr>
          </w:p>
        </w:tc>
        <w:tc>
          <w:tcPr>
            <w:tcW w:w="1276" w:type="dxa"/>
            <w:vAlign w:val="center"/>
          </w:tcPr>
          <w:p>
            <w:pPr>
              <w:pStyle w:val="36"/>
              <w:spacing w:beforeLines="0" w:afterLines="0" w:line="240" w:lineRule="auto"/>
              <w:rPr>
                <w:rFonts w:ascii="Times New Roman" w:cs="宋体"/>
                <w:snapToGrid w:val="0"/>
                <w:kern w:val="21"/>
                <w:szCs w:val="21"/>
              </w:rPr>
            </w:pPr>
          </w:p>
        </w:tc>
        <w:tc>
          <w:tcPr>
            <w:tcW w:w="1701" w:type="dxa"/>
            <w:vAlign w:val="center"/>
          </w:tcPr>
          <w:p>
            <w:pPr>
              <w:pStyle w:val="36"/>
              <w:spacing w:beforeLines="0" w:afterLines="0" w:line="240" w:lineRule="auto"/>
              <w:rPr>
                <w:rFonts w:ascii="Times New Roman" w:cs="宋体"/>
                <w:snapToGrid w:val="0"/>
                <w:kern w:val="21"/>
                <w:szCs w:val="21"/>
              </w:rPr>
            </w:pPr>
          </w:p>
        </w:tc>
        <w:tc>
          <w:tcPr>
            <w:tcW w:w="1464" w:type="dxa"/>
            <w:vAlign w:val="center"/>
          </w:tcPr>
          <w:p>
            <w:pPr>
              <w:pStyle w:val="36"/>
              <w:spacing w:beforeLines="0" w:afterLines="0" w:line="240" w:lineRule="auto"/>
              <w:rPr>
                <w:rFonts w:ascii="Times New Roman" w:cs="宋体"/>
                <w:snapToGrid w:val="0"/>
                <w:kern w:val="21"/>
                <w:szCs w:val="21"/>
              </w:rPr>
            </w:pPr>
            <w:r>
              <w:rPr>
                <w:rFonts w:ascii="Times New Roman" w:cs="宋体"/>
                <w:snapToGrid w:val="0"/>
                <w:kern w:val="21"/>
                <w:szCs w:val="21"/>
              </w:rPr>
              <w:t>51.71</w:t>
            </w:r>
            <w:r>
              <w:rPr>
                <w:rFonts w:hint="eastAsia" w:ascii="Times New Roman" w:cs="宋体"/>
                <w:snapToGrid w:val="0"/>
                <w:kern w:val="21"/>
                <w:szCs w:val="21"/>
              </w:rPr>
              <w:t>t/a</w:t>
            </w:r>
          </w:p>
        </w:tc>
        <w:tc>
          <w:tcPr>
            <w:tcW w:w="1713" w:type="dxa"/>
            <w:vAlign w:val="center"/>
          </w:tcPr>
          <w:p>
            <w:pPr>
              <w:pStyle w:val="36"/>
              <w:spacing w:beforeLines="0" w:afterLines="0" w:line="240" w:lineRule="auto"/>
              <w:rPr>
                <w:rFonts w:ascii="Times New Roman" w:cs="宋体"/>
                <w:snapToGrid w:val="0"/>
                <w:kern w:val="21"/>
                <w:szCs w:val="21"/>
              </w:rPr>
            </w:pPr>
          </w:p>
        </w:tc>
        <w:tc>
          <w:tcPr>
            <w:tcW w:w="1512" w:type="dxa"/>
            <w:vAlign w:val="center"/>
          </w:tcPr>
          <w:p>
            <w:pPr>
              <w:pStyle w:val="36"/>
              <w:spacing w:beforeLines="0" w:afterLines="0" w:line="240" w:lineRule="auto"/>
              <w:rPr>
                <w:rFonts w:ascii="Times New Roman" w:cs="宋体"/>
                <w:snapToGrid w:val="0"/>
                <w:kern w:val="21"/>
                <w:szCs w:val="21"/>
              </w:rPr>
            </w:pPr>
            <w:r>
              <w:rPr>
                <w:rFonts w:ascii="Times New Roman" w:cs="宋体"/>
                <w:snapToGrid w:val="0"/>
                <w:kern w:val="21"/>
                <w:szCs w:val="21"/>
              </w:rPr>
              <w:t>51.71</w:t>
            </w:r>
            <w:r>
              <w:rPr>
                <w:rFonts w:hint="eastAsia" w:ascii="Times New Roman" w:cs="宋体"/>
                <w:snapToGrid w:val="0"/>
                <w:kern w:val="21"/>
                <w:szCs w:val="21"/>
              </w:rPr>
              <w:t>t/a</w:t>
            </w:r>
          </w:p>
        </w:tc>
        <w:tc>
          <w:tcPr>
            <w:tcW w:w="1416" w:type="dxa"/>
            <w:vAlign w:val="center"/>
          </w:tcPr>
          <w:p>
            <w:pPr>
              <w:pStyle w:val="36"/>
              <w:spacing w:beforeLines="0" w:afterLines="0" w:line="240" w:lineRule="auto"/>
              <w:rPr>
                <w:rFonts w:ascii="Times New Roman" w:cs="宋体"/>
                <w:snapToGrid w:val="0"/>
                <w:kern w:val="21"/>
                <w:szCs w:val="21"/>
              </w:rPr>
            </w:pPr>
            <w:r>
              <w:rPr>
                <w:rFonts w:hint="eastAsia" w:ascii="Times New Roman" w:cs="宋体"/>
                <w:snapToGrid w:val="0"/>
                <w:kern w:val="21"/>
                <w:szCs w:val="21"/>
              </w:rPr>
              <w:t>+</w:t>
            </w:r>
            <w:r>
              <w:rPr>
                <w:rFonts w:ascii="Times New Roman" w:cs="宋体"/>
                <w:snapToGrid w:val="0"/>
                <w:kern w:val="21"/>
                <w:szCs w:val="21"/>
              </w:rPr>
              <w:t>51.71</w:t>
            </w:r>
            <w:r>
              <w:rPr>
                <w:rFonts w:hint="eastAsia" w:ascii="Times New Roman" w:cs="宋体"/>
                <w:snapToGrid w:val="0"/>
                <w:kern w:val="21"/>
                <w:szCs w:val="21"/>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vAlign w:val="center"/>
          </w:tcPr>
          <w:p>
            <w:pPr>
              <w:pStyle w:val="36"/>
              <w:spacing w:beforeLines="0" w:afterLines="0" w:line="240" w:lineRule="auto"/>
              <w:rPr>
                <w:rFonts w:ascii="Times New Roman" w:cs="宋体"/>
                <w:snapToGrid w:val="0"/>
                <w:kern w:val="21"/>
                <w:szCs w:val="21"/>
              </w:rPr>
            </w:pPr>
          </w:p>
        </w:tc>
        <w:tc>
          <w:tcPr>
            <w:tcW w:w="1417" w:type="dxa"/>
            <w:vAlign w:val="center"/>
          </w:tcPr>
          <w:p>
            <w:pPr>
              <w:pStyle w:val="36"/>
              <w:spacing w:beforeLines="0" w:afterLines="0" w:line="240" w:lineRule="auto"/>
              <w:rPr>
                <w:rFonts w:ascii="Times New Roman" w:cs="宋体"/>
                <w:snapToGrid w:val="0"/>
                <w:kern w:val="21"/>
                <w:szCs w:val="21"/>
              </w:rPr>
            </w:pPr>
          </w:p>
        </w:tc>
        <w:tc>
          <w:tcPr>
            <w:tcW w:w="1701" w:type="dxa"/>
            <w:vAlign w:val="center"/>
          </w:tcPr>
          <w:p>
            <w:pPr>
              <w:pStyle w:val="36"/>
              <w:spacing w:beforeLines="0" w:afterLines="0" w:line="240" w:lineRule="auto"/>
              <w:rPr>
                <w:rFonts w:ascii="Times New Roman" w:cs="宋体"/>
                <w:snapToGrid w:val="0"/>
                <w:kern w:val="21"/>
                <w:szCs w:val="21"/>
              </w:rPr>
            </w:pPr>
          </w:p>
        </w:tc>
        <w:tc>
          <w:tcPr>
            <w:tcW w:w="1276" w:type="dxa"/>
            <w:vAlign w:val="center"/>
          </w:tcPr>
          <w:p>
            <w:pPr>
              <w:pStyle w:val="36"/>
              <w:spacing w:beforeLines="0" w:afterLines="0" w:line="240" w:lineRule="auto"/>
              <w:rPr>
                <w:rFonts w:ascii="Times New Roman" w:cs="宋体"/>
                <w:snapToGrid w:val="0"/>
                <w:kern w:val="21"/>
                <w:szCs w:val="21"/>
              </w:rPr>
            </w:pPr>
          </w:p>
        </w:tc>
        <w:tc>
          <w:tcPr>
            <w:tcW w:w="1701" w:type="dxa"/>
            <w:vAlign w:val="center"/>
          </w:tcPr>
          <w:p>
            <w:pPr>
              <w:pStyle w:val="36"/>
              <w:spacing w:beforeLines="0" w:afterLines="0" w:line="240" w:lineRule="auto"/>
              <w:rPr>
                <w:rFonts w:ascii="Times New Roman" w:cs="宋体"/>
                <w:snapToGrid w:val="0"/>
                <w:kern w:val="21"/>
                <w:szCs w:val="21"/>
              </w:rPr>
            </w:pPr>
          </w:p>
        </w:tc>
        <w:tc>
          <w:tcPr>
            <w:tcW w:w="1464" w:type="dxa"/>
            <w:vAlign w:val="center"/>
          </w:tcPr>
          <w:p>
            <w:pPr>
              <w:pStyle w:val="36"/>
              <w:spacing w:beforeLines="0" w:afterLines="0" w:line="240" w:lineRule="auto"/>
              <w:rPr>
                <w:rFonts w:ascii="Times New Roman" w:cs="宋体"/>
                <w:snapToGrid w:val="0"/>
                <w:kern w:val="21"/>
                <w:szCs w:val="21"/>
              </w:rPr>
            </w:pPr>
          </w:p>
        </w:tc>
        <w:tc>
          <w:tcPr>
            <w:tcW w:w="1713" w:type="dxa"/>
            <w:vAlign w:val="center"/>
          </w:tcPr>
          <w:p>
            <w:pPr>
              <w:pStyle w:val="36"/>
              <w:spacing w:beforeLines="0" w:afterLines="0" w:line="240" w:lineRule="auto"/>
              <w:rPr>
                <w:rFonts w:ascii="Times New Roman" w:cs="宋体"/>
                <w:snapToGrid w:val="0"/>
                <w:kern w:val="21"/>
                <w:szCs w:val="21"/>
              </w:rPr>
            </w:pPr>
          </w:p>
        </w:tc>
        <w:tc>
          <w:tcPr>
            <w:tcW w:w="1512" w:type="dxa"/>
            <w:vAlign w:val="center"/>
          </w:tcPr>
          <w:p>
            <w:pPr>
              <w:pStyle w:val="36"/>
              <w:spacing w:beforeLines="0" w:afterLines="0" w:line="240" w:lineRule="auto"/>
              <w:rPr>
                <w:rFonts w:ascii="Times New Roman" w:cs="宋体"/>
                <w:snapToGrid w:val="0"/>
                <w:kern w:val="21"/>
                <w:szCs w:val="21"/>
              </w:rPr>
            </w:pPr>
          </w:p>
        </w:tc>
        <w:tc>
          <w:tcPr>
            <w:tcW w:w="1416" w:type="dxa"/>
            <w:vAlign w:val="center"/>
          </w:tcPr>
          <w:p>
            <w:pPr>
              <w:pStyle w:val="36"/>
              <w:spacing w:beforeLines="0" w:afterLines="0" w:line="240" w:lineRule="auto"/>
              <w:rPr>
                <w:rFonts w:ascii="Times New Roman" w:cs="宋体"/>
                <w:snapToGrid w:val="0"/>
                <w:kern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restart"/>
            <w:vAlign w:val="center"/>
          </w:tcPr>
          <w:p>
            <w:pPr>
              <w:pStyle w:val="36"/>
              <w:spacing w:before="24" w:after="24" w:line="240" w:lineRule="auto"/>
              <w:rPr>
                <w:rFonts w:ascii="Times New Roman" w:cs="宋体"/>
                <w:snapToGrid w:val="0"/>
                <w:kern w:val="21"/>
                <w:szCs w:val="21"/>
              </w:rPr>
            </w:pPr>
            <w:r>
              <w:rPr>
                <w:rFonts w:hint="eastAsia" w:ascii="Times New Roman" w:cs="宋体"/>
                <w:snapToGrid w:val="0"/>
                <w:kern w:val="21"/>
                <w:szCs w:val="21"/>
              </w:rPr>
              <w:t>危险废物</w:t>
            </w:r>
          </w:p>
        </w:tc>
        <w:tc>
          <w:tcPr>
            <w:tcW w:w="1417" w:type="dxa"/>
            <w:vAlign w:val="center"/>
          </w:tcPr>
          <w:p>
            <w:pPr>
              <w:pStyle w:val="36"/>
              <w:spacing w:beforeLines="0" w:afterLines="0" w:line="240" w:lineRule="auto"/>
              <w:rPr>
                <w:rFonts w:ascii="Times New Roman" w:cs="宋体"/>
                <w:snapToGrid w:val="0"/>
                <w:kern w:val="21"/>
                <w:szCs w:val="21"/>
              </w:rPr>
            </w:pPr>
            <w:r>
              <w:rPr>
                <w:rFonts w:hint="eastAsia" w:ascii="Times New Roman" w:cs="宋体"/>
                <w:snapToGrid w:val="0"/>
                <w:kern w:val="21"/>
                <w:szCs w:val="21"/>
              </w:rPr>
              <w:t>废润滑油</w:t>
            </w:r>
          </w:p>
        </w:tc>
        <w:tc>
          <w:tcPr>
            <w:tcW w:w="1701" w:type="dxa"/>
            <w:vAlign w:val="center"/>
          </w:tcPr>
          <w:p>
            <w:pPr>
              <w:pStyle w:val="36"/>
              <w:spacing w:beforeLines="0" w:afterLines="0" w:line="240" w:lineRule="auto"/>
              <w:rPr>
                <w:rFonts w:ascii="Times New Roman" w:cs="宋体"/>
                <w:snapToGrid w:val="0"/>
                <w:kern w:val="21"/>
                <w:szCs w:val="21"/>
              </w:rPr>
            </w:pPr>
          </w:p>
        </w:tc>
        <w:tc>
          <w:tcPr>
            <w:tcW w:w="1276" w:type="dxa"/>
            <w:vAlign w:val="center"/>
          </w:tcPr>
          <w:p>
            <w:pPr>
              <w:pStyle w:val="36"/>
              <w:spacing w:beforeLines="0" w:afterLines="0" w:line="240" w:lineRule="auto"/>
              <w:rPr>
                <w:rFonts w:ascii="Times New Roman" w:cs="宋体"/>
                <w:snapToGrid w:val="0"/>
                <w:kern w:val="21"/>
                <w:szCs w:val="21"/>
              </w:rPr>
            </w:pPr>
          </w:p>
        </w:tc>
        <w:tc>
          <w:tcPr>
            <w:tcW w:w="1701" w:type="dxa"/>
            <w:vAlign w:val="center"/>
          </w:tcPr>
          <w:p>
            <w:pPr>
              <w:pStyle w:val="36"/>
              <w:spacing w:beforeLines="0" w:afterLines="0" w:line="240" w:lineRule="auto"/>
              <w:rPr>
                <w:rFonts w:ascii="Times New Roman" w:cs="宋体"/>
                <w:snapToGrid w:val="0"/>
                <w:kern w:val="21"/>
                <w:szCs w:val="21"/>
              </w:rPr>
            </w:pPr>
          </w:p>
        </w:tc>
        <w:tc>
          <w:tcPr>
            <w:tcW w:w="1464" w:type="dxa"/>
            <w:vAlign w:val="center"/>
          </w:tcPr>
          <w:p>
            <w:pPr>
              <w:pStyle w:val="36"/>
              <w:spacing w:beforeLines="0" w:afterLines="0" w:line="240" w:lineRule="auto"/>
              <w:rPr>
                <w:rFonts w:ascii="Times New Roman" w:cs="宋体"/>
                <w:snapToGrid w:val="0"/>
                <w:kern w:val="21"/>
                <w:szCs w:val="21"/>
              </w:rPr>
            </w:pPr>
            <w:r>
              <w:rPr>
                <w:rFonts w:hint="eastAsia" w:ascii="Times New Roman" w:cs="宋体"/>
                <w:snapToGrid w:val="0"/>
                <w:kern w:val="21"/>
                <w:szCs w:val="21"/>
              </w:rPr>
              <w:t>0.</w:t>
            </w:r>
            <w:r>
              <w:rPr>
                <w:rFonts w:ascii="Times New Roman" w:cs="宋体"/>
                <w:snapToGrid w:val="0"/>
                <w:kern w:val="21"/>
                <w:szCs w:val="21"/>
              </w:rPr>
              <w:t>1</w:t>
            </w:r>
            <w:r>
              <w:rPr>
                <w:rFonts w:hint="eastAsia" w:ascii="Times New Roman" w:cs="宋体"/>
                <w:snapToGrid w:val="0"/>
                <w:kern w:val="21"/>
                <w:szCs w:val="21"/>
              </w:rPr>
              <w:t>t/a</w:t>
            </w:r>
          </w:p>
        </w:tc>
        <w:tc>
          <w:tcPr>
            <w:tcW w:w="1713" w:type="dxa"/>
            <w:vAlign w:val="center"/>
          </w:tcPr>
          <w:p>
            <w:pPr>
              <w:pStyle w:val="36"/>
              <w:spacing w:beforeLines="0" w:afterLines="0" w:line="240" w:lineRule="auto"/>
              <w:rPr>
                <w:rFonts w:ascii="Times New Roman" w:cs="宋体"/>
                <w:snapToGrid w:val="0"/>
                <w:kern w:val="21"/>
                <w:szCs w:val="21"/>
              </w:rPr>
            </w:pPr>
          </w:p>
        </w:tc>
        <w:tc>
          <w:tcPr>
            <w:tcW w:w="1512" w:type="dxa"/>
            <w:vAlign w:val="center"/>
          </w:tcPr>
          <w:p>
            <w:pPr>
              <w:pStyle w:val="36"/>
              <w:spacing w:beforeLines="0" w:afterLines="0" w:line="240" w:lineRule="auto"/>
              <w:rPr>
                <w:rFonts w:ascii="Times New Roman" w:cs="宋体"/>
                <w:snapToGrid w:val="0"/>
                <w:kern w:val="21"/>
                <w:szCs w:val="21"/>
              </w:rPr>
            </w:pPr>
            <w:r>
              <w:rPr>
                <w:rFonts w:hint="eastAsia" w:ascii="Times New Roman" w:cs="宋体"/>
                <w:snapToGrid w:val="0"/>
                <w:kern w:val="21"/>
                <w:szCs w:val="21"/>
              </w:rPr>
              <w:t>0.</w:t>
            </w:r>
            <w:r>
              <w:rPr>
                <w:rFonts w:ascii="Times New Roman" w:cs="宋体"/>
                <w:snapToGrid w:val="0"/>
                <w:kern w:val="21"/>
                <w:szCs w:val="21"/>
              </w:rPr>
              <w:t>1</w:t>
            </w:r>
            <w:r>
              <w:rPr>
                <w:rFonts w:hint="eastAsia" w:ascii="Times New Roman" w:cs="宋体"/>
                <w:snapToGrid w:val="0"/>
                <w:kern w:val="21"/>
                <w:szCs w:val="21"/>
              </w:rPr>
              <w:t>t/a</w:t>
            </w:r>
          </w:p>
        </w:tc>
        <w:tc>
          <w:tcPr>
            <w:tcW w:w="1416" w:type="dxa"/>
            <w:vAlign w:val="center"/>
          </w:tcPr>
          <w:p>
            <w:pPr>
              <w:pStyle w:val="36"/>
              <w:spacing w:beforeLines="0" w:afterLines="0" w:line="240" w:lineRule="auto"/>
              <w:rPr>
                <w:rFonts w:ascii="Times New Roman" w:cs="宋体"/>
                <w:snapToGrid w:val="0"/>
                <w:kern w:val="21"/>
                <w:szCs w:val="21"/>
              </w:rPr>
            </w:pPr>
            <w:r>
              <w:rPr>
                <w:rFonts w:hint="eastAsia" w:ascii="Times New Roman" w:cs="宋体"/>
                <w:snapToGrid w:val="0"/>
                <w:kern w:val="21"/>
                <w:szCs w:val="21"/>
              </w:rPr>
              <w:t>+0.</w:t>
            </w:r>
            <w:r>
              <w:rPr>
                <w:rFonts w:ascii="Times New Roman" w:cs="宋体"/>
                <w:snapToGrid w:val="0"/>
                <w:kern w:val="21"/>
                <w:szCs w:val="21"/>
              </w:rPr>
              <w:t>1</w:t>
            </w:r>
            <w:r>
              <w:rPr>
                <w:rFonts w:hint="eastAsia" w:ascii="Times New Roman" w:cs="宋体"/>
                <w:snapToGrid w:val="0"/>
                <w:kern w:val="21"/>
                <w:szCs w:val="21"/>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vAlign w:val="center"/>
          </w:tcPr>
          <w:p>
            <w:pPr>
              <w:pStyle w:val="36"/>
              <w:spacing w:beforeLines="0" w:afterLines="0" w:line="240" w:lineRule="auto"/>
              <w:rPr>
                <w:rFonts w:ascii="Times New Roman" w:cs="宋体"/>
                <w:snapToGrid w:val="0"/>
                <w:kern w:val="21"/>
                <w:szCs w:val="21"/>
              </w:rPr>
            </w:pPr>
          </w:p>
        </w:tc>
        <w:tc>
          <w:tcPr>
            <w:tcW w:w="1417" w:type="dxa"/>
            <w:vAlign w:val="center"/>
          </w:tcPr>
          <w:p>
            <w:pPr>
              <w:pStyle w:val="36"/>
              <w:spacing w:beforeLines="0" w:afterLines="0" w:line="240" w:lineRule="auto"/>
              <w:rPr>
                <w:rFonts w:ascii="Times New Roman" w:cs="宋体"/>
                <w:snapToGrid w:val="0"/>
                <w:kern w:val="21"/>
                <w:szCs w:val="21"/>
              </w:rPr>
            </w:pPr>
          </w:p>
        </w:tc>
        <w:tc>
          <w:tcPr>
            <w:tcW w:w="1701" w:type="dxa"/>
            <w:vAlign w:val="center"/>
          </w:tcPr>
          <w:p>
            <w:pPr>
              <w:pStyle w:val="36"/>
              <w:spacing w:beforeLines="0" w:afterLines="0" w:line="240" w:lineRule="auto"/>
              <w:rPr>
                <w:rFonts w:ascii="Times New Roman" w:cs="宋体"/>
                <w:snapToGrid w:val="0"/>
                <w:kern w:val="21"/>
                <w:szCs w:val="21"/>
              </w:rPr>
            </w:pPr>
          </w:p>
        </w:tc>
        <w:tc>
          <w:tcPr>
            <w:tcW w:w="1276" w:type="dxa"/>
            <w:vAlign w:val="center"/>
          </w:tcPr>
          <w:p>
            <w:pPr>
              <w:pStyle w:val="36"/>
              <w:spacing w:beforeLines="0" w:afterLines="0" w:line="240" w:lineRule="auto"/>
              <w:rPr>
                <w:rFonts w:ascii="Times New Roman" w:cs="宋体"/>
                <w:snapToGrid w:val="0"/>
                <w:kern w:val="21"/>
                <w:szCs w:val="21"/>
              </w:rPr>
            </w:pPr>
          </w:p>
        </w:tc>
        <w:tc>
          <w:tcPr>
            <w:tcW w:w="1701" w:type="dxa"/>
            <w:vAlign w:val="center"/>
          </w:tcPr>
          <w:p>
            <w:pPr>
              <w:pStyle w:val="36"/>
              <w:spacing w:beforeLines="0" w:afterLines="0" w:line="240" w:lineRule="auto"/>
              <w:rPr>
                <w:rFonts w:ascii="Times New Roman" w:cs="宋体"/>
                <w:snapToGrid w:val="0"/>
                <w:kern w:val="21"/>
                <w:szCs w:val="21"/>
              </w:rPr>
            </w:pPr>
          </w:p>
        </w:tc>
        <w:tc>
          <w:tcPr>
            <w:tcW w:w="1464" w:type="dxa"/>
            <w:vAlign w:val="center"/>
          </w:tcPr>
          <w:p>
            <w:pPr>
              <w:pStyle w:val="36"/>
              <w:spacing w:beforeLines="0" w:afterLines="0" w:line="240" w:lineRule="auto"/>
              <w:rPr>
                <w:rFonts w:ascii="Times New Roman" w:cs="宋体"/>
                <w:snapToGrid w:val="0"/>
                <w:kern w:val="21"/>
                <w:szCs w:val="21"/>
              </w:rPr>
            </w:pPr>
          </w:p>
        </w:tc>
        <w:tc>
          <w:tcPr>
            <w:tcW w:w="1713" w:type="dxa"/>
            <w:vAlign w:val="center"/>
          </w:tcPr>
          <w:p>
            <w:pPr>
              <w:pStyle w:val="36"/>
              <w:spacing w:beforeLines="0" w:afterLines="0" w:line="240" w:lineRule="auto"/>
              <w:rPr>
                <w:rFonts w:ascii="Times New Roman" w:cs="宋体"/>
                <w:snapToGrid w:val="0"/>
                <w:kern w:val="21"/>
                <w:szCs w:val="21"/>
              </w:rPr>
            </w:pPr>
          </w:p>
        </w:tc>
        <w:tc>
          <w:tcPr>
            <w:tcW w:w="1512" w:type="dxa"/>
            <w:vAlign w:val="center"/>
          </w:tcPr>
          <w:p>
            <w:pPr>
              <w:pStyle w:val="36"/>
              <w:spacing w:beforeLines="0" w:afterLines="0" w:line="240" w:lineRule="auto"/>
              <w:rPr>
                <w:rFonts w:ascii="Times New Roman" w:cs="宋体"/>
                <w:snapToGrid w:val="0"/>
                <w:kern w:val="21"/>
                <w:szCs w:val="21"/>
              </w:rPr>
            </w:pPr>
          </w:p>
        </w:tc>
        <w:tc>
          <w:tcPr>
            <w:tcW w:w="1416" w:type="dxa"/>
            <w:vAlign w:val="center"/>
          </w:tcPr>
          <w:p>
            <w:pPr>
              <w:pStyle w:val="36"/>
              <w:spacing w:beforeLines="0" w:afterLines="0" w:line="240" w:lineRule="auto"/>
              <w:rPr>
                <w:rFonts w:ascii="Times New Roman" w:cs="宋体"/>
                <w:snapToGrid w:val="0"/>
                <w:kern w:val="21"/>
                <w:szCs w:val="21"/>
              </w:rPr>
            </w:pPr>
          </w:p>
        </w:tc>
      </w:tr>
    </w:tbl>
    <w:p>
      <w:pPr>
        <w:pStyle w:val="36"/>
        <w:spacing w:before="192" w:beforeLines="80" w:after="24"/>
        <w:jc w:val="left"/>
        <w:rPr>
          <w:rFonts w:ascii="Times New Roman"/>
        </w:rPr>
      </w:pPr>
      <w:r>
        <w:rPr>
          <w:rFonts w:ascii="Times New Roman"/>
          <w:snapToGrid w:val="0"/>
          <w:kern w:val="21"/>
          <w:szCs w:val="21"/>
        </w:rPr>
        <w:t>注：</w:t>
      </w:r>
      <w:r>
        <w:rPr>
          <w:rFonts w:ascii="Times New Roman"/>
          <w:snapToGrid w:val="0"/>
          <w:spacing w:val="-16"/>
          <w:kern w:val="21"/>
          <w:szCs w:val="21"/>
        </w:rPr>
        <w:fldChar w:fldCharType="begin"/>
      </w:r>
      <w:r>
        <w:rPr>
          <w:rFonts w:ascii="Times New Roman"/>
          <w:snapToGrid w:val="0"/>
          <w:spacing w:val="-16"/>
          <w:kern w:val="21"/>
          <w:szCs w:val="21"/>
        </w:rPr>
        <w:instrText xml:space="preserve"> = 6 \* GB3 \* MERGEFORMAT </w:instrText>
      </w:r>
      <w:r>
        <w:rPr>
          <w:rFonts w:ascii="Times New Roman"/>
          <w:snapToGrid w:val="0"/>
          <w:spacing w:val="-16"/>
          <w:kern w:val="21"/>
          <w:szCs w:val="21"/>
        </w:rPr>
        <w:fldChar w:fldCharType="separate"/>
      </w:r>
      <w:r>
        <w:rPr>
          <w:rFonts w:hint="eastAsia" w:ascii="Times New Roman"/>
          <w:szCs w:val="21"/>
        </w:rPr>
        <w:t>⑥</w:t>
      </w:r>
      <w:r>
        <w:rPr>
          <w:rFonts w:ascii="Times New Roman"/>
          <w:snapToGrid w:val="0"/>
          <w:spacing w:val="-16"/>
          <w:kern w:val="21"/>
          <w:szCs w:val="21"/>
        </w:rPr>
        <w:fldChar w:fldCharType="end"/>
      </w:r>
      <w:r>
        <w:rPr>
          <w:rFonts w:ascii="Times New Roman"/>
          <w:snapToGrid w:val="0"/>
          <w:spacing w:val="-16"/>
          <w:kern w:val="21"/>
          <w:szCs w:val="21"/>
        </w:rPr>
        <w:t>=</w:t>
      </w:r>
      <w:r>
        <w:rPr>
          <w:rFonts w:ascii="Times New Roman"/>
          <w:snapToGrid w:val="0"/>
          <w:spacing w:val="-6"/>
          <w:kern w:val="21"/>
          <w:szCs w:val="21"/>
        </w:rPr>
        <w:fldChar w:fldCharType="begin"/>
      </w:r>
      <w:r>
        <w:rPr>
          <w:rFonts w:ascii="Times New Roman"/>
          <w:snapToGrid w:val="0"/>
          <w:spacing w:val="-6"/>
          <w:kern w:val="21"/>
          <w:szCs w:val="21"/>
        </w:rPr>
        <w:instrText xml:space="preserve"> = 1 \* GB3 \* MERGEFORMAT </w:instrText>
      </w:r>
      <w:r>
        <w:rPr>
          <w:rFonts w:ascii="Times New Roman"/>
          <w:snapToGrid w:val="0"/>
          <w:spacing w:val="-6"/>
          <w:kern w:val="21"/>
          <w:szCs w:val="21"/>
        </w:rPr>
        <w:fldChar w:fldCharType="separate"/>
      </w:r>
      <w:r>
        <w:rPr>
          <w:rFonts w:hint="eastAsia" w:ascii="Times New Roman"/>
          <w:szCs w:val="21"/>
        </w:rPr>
        <w:t>①</w:t>
      </w:r>
      <w:r>
        <w:rPr>
          <w:rFonts w:ascii="Times New Roman"/>
          <w:snapToGrid w:val="0"/>
          <w:spacing w:val="-6"/>
          <w:kern w:val="21"/>
          <w:szCs w:val="21"/>
        </w:rPr>
        <w:fldChar w:fldCharType="end"/>
      </w:r>
      <w:r>
        <w:rPr>
          <w:rFonts w:ascii="Times New Roman"/>
          <w:snapToGrid w:val="0"/>
          <w:spacing w:val="-6"/>
          <w:kern w:val="21"/>
          <w:szCs w:val="21"/>
        </w:rPr>
        <w:t>+</w:t>
      </w:r>
      <w:r>
        <w:rPr>
          <w:rFonts w:ascii="Times New Roman"/>
          <w:snapToGrid w:val="0"/>
          <w:spacing w:val="-6"/>
          <w:kern w:val="21"/>
          <w:szCs w:val="21"/>
        </w:rPr>
        <w:fldChar w:fldCharType="begin"/>
      </w:r>
      <w:r>
        <w:rPr>
          <w:rFonts w:ascii="Times New Roman"/>
          <w:snapToGrid w:val="0"/>
          <w:spacing w:val="-6"/>
          <w:kern w:val="21"/>
          <w:szCs w:val="21"/>
        </w:rPr>
        <w:instrText xml:space="preserve"> = 3 \* GB3 \* MERGEFORMAT </w:instrText>
      </w:r>
      <w:r>
        <w:rPr>
          <w:rFonts w:ascii="Times New Roman"/>
          <w:snapToGrid w:val="0"/>
          <w:spacing w:val="-6"/>
          <w:kern w:val="21"/>
          <w:szCs w:val="21"/>
        </w:rPr>
        <w:fldChar w:fldCharType="separate"/>
      </w:r>
      <w:r>
        <w:rPr>
          <w:rFonts w:hint="eastAsia" w:ascii="Times New Roman"/>
          <w:szCs w:val="21"/>
        </w:rPr>
        <w:t>③</w:t>
      </w:r>
      <w:r>
        <w:rPr>
          <w:rFonts w:ascii="Times New Roman"/>
          <w:snapToGrid w:val="0"/>
          <w:spacing w:val="-6"/>
          <w:kern w:val="21"/>
          <w:szCs w:val="21"/>
        </w:rPr>
        <w:fldChar w:fldCharType="end"/>
      </w:r>
      <w:r>
        <w:rPr>
          <w:rFonts w:ascii="Times New Roman"/>
          <w:snapToGrid w:val="0"/>
          <w:spacing w:val="-6"/>
          <w:kern w:val="21"/>
          <w:szCs w:val="21"/>
        </w:rPr>
        <w:t>+</w:t>
      </w:r>
      <w:r>
        <w:rPr>
          <w:rFonts w:ascii="Times New Roman"/>
          <w:snapToGrid w:val="0"/>
          <w:spacing w:val="-6"/>
          <w:kern w:val="21"/>
          <w:szCs w:val="21"/>
        </w:rPr>
        <w:fldChar w:fldCharType="begin"/>
      </w:r>
      <w:r>
        <w:rPr>
          <w:rFonts w:ascii="Times New Roman"/>
          <w:snapToGrid w:val="0"/>
          <w:spacing w:val="-6"/>
          <w:kern w:val="21"/>
          <w:szCs w:val="21"/>
        </w:rPr>
        <w:instrText xml:space="preserve"> = 4 \* GB3 \* MERGEFORMAT </w:instrText>
      </w:r>
      <w:r>
        <w:rPr>
          <w:rFonts w:ascii="Times New Roman"/>
          <w:snapToGrid w:val="0"/>
          <w:spacing w:val="-6"/>
          <w:kern w:val="21"/>
          <w:szCs w:val="21"/>
        </w:rPr>
        <w:fldChar w:fldCharType="separate"/>
      </w:r>
      <w:r>
        <w:rPr>
          <w:rFonts w:hint="eastAsia" w:ascii="Times New Roman"/>
          <w:szCs w:val="21"/>
        </w:rPr>
        <w:t>④</w:t>
      </w:r>
      <w:r>
        <w:rPr>
          <w:rFonts w:ascii="Times New Roman"/>
          <w:snapToGrid w:val="0"/>
          <w:spacing w:val="-6"/>
          <w:kern w:val="21"/>
          <w:szCs w:val="21"/>
        </w:rPr>
        <w:fldChar w:fldCharType="end"/>
      </w:r>
      <w:r>
        <w:rPr>
          <w:rFonts w:ascii="Times New Roman"/>
          <w:snapToGrid w:val="0"/>
          <w:spacing w:val="-6"/>
          <w:kern w:val="21"/>
          <w:szCs w:val="21"/>
        </w:rPr>
        <w:t>-</w:t>
      </w:r>
      <w:r>
        <w:rPr>
          <w:rFonts w:ascii="Times New Roman"/>
          <w:snapToGrid w:val="0"/>
          <w:spacing w:val="-16"/>
          <w:kern w:val="21"/>
          <w:szCs w:val="21"/>
        </w:rPr>
        <w:fldChar w:fldCharType="begin"/>
      </w:r>
      <w:r>
        <w:rPr>
          <w:rFonts w:ascii="Times New Roman"/>
          <w:snapToGrid w:val="0"/>
          <w:spacing w:val="-16"/>
          <w:kern w:val="21"/>
          <w:szCs w:val="21"/>
        </w:rPr>
        <w:instrText xml:space="preserve"> = 5 \* GB3 \* MERGEFORMAT </w:instrText>
      </w:r>
      <w:r>
        <w:rPr>
          <w:rFonts w:ascii="Times New Roman"/>
          <w:snapToGrid w:val="0"/>
          <w:spacing w:val="-16"/>
          <w:kern w:val="21"/>
          <w:szCs w:val="21"/>
        </w:rPr>
        <w:fldChar w:fldCharType="separate"/>
      </w:r>
      <w:r>
        <w:rPr>
          <w:rFonts w:hint="eastAsia" w:ascii="Times New Roman"/>
          <w:szCs w:val="21"/>
        </w:rPr>
        <w:t>⑤</w:t>
      </w:r>
      <w:r>
        <w:rPr>
          <w:rFonts w:ascii="Times New Roman"/>
          <w:snapToGrid w:val="0"/>
          <w:spacing w:val="-16"/>
          <w:kern w:val="21"/>
          <w:szCs w:val="21"/>
        </w:rPr>
        <w:fldChar w:fldCharType="end"/>
      </w:r>
      <w:r>
        <w:rPr>
          <w:rFonts w:ascii="Times New Roman"/>
          <w:snapToGrid w:val="0"/>
          <w:spacing w:val="-16"/>
          <w:kern w:val="21"/>
          <w:szCs w:val="21"/>
        </w:rPr>
        <w:t>；</w:t>
      </w:r>
      <w:r>
        <w:rPr>
          <w:rFonts w:ascii="Times New Roman"/>
          <w:snapToGrid w:val="0"/>
          <w:spacing w:val="-6"/>
          <w:kern w:val="21"/>
          <w:szCs w:val="21"/>
        </w:rPr>
        <w:fldChar w:fldCharType="begin"/>
      </w:r>
      <w:r>
        <w:rPr>
          <w:rFonts w:ascii="Times New Roman"/>
          <w:snapToGrid w:val="0"/>
          <w:spacing w:val="-6"/>
          <w:kern w:val="21"/>
          <w:szCs w:val="21"/>
        </w:rPr>
        <w:instrText xml:space="preserve"> = 7 \* GB3 \* MERGEFORMAT </w:instrText>
      </w:r>
      <w:r>
        <w:rPr>
          <w:rFonts w:ascii="Times New Roman"/>
          <w:snapToGrid w:val="0"/>
          <w:spacing w:val="-6"/>
          <w:kern w:val="21"/>
          <w:szCs w:val="21"/>
        </w:rPr>
        <w:fldChar w:fldCharType="separate"/>
      </w:r>
      <w:r>
        <w:rPr>
          <w:rFonts w:hint="eastAsia" w:ascii="Times New Roman"/>
          <w:szCs w:val="21"/>
        </w:rPr>
        <w:t>⑦</w:t>
      </w:r>
      <w:r>
        <w:rPr>
          <w:rFonts w:ascii="Times New Roman"/>
          <w:snapToGrid w:val="0"/>
          <w:spacing w:val="-6"/>
          <w:kern w:val="21"/>
          <w:szCs w:val="21"/>
        </w:rPr>
        <w:fldChar w:fldCharType="end"/>
      </w:r>
      <w:r>
        <w:rPr>
          <w:rFonts w:ascii="Times New Roman"/>
          <w:snapToGrid w:val="0"/>
          <w:spacing w:val="-6"/>
          <w:kern w:val="21"/>
          <w:szCs w:val="21"/>
        </w:rPr>
        <w:t>=</w:t>
      </w:r>
      <w:r>
        <w:rPr>
          <w:rFonts w:ascii="Times New Roman"/>
          <w:snapToGrid w:val="0"/>
          <w:spacing w:val="-16"/>
          <w:kern w:val="21"/>
          <w:szCs w:val="21"/>
        </w:rPr>
        <w:fldChar w:fldCharType="begin"/>
      </w:r>
      <w:r>
        <w:rPr>
          <w:rFonts w:ascii="Times New Roman"/>
          <w:snapToGrid w:val="0"/>
          <w:spacing w:val="-16"/>
          <w:kern w:val="21"/>
          <w:szCs w:val="21"/>
        </w:rPr>
        <w:instrText xml:space="preserve"> = 6 \* GB3 \* MERGEFORMAT </w:instrText>
      </w:r>
      <w:r>
        <w:rPr>
          <w:rFonts w:ascii="Times New Roman"/>
          <w:snapToGrid w:val="0"/>
          <w:spacing w:val="-16"/>
          <w:kern w:val="21"/>
          <w:szCs w:val="21"/>
        </w:rPr>
        <w:fldChar w:fldCharType="separate"/>
      </w:r>
      <w:r>
        <w:rPr>
          <w:rFonts w:hint="eastAsia" w:ascii="Times New Roman"/>
          <w:szCs w:val="21"/>
        </w:rPr>
        <w:t>⑥</w:t>
      </w:r>
      <w:r>
        <w:rPr>
          <w:rFonts w:ascii="Times New Roman"/>
          <w:snapToGrid w:val="0"/>
          <w:spacing w:val="-16"/>
          <w:kern w:val="21"/>
          <w:szCs w:val="21"/>
        </w:rPr>
        <w:fldChar w:fldCharType="end"/>
      </w:r>
      <w:r>
        <w:rPr>
          <w:rFonts w:ascii="Times New Roman"/>
          <w:snapToGrid w:val="0"/>
          <w:spacing w:val="-16"/>
          <w:kern w:val="21"/>
          <w:szCs w:val="21"/>
        </w:rPr>
        <w:t>-</w:t>
      </w:r>
      <w:r>
        <w:rPr>
          <w:rFonts w:ascii="Times New Roman"/>
          <w:snapToGrid w:val="0"/>
          <w:spacing w:val="-6"/>
          <w:kern w:val="21"/>
          <w:szCs w:val="21"/>
        </w:rPr>
        <w:fldChar w:fldCharType="begin"/>
      </w:r>
      <w:r>
        <w:rPr>
          <w:rFonts w:ascii="Times New Roman"/>
          <w:snapToGrid w:val="0"/>
          <w:spacing w:val="-6"/>
          <w:kern w:val="21"/>
          <w:szCs w:val="21"/>
        </w:rPr>
        <w:instrText xml:space="preserve"> = 1 \* GB3 \* MERGEFORMAT </w:instrText>
      </w:r>
      <w:r>
        <w:rPr>
          <w:rFonts w:ascii="Times New Roman"/>
          <w:snapToGrid w:val="0"/>
          <w:spacing w:val="-6"/>
          <w:kern w:val="21"/>
          <w:szCs w:val="21"/>
        </w:rPr>
        <w:fldChar w:fldCharType="separate"/>
      </w:r>
      <w:r>
        <w:rPr>
          <w:rFonts w:hint="eastAsia" w:ascii="Times New Roman"/>
          <w:szCs w:val="21"/>
        </w:rPr>
        <w:t>①</w:t>
      </w:r>
      <w:r>
        <w:rPr>
          <w:rFonts w:ascii="Times New Roman"/>
          <w:snapToGrid w:val="0"/>
          <w:spacing w:val="-6"/>
          <w:kern w:val="21"/>
          <w:szCs w:val="21"/>
        </w:rPr>
        <w:fldChar w:fldCharType="end"/>
      </w:r>
    </w:p>
    <w:p>
      <w:pPr>
        <w:sectPr>
          <w:footerReference r:id="rId4" w:type="default"/>
          <w:pgSz w:w="16838" w:h="11906" w:orient="landscape"/>
          <w:pgMar w:top="1531" w:right="1701" w:bottom="1531" w:left="1701" w:header="851" w:footer="850" w:gutter="0"/>
          <w:cols w:space="720" w:num="1"/>
          <w:docGrid w:linePitch="312" w:charSpace="0"/>
        </w:sectPr>
      </w:pPr>
    </w:p>
    <w:tbl>
      <w:tblPr>
        <w:tblStyle w:val="22"/>
        <w:tblW w:w="886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tcPr>
          <w:p>
            <w:pPr>
              <w:pStyle w:val="50"/>
              <w:spacing w:line="360" w:lineRule="auto"/>
              <w:ind w:firstLine="480" w:firstLineChars="200"/>
              <w:rPr>
                <w:sz w:val="24"/>
                <w:szCs w:val="24"/>
              </w:rPr>
            </w:pPr>
            <w:r>
              <w:rPr>
                <w:sz w:val="24"/>
                <w:szCs w:val="24"/>
              </w:rPr>
              <w:t>本报告表附以下附图</w:t>
            </w:r>
            <w:r>
              <w:rPr>
                <w:rFonts w:hint="eastAsia"/>
                <w:sz w:val="24"/>
                <w:szCs w:val="24"/>
              </w:rPr>
              <w:t>、</w:t>
            </w:r>
            <w:r>
              <w:rPr>
                <w:sz w:val="24"/>
                <w:szCs w:val="24"/>
              </w:rPr>
              <w:t>附件：</w:t>
            </w:r>
          </w:p>
          <w:p>
            <w:pPr>
              <w:pStyle w:val="50"/>
              <w:spacing w:line="360" w:lineRule="auto"/>
              <w:ind w:firstLine="472" w:firstLineChars="196"/>
              <w:rPr>
                <w:b/>
                <w:sz w:val="24"/>
                <w:szCs w:val="24"/>
              </w:rPr>
            </w:pPr>
            <w:r>
              <w:rPr>
                <w:b/>
                <w:sz w:val="24"/>
                <w:szCs w:val="24"/>
              </w:rPr>
              <w:t>附图：</w:t>
            </w:r>
          </w:p>
          <w:p>
            <w:pPr>
              <w:pStyle w:val="50"/>
              <w:spacing w:line="480" w:lineRule="exact"/>
              <w:ind w:firstLine="482"/>
              <w:rPr>
                <w:sz w:val="24"/>
                <w:szCs w:val="24"/>
              </w:rPr>
            </w:pPr>
            <w:r>
              <w:rPr>
                <w:sz w:val="24"/>
                <w:szCs w:val="24"/>
              </w:rPr>
              <w:t>附图</w:t>
            </w:r>
            <w:r>
              <w:rPr>
                <w:rFonts w:hint="eastAsia"/>
                <w:sz w:val="24"/>
                <w:szCs w:val="24"/>
              </w:rPr>
              <w:t>一</w:t>
            </w:r>
            <w:r>
              <w:rPr>
                <w:sz w:val="24"/>
                <w:szCs w:val="24"/>
              </w:rPr>
              <w:t xml:space="preserve">  项目地理位置</w:t>
            </w:r>
            <w:r>
              <w:rPr>
                <w:rFonts w:hint="eastAsia"/>
                <w:sz w:val="24"/>
                <w:szCs w:val="24"/>
              </w:rPr>
              <w:t>示意</w:t>
            </w:r>
            <w:r>
              <w:rPr>
                <w:sz w:val="24"/>
                <w:szCs w:val="24"/>
              </w:rPr>
              <w:t>图</w:t>
            </w:r>
          </w:p>
          <w:p>
            <w:pPr>
              <w:pStyle w:val="50"/>
              <w:spacing w:line="480" w:lineRule="exact"/>
              <w:ind w:firstLine="482"/>
              <w:rPr>
                <w:sz w:val="24"/>
                <w:szCs w:val="24"/>
              </w:rPr>
            </w:pPr>
            <w:r>
              <w:rPr>
                <w:rFonts w:hint="eastAsia"/>
                <w:sz w:val="24"/>
                <w:szCs w:val="24"/>
              </w:rPr>
              <w:t>附图二  项目周边环境保护目标示意图</w:t>
            </w:r>
          </w:p>
          <w:p>
            <w:pPr>
              <w:spacing w:line="480" w:lineRule="exact"/>
              <w:ind w:firstLine="482"/>
              <w:rPr>
                <w:kern w:val="0"/>
                <w:sz w:val="24"/>
              </w:rPr>
            </w:pPr>
            <w:r>
              <w:rPr>
                <w:rFonts w:hint="eastAsia"/>
                <w:kern w:val="0"/>
                <w:sz w:val="24"/>
              </w:rPr>
              <w:t>附图三  平顶山市</w:t>
            </w:r>
            <w:r>
              <w:rPr>
                <w:kern w:val="0"/>
                <w:sz w:val="24"/>
              </w:rPr>
              <w:t>生态环境管控单元分区图</w:t>
            </w:r>
          </w:p>
          <w:p>
            <w:pPr>
              <w:pStyle w:val="50"/>
              <w:spacing w:line="480" w:lineRule="exact"/>
              <w:ind w:firstLine="482"/>
              <w:rPr>
                <w:sz w:val="24"/>
                <w:szCs w:val="24"/>
              </w:rPr>
            </w:pPr>
            <w:r>
              <w:rPr>
                <w:rFonts w:hint="eastAsia"/>
                <w:sz w:val="24"/>
                <w:szCs w:val="24"/>
              </w:rPr>
              <w:t>附图四  项目与南水北调中线</w:t>
            </w:r>
            <w:r>
              <w:rPr>
                <w:sz w:val="24"/>
                <w:szCs w:val="24"/>
              </w:rPr>
              <w:t>工程饮用水源保护区</w:t>
            </w:r>
            <w:r>
              <w:rPr>
                <w:rFonts w:hint="eastAsia"/>
                <w:sz w:val="24"/>
                <w:szCs w:val="24"/>
              </w:rPr>
              <w:t>位置</w:t>
            </w:r>
            <w:r>
              <w:rPr>
                <w:sz w:val="24"/>
                <w:szCs w:val="24"/>
              </w:rPr>
              <w:t>关系示意图</w:t>
            </w:r>
          </w:p>
          <w:p>
            <w:pPr>
              <w:pStyle w:val="50"/>
              <w:spacing w:line="480" w:lineRule="exact"/>
              <w:ind w:firstLine="482"/>
              <w:rPr>
                <w:sz w:val="24"/>
                <w:szCs w:val="24"/>
              </w:rPr>
            </w:pPr>
            <w:r>
              <w:rPr>
                <w:rFonts w:hint="eastAsia"/>
                <w:sz w:val="24"/>
                <w:szCs w:val="24"/>
              </w:rPr>
              <w:t xml:space="preserve">附图五 </w:t>
            </w:r>
            <w:r>
              <w:rPr>
                <w:sz w:val="24"/>
                <w:szCs w:val="24"/>
              </w:rPr>
              <w:t xml:space="preserve"> </w:t>
            </w:r>
            <w:r>
              <w:rPr>
                <w:rFonts w:hint="eastAsia"/>
                <w:sz w:val="24"/>
                <w:szCs w:val="24"/>
              </w:rPr>
              <w:t>项目与平顶山饮用水源保护区位置关系示意图</w:t>
            </w:r>
          </w:p>
          <w:p>
            <w:pPr>
              <w:pStyle w:val="50"/>
              <w:spacing w:line="480" w:lineRule="exact"/>
              <w:ind w:firstLine="482"/>
              <w:rPr>
                <w:sz w:val="24"/>
                <w:szCs w:val="24"/>
              </w:rPr>
            </w:pPr>
            <w:r>
              <w:rPr>
                <w:rFonts w:hint="eastAsia"/>
                <w:sz w:val="24"/>
                <w:szCs w:val="24"/>
              </w:rPr>
              <w:t xml:space="preserve">附图六 </w:t>
            </w:r>
            <w:r>
              <w:rPr>
                <w:sz w:val="24"/>
                <w:szCs w:val="24"/>
              </w:rPr>
              <w:t xml:space="preserve"> </w:t>
            </w:r>
            <w:r>
              <w:rPr>
                <w:rFonts w:hint="eastAsia"/>
                <w:sz w:val="24"/>
                <w:szCs w:val="24"/>
              </w:rPr>
              <w:t>项目平面布置图</w:t>
            </w:r>
          </w:p>
          <w:p>
            <w:pPr>
              <w:pStyle w:val="50"/>
              <w:spacing w:line="480" w:lineRule="exact"/>
              <w:ind w:firstLine="480" w:firstLineChars="200"/>
              <w:rPr>
                <w:b/>
                <w:sz w:val="24"/>
                <w:szCs w:val="24"/>
              </w:rPr>
            </w:pPr>
            <w:r>
              <w:rPr>
                <w:rFonts w:hint="eastAsia"/>
                <w:sz w:val="24"/>
                <w:szCs w:val="24"/>
              </w:rPr>
              <w:t xml:space="preserve">附图七 </w:t>
            </w:r>
            <w:r>
              <w:rPr>
                <w:sz w:val="24"/>
                <w:szCs w:val="24"/>
              </w:rPr>
              <w:t xml:space="preserve"> </w:t>
            </w:r>
            <w:r>
              <w:rPr>
                <w:rFonts w:hint="eastAsia"/>
                <w:sz w:val="24"/>
                <w:szCs w:val="24"/>
              </w:rPr>
              <w:t>项目区现状照片</w:t>
            </w:r>
          </w:p>
          <w:p>
            <w:pPr>
              <w:pStyle w:val="50"/>
              <w:spacing w:line="480" w:lineRule="exact"/>
              <w:ind w:firstLine="482" w:firstLineChars="200"/>
              <w:rPr>
                <w:b/>
                <w:sz w:val="24"/>
                <w:szCs w:val="24"/>
              </w:rPr>
            </w:pPr>
            <w:r>
              <w:rPr>
                <w:rFonts w:hint="eastAsia"/>
                <w:b/>
                <w:sz w:val="24"/>
                <w:szCs w:val="24"/>
              </w:rPr>
              <w:t>附件：</w:t>
            </w:r>
          </w:p>
          <w:p>
            <w:pPr>
              <w:pStyle w:val="50"/>
              <w:spacing w:line="480" w:lineRule="exact"/>
              <w:ind w:firstLine="480" w:firstLineChars="200"/>
              <w:rPr>
                <w:sz w:val="24"/>
                <w:szCs w:val="24"/>
              </w:rPr>
            </w:pPr>
            <w:r>
              <w:rPr>
                <w:sz w:val="24"/>
                <w:szCs w:val="24"/>
              </w:rPr>
              <w:t>附件</w:t>
            </w:r>
            <w:r>
              <w:rPr>
                <w:rFonts w:hint="eastAsia"/>
                <w:sz w:val="24"/>
                <w:szCs w:val="24"/>
              </w:rPr>
              <w:t>一</w:t>
            </w:r>
            <w:r>
              <w:rPr>
                <w:sz w:val="24"/>
                <w:szCs w:val="24"/>
              </w:rPr>
              <w:t xml:space="preserve">  委托书</w:t>
            </w:r>
          </w:p>
          <w:p>
            <w:pPr>
              <w:pStyle w:val="50"/>
              <w:spacing w:line="480" w:lineRule="exact"/>
              <w:ind w:firstLine="480" w:firstLineChars="200"/>
              <w:rPr>
                <w:sz w:val="24"/>
                <w:szCs w:val="24"/>
              </w:rPr>
            </w:pPr>
            <w:r>
              <w:rPr>
                <w:rFonts w:hint="eastAsia"/>
                <w:sz w:val="24"/>
                <w:szCs w:val="24"/>
              </w:rPr>
              <w:t>附件二  备案证明</w:t>
            </w:r>
          </w:p>
          <w:p>
            <w:pPr>
              <w:pStyle w:val="50"/>
              <w:spacing w:line="480" w:lineRule="exact"/>
              <w:ind w:firstLine="480" w:firstLineChars="200"/>
              <w:rPr>
                <w:sz w:val="24"/>
                <w:szCs w:val="24"/>
              </w:rPr>
            </w:pPr>
            <w:r>
              <w:rPr>
                <w:sz w:val="24"/>
                <w:szCs w:val="24"/>
              </w:rPr>
              <w:t>附件</w:t>
            </w:r>
            <w:r>
              <w:rPr>
                <w:rFonts w:hint="eastAsia"/>
                <w:sz w:val="24"/>
                <w:szCs w:val="24"/>
              </w:rPr>
              <w:t>三</w:t>
            </w:r>
            <w:r>
              <w:rPr>
                <w:sz w:val="24"/>
                <w:szCs w:val="24"/>
              </w:rPr>
              <w:t xml:space="preserve">  </w:t>
            </w:r>
            <w:r>
              <w:rPr>
                <w:rFonts w:hint="eastAsia"/>
                <w:sz w:val="24"/>
                <w:szCs w:val="24"/>
              </w:rPr>
              <w:t>鲁山县</w:t>
            </w:r>
            <w:r>
              <w:rPr>
                <w:sz w:val="24"/>
                <w:szCs w:val="24"/>
              </w:rPr>
              <w:t>自然资源局关于本项目</w:t>
            </w:r>
            <w:r>
              <w:rPr>
                <w:rFonts w:hint="eastAsia"/>
                <w:sz w:val="24"/>
                <w:szCs w:val="24"/>
              </w:rPr>
              <w:t>符合土地利用规划</w:t>
            </w:r>
            <w:r>
              <w:rPr>
                <w:sz w:val="24"/>
                <w:szCs w:val="24"/>
              </w:rPr>
              <w:t>的证明</w:t>
            </w:r>
          </w:p>
          <w:p>
            <w:pPr>
              <w:pStyle w:val="50"/>
              <w:spacing w:line="480" w:lineRule="exact"/>
              <w:ind w:firstLine="480" w:firstLineChars="200"/>
              <w:rPr>
                <w:sz w:val="24"/>
                <w:szCs w:val="24"/>
              </w:rPr>
            </w:pPr>
            <w:r>
              <w:rPr>
                <w:rFonts w:hint="eastAsia"/>
                <w:sz w:val="24"/>
                <w:szCs w:val="24"/>
              </w:rPr>
              <w:t>附件四  用地租赁合同</w:t>
            </w:r>
          </w:p>
          <w:p>
            <w:pPr>
              <w:pStyle w:val="50"/>
              <w:spacing w:line="480" w:lineRule="exact"/>
              <w:ind w:firstLine="480" w:firstLineChars="200"/>
              <w:rPr>
                <w:sz w:val="24"/>
                <w:szCs w:val="24"/>
              </w:rPr>
            </w:pPr>
            <w:r>
              <w:rPr>
                <w:rFonts w:hint="eastAsia"/>
                <w:sz w:val="24"/>
                <w:szCs w:val="24"/>
              </w:rPr>
              <w:t>附件五  鲁山县环境保护局关于本项目环评执行标准的意见</w:t>
            </w:r>
          </w:p>
          <w:p>
            <w:pPr>
              <w:pStyle w:val="50"/>
              <w:spacing w:line="480" w:lineRule="exact"/>
              <w:ind w:firstLine="480" w:firstLineChars="200"/>
              <w:rPr>
                <w:sz w:val="24"/>
                <w:szCs w:val="24"/>
              </w:rPr>
            </w:pPr>
            <w:r>
              <w:rPr>
                <w:rFonts w:hint="eastAsia"/>
                <w:sz w:val="24"/>
                <w:szCs w:val="24"/>
              </w:rPr>
              <w:t>附件六  监测报告</w:t>
            </w:r>
          </w:p>
          <w:p>
            <w:pPr>
              <w:spacing w:line="480" w:lineRule="exact"/>
              <w:ind w:firstLine="480" w:firstLineChars="200"/>
              <w:rPr>
                <w:bCs/>
                <w:sz w:val="24"/>
              </w:rPr>
            </w:pPr>
            <w:r>
              <w:rPr>
                <w:rFonts w:hint="eastAsia"/>
                <w:bCs/>
                <w:sz w:val="24"/>
              </w:rPr>
              <w:t xml:space="preserve">附件七 </w:t>
            </w:r>
            <w:r>
              <w:rPr>
                <w:bCs/>
                <w:sz w:val="24"/>
              </w:rPr>
              <w:t xml:space="preserve"> </w:t>
            </w:r>
            <w:r>
              <w:rPr>
                <w:rFonts w:hint="eastAsia"/>
                <w:bCs/>
                <w:sz w:val="24"/>
              </w:rPr>
              <w:t>建设单位承诺书</w:t>
            </w:r>
          </w:p>
          <w:p>
            <w:pPr>
              <w:spacing w:line="480" w:lineRule="exact"/>
              <w:ind w:firstLine="480" w:firstLineChars="200"/>
              <w:rPr>
                <w:bCs/>
                <w:sz w:val="24"/>
              </w:rPr>
            </w:pPr>
            <w:r>
              <w:rPr>
                <w:rFonts w:hint="eastAsia"/>
                <w:bCs/>
                <w:sz w:val="24"/>
              </w:rPr>
              <w:t xml:space="preserve">附件八 </w:t>
            </w:r>
            <w:r>
              <w:rPr>
                <w:bCs/>
                <w:sz w:val="24"/>
              </w:rPr>
              <w:t xml:space="preserve"> </w:t>
            </w:r>
            <w:r>
              <w:rPr>
                <w:rFonts w:hint="eastAsia"/>
                <w:bCs/>
                <w:sz w:val="24"/>
              </w:rPr>
              <w:t>环评单位承诺书</w:t>
            </w:r>
          </w:p>
          <w:p>
            <w:pPr>
              <w:spacing w:line="480" w:lineRule="exact"/>
              <w:ind w:firstLine="480" w:firstLineChars="200"/>
              <w:rPr>
                <w:bCs/>
                <w:sz w:val="24"/>
              </w:rPr>
            </w:pPr>
            <w:r>
              <w:rPr>
                <w:rFonts w:hint="eastAsia"/>
                <w:bCs/>
                <w:sz w:val="24"/>
              </w:rPr>
              <w:t xml:space="preserve">附件九 </w:t>
            </w:r>
            <w:r>
              <w:rPr>
                <w:bCs/>
                <w:sz w:val="24"/>
              </w:rPr>
              <w:t xml:space="preserve"> </w:t>
            </w:r>
            <w:r>
              <w:rPr>
                <w:rFonts w:hint="eastAsia"/>
                <w:bCs/>
                <w:sz w:val="24"/>
              </w:rPr>
              <w:t>专家函审意见</w:t>
            </w:r>
          </w:p>
          <w:p>
            <w:pPr>
              <w:spacing w:line="480" w:lineRule="exact"/>
              <w:ind w:firstLine="480" w:firstLineChars="200"/>
              <w:rPr>
                <w:bCs/>
                <w:sz w:val="24"/>
              </w:rPr>
            </w:pPr>
          </w:p>
          <w:p>
            <w:pPr>
              <w:spacing w:line="360" w:lineRule="auto"/>
              <w:ind w:firstLine="480" w:firstLineChars="200"/>
              <w:rPr>
                <w:bCs/>
                <w:sz w:val="24"/>
              </w:rPr>
            </w:pPr>
          </w:p>
          <w:p>
            <w:pPr>
              <w:pStyle w:val="20"/>
              <w:ind w:firstLine="240"/>
              <w:rPr>
                <w:bCs/>
                <w:sz w:val="24"/>
              </w:rPr>
            </w:pPr>
          </w:p>
          <w:p>
            <w:pPr>
              <w:pStyle w:val="20"/>
              <w:ind w:firstLine="240"/>
              <w:rPr>
                <w:bCs/>
                <w:sz w:val="24"/>
              </w:rPr>
            </w:pPr>
          </w:p>
          <w:p>
            <w:pPr>
              <w:pStyle w:val="20"/>
              <w:ind w:firstLine="240"/>
              <w:rPr>
                <w:bCs/>
                <w:sz w:val="24"/>
              </w:rPr>
            </w:pPr>
          </w:p>
          <w:p>
            <w:pPr>
              <w:pStyle w:val="20"/>
              <w:ind w:firstLine="240"/>
              <w:rPr>
                <w:bCs/>
                <w:sz w:val="24"/>
              </w:rPr>
            </w:pPr>
          </w:p>
          <w:p>
            <w:pPr>
              <w:pStyle w:val="20"/>
              <w:ind w:firstLine="240"/>
              <w:rPr>
                <w:bCs/>
                <w:sz w:val="24"/>
              </w:rPr>
            </w:pPr>
          </w:p>
          <w:p>
            <w:pPr>
              <w:spacing w:line="360" w:lineRule="auto"/>
              <w:ind w:firstLine="480" w:firstLineChars="200"/>
              <w:rPr>
                <w:bCs/>
                <w:sz w:val="24"/>
              </w:rPr>
            </w:pPr>
          </w:p>
        </w:tc>
      </w:tr>
    </w:tbl>
    <w:p/>
    <w:p/>
    <w:p/>
    <w:p>
      <w:r>
        <w:br w:type="page"/>
      </w:r>
    </w:p>
    <w:p>
      <w:pPr>
        <w:sectPr>
          <w:pgSz w:w="11906" w:h="16838"/>
          <w:pgMar w:top="1701" w:right="1531" w:bottom="1701" w:left="1531" w:header="851" w:footer="850" w:gutter="0"/>
          <w:cols w:space="720" w:num="1"/>
          <w:docGrid w:linePitch="312" w:charSpace="0"/>
        </w:sectPr>
      </w:pPr>
    </w:p>
    <w:p/>
    <w:p>
      <w:pPr>
        <w:jc w:val="center"/>
        <w:sectPr>
          <w:pgSz w:w="16838" w:h="11906" w:orient="landscape"/>
          <w:pgMar w:top="1531" w:right="1701" w:bottom="1531" w:left="1701" w:header="851" w:footer="850" w:gutter="0"/>
          <w:cols w:space="720" w:num="1"/>
          <w:docGrid w:linePitch="312" w:charSpace="0"/>
        </w:sectPr>
      </w:pPr>
      <w:r>
        <w:drawing>
          <wp:inline distT="0" distB="0" distL="0" distR="0">
            <wp:extent cx="7818120" cy="5526405"/>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821063" cy="5528865"/>
                    </a:xfrm>
                    <a:prstGeom prst="rect">
                      <a:avLst/>
                    </a:prstGeom>
                  </pic:spPr>
                </pic:pic>
              </a:graphicData>
            </a:graphic>
          </wp:inline>
        </w:drawing>
      </w:r>
      <w:r>
        <w:drawing>
          <wp:inline distT="0" distB="0" distL="0" distR="0">
            <wp:extent cx="8275320" cy="584962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279188" cy="5852723"/>
                    </a:xfrm>
                    <a:prstGeom prst="rect">
                      <a:avLst/>
                    </a:prstGeom>
                  </pic:spPr>
                </pic:pic>
              </a:graphicData>
            </a:graphic>
          </wp:inline>
        </w:drawing>
      </w:r>
      <w:r>
        <w:drawing>
          <wp:inline distT="0" distB="0" distL="0" distR="0">
            <wp:extent cx="8298180" cy="5866130"/>
            <wp:effectExtent l="0" t="0" r="7620" b="127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305213" cy="5871121"/>
                    </a:xfrm>
                    <a:prstGeom prst="rect">
                      <a:avLst/>
                    </a:prstGeom>
                  </pic:spPr>
                </pic:pic>
              </a:graphicData>
            </a:graphic>
          </wp:inline>
        </w:drawing>
      </w:r>
      <w:r>
        <w:drawing>
          <wp:inline distT="0" distB="0" distL="0" distR="0">
            <wp:extent cx="7810500" cy="5522595"/>
            <wp:effectExtent l="0" t="0" r="0" b="190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822396" cy="5531577"/>
                    </a:xfrm>
                    <a:prstGeom prst="rect">
                      <a:avLst/>
                    </a:prstGeom>
                  </pic:spPr>
                </pic:pic>
              </a:graphicData>
            </a:graphic>
          </wp:inline>
        </w:drawing>
      </w:r>
      <w:r>
        <w:drawing>
          <wp:inline distT="0" distB="0" distL="0" distR="0">
            <wp:extent cx="7734300" cy="546735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739282" cy="5471053"/>
                    </a:xfrm>
                    <a:prstGeom prst="rect">
                      <a:avLst/>
                    </a:prstGeom>
                  </pic:spPr>
                </pic:pic>
              </a:graphicData>
            </a:graphic>
          </wp:inline>
        </w:drawing>
      </w:r>
    </w:p>
    <w:p>
      <w:pPr>
        <w:jc w:val="center"/>
      </w:pPr>
      <w:r>
        <w:drawing>
          <wp:inline distT="0" distB="0" distL="0" distR="0">
            <wp:extent cx="5615940" cy="7944485"/>
            <wp:effectExtent l="0" t="0" r="381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615940" cy="7944485"/>
                    </a:xfrm>
                    <a:prstGeom prst="rect">
                      <a:avLst/>
                    </a:prstGeom>
                  </pic:spPr>
                </pic:pic>
              </a:graphicData>
            </a:graphic>
          </wp:inline>
        </w:drawing>
      </w:r>
      <w:r>
        <w:drawing>
          <wp:inline distT="0" distB="0" distL="0" distR="0">
            <wp:extent cx="5615940" cy="7945120"/>
            <wp:effectExtent l="0" t="0" r="381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615940" cy="7945120"/>
                    </a:xfrm>
                    <a:prstGeom prst="rect">
                      <a:avLst/>
                    </a:prstGeom>
                  </pic:spPr>
                </pic:pic>
              </a:graphicData>
            </a:graphic>
          </wp:inline>
        </w:drawing>
      </w:r>
    </w:p>
    <w:p>
      <w:pPr>
        <w:widowControl/>
        <w:jc w:val="left"/>
      </w:pPr>
      <w:r>
        <w:br w:type="page"/>
      </w:r>
    </w:p>
    <w:p>
      <w:r>
        <w:rPr>
          <w:rFonts w:hint="eastAsia"/>
        </w:rPr>
        <w:drawing>
          <wp:inline distT="0" distB="0" distL="0" distR="0">
            <wp:extent cx="5615940" cy="7937500"/>
            <wp:effectExtent l="0" t="0" r="381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5615940" cy="7937500"/>
                    </a:xfrm>
                    <a:prstGeom prst="rect">
                      <a:avLst/>
                    </a:prstGeom>
                  </pic:spPr>
                </pic:pic>
              </a:graphicData>
            </a:graphic>
          </wp:inline>
        </w:drawing>
      </w:r>
      <w:r>
        <w:rPr>
          <w:rFonts w:hint="eastAsia"/>
        </w:rPr>
        <w:drawing>
          <wp:inline distT="0" distB="0" distL="0" distR="0">
            <wp:extent cx="5615940" cy="7945755"/>
            <wp:effectExtent l="0" t="0" r="381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5615940" cy="7945755"/>
                    </a:xfrm>
                    <a:prstGeom prst="rect">
                      <a:avLst/>
                    </a:prstGeom>
                  </pic:spPr>
                </pic:pic>
              </a:graphicData>
            </a:graphic>
          </wp:inline>
        </w:drawing>
      </w:r>
      <w:r>
        <w:rPr>
          <w:rFonts w:hint="eastAsia"/>
        </w:rPr>
        <w:drawing>
          <wp:inline distT="0" distB="0" distL="0" distR="0">
            <wp:extent cx="5615940" cy="7943850"/>
            <wp:effectExtent l="0" t="0" r="381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615940" cy="7943850"/>
                    </a:xfrm>
                    <a:prstGeom prst="rect">
                      <a:avLst/>
                    </a:prstGeom>
                  </pic:spPr>
                </pic:pic>
              </a:graphicData>
            </a:graphic>
          </wp:inline>
        </w:drawing>
      </w:r>
      <w:r>
        <w:rPr>
          <w:rFonts w:hint="eastAsia"/>
        </w:rPr>
        <w:drawing>
          <wp:inline distT="0" distB="0" distL="0" distR="0">
            <wp:extent cx="5615940" cy="7945755"/>
            <wp:effectExtent l="0" t="0" r="381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615940" cy="7945755"/>
                    </a:xfrm>
                    <a:prstGeom prst="rect">
                      <a:avLst/>
                    </a:prstGeom>
                  </pic:spPr>
                </pic:pic>
              </a:graphicData>
            </a:graphic>
          </wp:inline>
        </w:drawing>
      </w:r>
      <w:r>
        <w:rPr>
          <w:rFonts w:hint="eastAsia"/>
        </w:rPr>
        <w:drawing>
          <wp:inline distT="0" distB="0" distL="0" distR="0">
            <wp:extent cx="5615940" cy="7967980"/>
            <wp:effectExtent l="0" t="0" r="381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615940" cy="7967980"/>
                    </a:xfrm>
                    <a:prstGeom prst="rect">
                      <a:avLst/>
                    </a:prstGeom>
                  </pic:spPr>
                </pic:pic>
              </a:graphicData>
            </a:graphic>
          </wp:inline>
        </w:drawing>
      </w:r>
      <w:r>
        <w:rPr>
          <w:rFonts w:hint="eastAsia"/>
        </w:rPr>
        <w:drawing>
          <wp:inline distT="0" distB="0" distL="0" distR="0">
            <wp:extent cx="5615940" cy="7944485"/>
            <wp:effectExtent l="0" t="0" r="381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615940" cy="7944485"/>
                    </a:xfrm>
                    <a:prstGeom prst="rect">
                      <a:avLst/>
                    </a:prstGeom>
                  </pic:spPr>
                </pic:pic>
              </a:graphicData>
            </a:graphic>
          </wp:inline>
        </w:drawing>
      </w:r>
      <w:r>
        <w:rPr>
          <w:rFonts w:hint="eastAsia"/>
        </w:rPr>
        <w:drawing>
          <wp:inline distT="0" distB="0" distL="0" distR="0">
            <wp:extent cx="5615940" cy="7940040"/>
            <wp:effectExtent l="0" t="0" r="3810" b="381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615940" cy="7940040"/>
                    </a:xfrm>
                    <a:prstGeom prst="rect">
                      <a:avLst/>
                    </a:prstGeom>
                  </pic:spPr>
                </pic:pic>
              </a:graphicData>
            </a:graphic>
          </wp:inline>
        </w:drawing>
      </w:r>
      <w:r>
        <w:rPr>
          <w:rFonts w:hint="eastAsia"/>
        </w:rPr>
        <w:drawing>
          <wp:inline distT="0" distB="0" distL="0" distR="0">
            <wp:extent cx="5615940" cy="7937500"/>
            <wp:effectExtent l="0" t="0" r="3810" b="635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5615940" cy="7937500"/>
                    </a:xfrm>
                    <a:prstGeom prst="rect">
                      <a:avLst/>
                    </a:prstGeom>
                  </pic:spPr>
                </pic:pic>
              </a:graphicData>
            </a:graphic>
          </wp:inline>
        </w:drawing>
      </w:r>
      <w:r>
        <w:rPr>
          <w:rFonts w:hint="eastAsia"/>
        </w:rPr>
        <w:drawing>
          <wp:inline distT="0" distB="0" distL="0" distR="0">
            <wp:extent cx="5615940" cy="7944485"/>
            <wp:effectExtent l="0" t="0" r="381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615940" cy="7944485"/>
                    </a:xfrm>
                    <a:prstGeom prst="rect">
                      <a:avLst/>
                    </a:prstGeom>
                  </pic:spPr>
                </pic:pic>
              </a:graphicData>
            </a:graphic>
          </wp:inline>
        </w:drawing>
      </w:r>
      <w:r>
        <w:rPr>
          <w:rFonts w:hint="eastAsia"/>
        </w:rPr>
        <w:drawing>
          <wp:inline distT="0" distB="0" distL="0" distR="0">
            <wp:extent cx="5615940" cy="7941310"/>
            <wp:effectExtent l="0" t="0" r="3810" b="254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5615940" cy="7941310"/>
                    </a:xfrm>
                    <a:prstGeom prst="rect">
                      <a:avLst/>
                    </a:prstGeom>
                  </pic:spPr>
                </pic:pic>
              </a:graphicData>
            </a:graphic>
          </wp:inline>
        </w:drawing>
      </w:r>
      <w:r>
        <w:rPr>
          <w:rFonts w:hint="eastAsia"/>
        </w:rPr>
        <w:drawing>
          <wp:inline distT="0" distB="0" distL="0" distR="0">
            <wp:extent cx="5615940" cy="7937500"/>
            <wp:effectExtent l="0" t="0" r="3810" b="635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5615940" cy="7937500"/>
                    </a:xfrm>
                    <a:prstGeom prst="rect">
                      <a:avLst/>
                    </a:prstGeom>
                  </pic:spPr>
                </pic:pic>
              </a:graphicData>
            </a:graphic>
          </wp:inline>
        </w:drawing>
      </w:r>
      <w:r>
        <w:rPr>
          <w:rFonts w:hint="eastAsia"/>
        </w:rPr>
        <w:drawing>
          <wp:inline distT="0" distB="0" distL="0" distR="0">
            <wp:extent cx="5615940" cy="7888605"/>
            <wp:effectExtent l="0" t="0" r="3810" b="1714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615940" cy="7888605"/>
                    </a:xfrm>
                    <a:prstGeom prst="rect">
                      <a:avLst/>
                    </a:prstGeom>
                  </pic:spPr>
                </pic:pic>
              </a:graphicData>
            </a:graphic>
          </wp:inline>
        </w:drawing>
      </w:r>
      <w:bookmarkStart w:id="5" w:name="_GoBack"/>
      <w:bookmarkEnd w:id="5"/>
      <w:r>
        <w:rPr>
          <w:rFonts w:hint="eastAsia"/>
        </w:rPr>
        <w:drawing>
          <wp:inline distT="0" distB="0" distL="0" distR="0">
            <wp:extent cx="5615940" cy="7888605"/>
            <wp:effectExtent l="0" t="0" r="381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615940" cy="7888605"/>
                    </a:xfrm>
                    <a:prstGeom prst="rect">
                      <a:avLst/>
                    </a:prstGeom>
                  </pic:spPr>
                </pic:pic>
              </a:graphicData>
            </a:graphic>
          </wp:inline>
        </w:drawing>
      </w:r>
      <w:r>
        <w:rPr>
          <w:rFonts w:hint="eastAsia"/>
        </w:rPr>
        <w:drawing>
          <wp:inline distT="0" distB="0" distL="0" distR="0">
            <wp:extent cx="5615940" cy="7937500"/>
            <wp:effectExtent l="0" t="0" r="3810" b="635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5615940" cy="7937500"/>
                    </a:xfrm>
                    <a:prstGeom prst="rect">
                      <a:avLst/>
                    </a:prstGeom>
                  </pic:spPr>
                </pic:pic>
              </a:graphicData>
            </a:graphic>
          </wp:inline>
        </w:drawing>
      </w:r>
    </w:p>
    <w:sectPr>
      <w:pgSz w:w="11906" w:h="16838"/>
      <w:pgMar w:top="1701" w:right="1531" w:bottom="1701" w:left="1531" w:header="851" w:footer="850"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00"/>
    <w:family w:val="swiss"/>
    <w:pitch w:val="default"/>
    <w:sig w:usb0="E0002AFF" w:usb1="C0007843" w:usb2="00000009" w:usb3="00000000" w:csb0="400001FF" w:csb1="FFFF0000"/>
  </w:font>
  <w:font w:name="Cambria">
    <w:panose1 w:val="02040503050406030204"/>
    <w:charset w:val="00"/>
    <w:family w:val="roman"/>
    <w:pitch w:val="default"/>
    <w:sig w:usb0="E00002FF" w:usb1="400004FF" w:usb2="00000000" w:usb3="00000000" w:csb0="2000019F" w:csb1="00000000"/>
  </w:font>
  <w:font w:name="Courier New">
    <w:panose1 w:val="02070309020205020404"/>
    <w:charset w:val="00"/>
    <w:family w:val="modern"/>
    <w:pitch w:val="default"/>
    <w:sig w:usb0="E0002AFF" w:usb1="C0007843" w:usb2="00000009" w:usb3="00000000" w:csb0="400001FF" w:csb1="FFFF0000"/>
  </w:font>
  <w:font w:name="仿宋">
    <w:panose1 w:val="02010609060101010101"/>
    <w:charset w:val="86"/>
    <w:family w:val="modern"/>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10" w:usb3="00000000" w:csb0="00040000" w:csb1="00000000"/>
  </w:font>
  <w:font w:name="微软雅黑">
    <w:panose1 w:val="020B0503020204020204"/>
    <w:charset w:val="86"/>
    <w:family w:val="swiss"/>
    <w:pitch w:val="default"/>
    <w:sig w:usb0="80000287" w:usb1="280F3C52" w:usb2="00000016" w:usb3="00000000" w:csb0="0004001F" w:csb1="00000000"/>
  </w:font>
  <w:font w:name="Wingdings 2">
    <w:panose1 w:val="05020102010507070707"/>
    <w:charset w:val="02"/>
    <w:family w:val="roman"/>
    <w:pitch w:val="default"/>
    <w:sig w:usb0="00000000" w:usb1="00000000" w:usb2="00000000" w:usb3="00000000" w:csb0="80000000" w:csb1="00000000"/>
  </w:font>
  <w:font w:name="TimesNewRomanPSMT">
    <w:altName w:val="Times New Roman"/>
    <w:panose1 w:val="00000000000000000000"/>
    <w:charset w:val="00"/>
    <w:family w:val="auto"/>
    <w:pitch w:val="default"/>
    <w:sig w:usb0="00000000" w:usb1="00000000" w:usb2="00000000" w:usb3="00000000" w:csb0="00040001" w:csb1="00000000"/>
  </w:font>
  <w:font w:name="Cambria Math">
    <w:panose1 w:val="02040503050406030204"/>
    <w:charset w:val="00"/>
    <w:family w:val="roman"/>
    <w:pitch w:val="default"/>
    <w:sig w:usb0="E00002FF" w:usb1="420024FF"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framePr w:wrap="around" w:vAnchor="text" w:hAnchor="margin" w:xAlign="outside" w:y="1"/>
      <w:rPr>
        <w:rStyle w:val="25"/>
        <w:rFonts w:ascii="宋体" w:hAnsi="宋体"/>
        <w:sz w:val="28"/>
        <w:szCs w:val="28"/>
      </w:rPr>
    </w:pPr>
    <w:r>
      <w:rPr>
        <w:rStyle w:val="25"/>
        <w:rFonts w:hint="eastAsia" w:ascii="宋体" w:hAnsi="宋体"/>
        <w:sz w:val="28"/>
        <w:szCs w:val="28"/>
      </w:rPr>
      <w:t>—</w:t>
    </w:r>
    <w:r>
      <w:rPr>
        <w:rStyle w:val="25"/>
        <w:rFonts w:hint="eastAsia" w:ascii="宋体" w:hAnsi="宋体"/>
        <w:sz w:val="20"/>
      </w:rPr>
      <w:t xml:space="preserve">  </w:t>
    </w:r>
    <w:r>
      <w:rPr>
        <w:rFonts w:ascii="宋体" w:hAnsi="宋体"/>
        <w:sz w:val="26"/>
        <w:szCs w:val="26"/>
      </w:rPr>
      <w:fldChar w:fldCharType="begin"/>
    </w:r>
    <w:r>
      <w:rPr>
        <w:rStyle w:val="25"/>
        <w:rFonts w:ascii="宋体" w:hAnsi="宋体"/>
        <w:sz w:val="26"/>
        <w:szCs w:val="26"/>
      </w:rPr>
      <w:instrText xml:space="preserve">PAGE  </w:instrText>
    </w:r>
    <w:r>
      <w:rPr>
        <w:rFonts w:ascii="宋体" w:hAnsi="宋体"/>
        <w:sz w:val="26"/>
        <w:szCs w:val="26"/>
      </w:rPr>
      <w:fldChar w:fldCharType="separate"/>
    </w:r>
    <w:r>
      <w:rPr>
        <w:rStyle w:val="25"/>
        <w:rFonts w:ascii="宋体" w:hAnsi="宋体"/>
        <w:sz w:val="26"/>
        <w:szCs w:val="26"/>
      </w:rPr>
      <w:t>41</w:t>
    </w:r>
    <w:r>
      <w:rPr>
        <w:rFonts w:ascii="宋体" w:hAnsi="宋体"/>
        <w:sz w:val="26"/>
        <w:szCs w:val="26"/>
      </w:rPr>
      <w:fldChar w:fldCharType="end"/>
    </w:r>
    <w:r>
      <w:rPr>
        <w:rStyle w:val="25"/>
        <w:rFonts w:hint="eastAsia" w:ascii="宋体" w:hAnsi="宋体"/>
        <w:sz w:val="20"/>
      </w:rPr>
      <w:t xml:space="preserve">  </w:t>
    </w:r>
    <w:r>
      <w:rPr>
        <w:rStyle w:val="25"/>
        <w:rFonts w:hint="eastAsia" w:ascii="宋体" w:hAnsi="宋体"/>
        <w:sz w:val="28"/>
        <w:szCs w:val="28"/>
      </w:rPr>
      <w:t>—</w:t>
    </w:r>
  </w:p>
  <w:p>
    <w:pPr>
      <w:pStyle w:val="16"/>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framePr w:wrap="around" w:vAnchor="text" w:hAnchor="margin" w:xAlign="outside" w:y="1"/>
      <w:rPr>
        <w:rStyle w:val="25"/>
        <w:rFonts w:ascii="宋体" w:hAnsi="宋体"/>
        <w:sz w:val="28"/>
        <w:szCs w:val="28"/>
      </w:rPr>
    </w:pPr>
    <w:r>
      <w:rPr>
        <w:rStyle w:val="25"/>
        <w:rFonts w:hint="eastAsia" w:ascii="宋体" w:hAnsi="宋体"/>
        <w:sz w:val="28"/>
        <w:szCs w:val="28"/>
      </w:rPr>
      <w:t>—</w:t>
    </w:r>
    <w:r>
      <w:rPr>
        <w:rStyle w:val="25"/>
        <w:rFonts w:hint="eastAsia" w:ascii="宋体" w:hAnsi="宋体"/>
        <w:sz w:val="20"/>
      </w:rPr>
      <w:t xml:space="preserve">  </w:t>
    </w:r>
    <w:r>
      <w:rPr>
        <w:rFonts w:ascii="宋体" w:hAnsi="宋体"/>
        <w:sz w:val="26"/>
        <w:szCs w:val="26"/>
      </w:rPr>
      <w:fldChar w:fldCharType="begin"/>
    </w:r>
    <w:r>
      <w:rPr>
        <w:rStyle w:val="25"/>
        <w:rFonts w:ascii="宋体" w:hAnsi="宋体"/>
        <w:sz w:val="26"/>
        <w:szCs w:val="26"/>
      </w:rPr>
      <w:instrText xml:space="preserve">PAGE  </w:instrText>
    </w:r>
    <w:r>
      <w:rPr>
        <w:rFonts w:ascii="宋体" w:hAnsi="宋体"/>
        <w:sz w:val="26"/>
        <w:szCs w:val="26"/>
      </w:rPr>
      <w:fldChar w:fldCharType="separate"/>
    </w:r>
    <w:r>
      <w:rPr>
        <w:rStyle w:val="25"/>
        <w:rFonts w:ascii="宋体" w:hAnsi="宋体"/>
        <w:sz w:val="26"/>
        <w:szCs w:val="26"/>
      </w:rPr>
      <w:t>61</w:t>
    </w:r>
    <w:r>
      <w:rPr>
        <w:rFonts w:ascii="宋体" w:hAnsi="宋体"/>
        <w:sz w:val="26"/>
        <w:szCs w:val="26"/>
      </w:rPr>
      <w:fldChar w:fldCharType="end"/>
    </w:r>
    <w:r>
      <w:rPr>
        <w:rStyle w:val="25"/>
        <w:rFonts w:hint="eastAsia" w:ascii="宋体" w:hAnsi="宋体"/>
        <w:sz w:val="20"/>
      </w:rPr>
      <w:t xml:space="preserve">  </w:t>
    </w:r>
    <w:r>
      <w:rPr>
        <w:rStyle w:val="25"/>
        <w:rFonts w:hint="eastAsia" w:ascii="宋体" w:hAnsi="宋体"/>
        <w:sz w:val="28"/>
        <w:szCs w:val="28"/>
      </w:rPr>
      <w:t>—</w:t>
    </w:r>
  </w:p>
  <w:p>
    <w:pPr>
      <w:pStyle w:val="16"/>
      <w:ind w:right="360" w:firstLine="360"/>
      <w:jc w:val="cente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5AD6BDB"/>
    <w:multiLevelType w:val="multilevel"/>
    <w:tmpl w:val="35AD6BDB"/>
    <w:lvl w:ilvl="0" w:tentative="0">
      <w:start w:val="1"/>
      <w:numFmt w:val="decimalEnclosedCircle"/>
      <w:lvlText w:val="%1"/>
      <w:lvlJc w:val="left"/>
      <w:pPr>
        <w:ind w:left="840" w:hanging="360"/>
      </w:pPr>
      <w:rPr>
        <w:rFonts w:hint="default" w:cs="Times New Roman"/>
      </w:rPr>
    </w:lvl>
    <w:lvl w:ilvl="1" w:tentative="0">
      <w:start w:val="1"/>
      <w:numFmt w:val="lowerLetter"/>
      <w:lvlText w:val="%2)"/>
      <w:lvlJc w:val="left"/>
      <w:pPr>
        <w:ind w:left="1320" w:hanging="420"/>
      </w:pPr>
      <w:rPr>
        <w:rFonts w:cs="Times New Roman"/>
      </w:rPr>
    </w:lvl>
    <w:lvl w:ilvl="2" w:tentative="0">
      <w:start w:val="1"/>
      <w:numFmt w:val="lowerRoman"/>
      <w:lvlText w:val="%3."/>
      <w:lvlJc w:val="right"/>
      <w:pPr>
        <w:ind w:left="1740" w:hanging="420"/>
      </w:pPr>
      <w:rPr>
        <w:rFonts w:cs="Times New Roman"/>
      </w:rPr>
    </w:lvl>
    <w:lvl w:ilvl="3" w:tentative="0">
      <w:start w:val="1"/>
      <w:numFmt w:val="decimal"/>
      <w:lvlText w:val="%4."/>
      <w:lvlJc w:val="left"/>
      <w:pPr>
        <w:ind w:left="2160" w:hanging="420"/>
      </w:pPr>
      <w:rPr>
        <w:rFonts w:cs="Times New Roman"/>
      </w:rPr>
    </w:lvl>
    <w:lvl w:ilvl="4" w:tentative="0">
      <w:start w:val="1"/>
      <w:numFmt w:val="lowerLetter"/>
      <w:lvlText w:val="%5)"/>
      <w:lvlJc w:val="left"/>
      <w:pPr>
        <w:ind w:left="2580" w:hanging="420"/>
      </w:pPr>
      <w:rPr>
        <w:rFonts w:cs="Times New Roman"/>
      </w:rPr>
    </w:lvl>
    <w:lvl w:ilvl="5" w:tentative="0">
      <w:start w:val="1"/>
      <w:numFmt w:val="lowerRoman"/>
      <w:lvlText w:val="%6."/>
      <w:lvlJc w:val="right"/>
      <w:pPr>
        <w:ind w:left="3000" w:hanging="420"/>
      </w:pPr>
      <w:rPr>
        <w:rFonts w:cs="Times New Roman"/>
      </w:rPr>
    </w:lvl>
    <w:lvl w:ilvl="6" w:tentative="0">
      <w:start w:val="1"/>
      <w:numFmt w:val="decimal"/>
      <w:lvlText w:val="%7."/>
      <w:lvlJc w:val="left"/>
      <w:pPr>
        <w:ind w:left="3420" w:hanging="420"/>
      </w:pPr>
      <w:rPr>
        <w:rFonts w:cs="Times New Roman"/>
      </w:rPr>
    </w:lvl>
    <w:lvl w:ilvl="7" w:tentative="0">
      <w:start w:val="1"/>
      <w:numFmt w:val="lowerLetter"/>
      <w:lvlText w:val="%8)"/>
      <w:lvlJc w:val="left"/>
      <w:pPr>
        <w:ind w:left="3840" w:hanging="420"/>
      </w:pPr>
      <w:rPr>
        <w:rFonts w:cs="Times New Roman"/>
      </w:rPr>
    </w:lvl>
    <w:lvl w:ilvl="8" w:tentative="0">
      <w:start w:val="1"/>
      <w:numFmt w:val="lowerRoman"/>
      <w:lvlText w:val="%9."/>
      <w:lvlJc w:val="right"/>
      <w:pPr>
        <w:ind w:left="4260" w:hanging="420"/>
      </w:pPr>
      <w:rPr>
        <w:rFonts w:cs="Times New Roman"/>
      </w:rPr>
    </w:lvl>
  </w:abstractNum>
  <w:abstractNum w:abstractNumId="1">
    <w:nsid w:val="6115E9B1"/>
    <w:multiLevelType w:val="singleLevel"/>
    <w:tmpl w:val="6115E9B1"/>
    <w:lvl w:ilvl="0" w:tentative="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2"/>
  <w:bordersDoNotSurroundHeader w:val="1"/>
  <w:bordersDoNotSurroundFooter w:val="1"/>
  <w:hideSpellingErrors/>
  <w:documentProtection w:edit="trackedChanges" w:enforcement="0"/>
  <w:defaultTabStop w:val="420"/>
  <w:doNotHyphenateCaps/>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1846"/>
    <w:rsid w:val="00002067"/>
    <w:rsid w:val="00003F0C"/>
    <w:rsid w:val="000060B3"/>
    <w:rsid w:val="00006365"/>
    <w:rsid w:val="00007BC6"/>
    <w:rsid w:val="00012718"/>
    <w:rsid w:val="00012787"/>
    <w:rsid w:val="0001489B"/>
    <w:rsid w:val="0001565B"/>
    <w:rsid w:val="00016B37"/>
    <w:rsid w:val="00017B00"/>
    <w:rsid w:val="00020AD4"/>
    <w:rsid w:val="00022F73"/>
    <w:rsid w:val="00024014"/>
    <w:rsid w:val="000255E7"/>
    <w:rsid w:val="0002599A"/>
    <w:rsid w:val="000313CB"/>
    <w:rsid w:val="0003203A"/>
    <w:rsid w:val="00032C77"/>
    <w:rsid w:val="00033EE5"/>
    <w:rsid w:val="00034A43"/>
    <w:rsid w:val="0003548E"/>
    <w:rsid w:val="00037EC9"/>
    <w:rsid w:val="0004364B"/>
    <w:rsid w:val="00043EED"/>
    <w:rsid w:val="00045304"/>
    <w:rsid w:val="00046A04"/>
    <w:rsid w:val="00061B1F"/>
    <w:rsid w:val="00062617"/>
    <w:rsid w:val="000733C4"/>
    <w:rsid w:val="00074783"/>
    <w:rsid w:val="0008070B"/>
    <w:rsid w:val="000810AC"/>
    <w:rsid w:val="00081A02"/>
    <w:rsid w:val="00082231"/>
    <w:rsid w:val="00082E13"/>
    <w:rsid w:val="0008735D"/>
    <w:rsid w:val="00092112"/>
    <w:rsid w:val="00092D38"/>
    <w:rsid w:val="0009377B"/>
    <w:rsid w:val="00096533"/>
    <w:rsid w:val="000A03BE"/>
    <w:rsid w:val="000A20C9"/>
    <w:rsid w:val="000A23F6"/>
    <w:rsid w:val="000A4A72"/>
    <w:rsid w:val="000A6638"/>
    <w:rsid w:val="000B0269"/>
    <w:rsid w:val="000B058F"/>
    <w:rsid w:val="000B4467"/>
    <w:rsid w:val="000B4DB9"/>
    <w:rsid w:val="000B7EE3"/>
    <w:rsid w:val="000C07F3"/>
    <w:rsid w:val="000C09AC"/>
    <w:rsid w:val="000C0D9B"/>
    <w:rsid w:val="000C30C1"/>
    <w:rsid w:val="000C3119"/>
    <w:rsid w:val="000C767F"/>
    <w:rsid w:val="000D23E4"/>
    <w:rsid w:val="000D3550"/>
    <w:rsid w:val="000D3734"/>
    <w:rsid w:val="000D52E7"/>
    <w:rsid w:val="000D5A44"/>
    <w:rsid w:val="000D6C32"/>
    <w:rsid w:val="000E020A"/>
    <w:rsid w:val="000E34BF"/>
    <w:rsid w:val="000E3ED2"/>
    <w:rsid w:val="000F4206"/>
    <w:rsid w:val="000F4689"/>
    <w:rsid w:val="00100FB6"/>
    <w:rsid w:val="001013C1"/>
    <w:rsid w:val="00101A7F"/>
    <w:rsid w:val="001031C2"/>
    <w:rsid w:val="00104F93"/>
    <w:rsid w:val="00107B9E"/>
    <w:rsid w:val="00114278"/>
    <w:rsid w:val="00115746"/>
    <w:rsid w:val="0011760F"/>
    <w:rsid w:val="0012116D"/>
    <w:rsid w:val="0012145A"/>
    <w:rsid w:val="0012487B"/>
    <w:rsid w:val="00127DD0"/>
    <w:rsid w:val="001313FD"/>
    <w:rsid w:val="00131884"/>
    <w:rsid w:val="00131DE7"/>
    <w:rsid w:val="00131F42"/>
    <w:rsid w:val="00131F56"/>
    <w:rsid w:val="001327CC"/>
    <w:rsid w:val="001329F6"/>
    <w:rsid w:val="00132A2B"/>
    <w:rsid w:val="00132F0B"/>
    <w:rsid w:val="001357F1"/>
    <w:rsid w:val="001364E7"/>
    <w:rsid w:val="00136C24"/>
    <w:rsid w:val="00140FA8"/>
    <w:rsid w:val="00142FEB"/>
    <w:rsid w:val="00143781"/>
    <w:rsid w:val="00143A2D"/>
    <w:rsid w:val="00143E00"/>
    <w:rsid w:val="00145A41"/>
    <w:rsid w:val="00151675"/>
    <w:rsid w:val="00157435"/>
    <w:rsid w:val="00160C29"/>
    <w:rsid w:val="00163687"/>
    <w:rsid w:val="00172A27"/>
    <w:rsid w:val="00172C03"/>
    <w:rsid w:val="0017504D"/>
    <w:rsid w:val="0017671A"/>
    <w:rsid w:val="00177422"/>
    <w:rsid w:val="001833DC"/>
    <w:rsid w:val="00184590"/>
    <w:rsid w:val="00185E13"/>
    <w:rsid w:val="001870D1"/>
    <w:rsid w:val="0018781E"/>
    <w:rsid w:val="00191378"/>
    <w:rsid w:val="0019262D"/>
    <w:rsid w:val="0019311A"/>
    <w:rsid w:val="00194ECF"/>
    <w:rsid w:val="00195CAF"/>
    <w:rsid w:val="001A1B35"/>
    <w:rsid w:val="001A3675"/>
    <w:rsid w:val="001A391A"/>
    <w:rsid w:val="001A3C14"/>
    <w:rsid w:val="001A48A2"/>
    <w:rsid w:val="001A6F61"/>
    <w:rsid w:val="001B0495"/>
    <w:rsid w:val="001B3091"/>
    <w:rsid w:val="001B4865"/>
    <w:rsid w:val="001B493E"/>
    <w:rsid w:val="001B72B8"/>
    <w:rsid w:val="001B7DEE"/>
    <w:rsid w:val="001C2097"/>
    <w:rsid w:val="001C675D"/>
    <w:rsid w:val="001C69B3"/>
    <w:rsid w:val="001D0BBA"/>
    <w:rsid w:val="001D213D"/>
    <w:rsid w:val="001D5595"/>
    <w:rsid w:val="001D7874"/>
    <w:rsid w:val="001D7F22"/>
    <w:rsid w:val="001E13E5"/>
    <w:rsid w:val="001E3B4B"/>
    <w:rsid w:val="001F0F17"/>
    <w:rsid w:val="001F1A36"/>
    <w:rsid w:val="001F285D"/>
    <w:rsid w:val="001F3347"/>
    <w:rsid w:val="001F3D21"/>
    <w:rsid w:val="001F42BF"/>
    <w:rsid w:val="001F69E4"/>
    <w:rsid w:val="00202EA5"/>
    <w:rsid w:val="002125B4"/>
    <w:rsid w:val="002136D5"/>
    <w:rsid w:val="002155B8"/>
    <w:rsid w:val="0021733A"/>
    <w:rsid w:val="002234A3"/>
    <w:rsid w:val="00224839"/>
    <w:rsid w:val="002249B2"/>
    <w:rsid w:val="002251BF"/>
    <w:rsid w:val="00226574"/>
    <w:rsid w:val="002278EC"/>
    <w:rsid w:val="0023280E"/>
    <w:rsid w:val="002364B0"/>
    <w:rsid w:val="002367A4"/>
    <w:rsid w:val="0023714C"/>
    <w:rsid w:val="002377D1"/>
    <w:rsid w:val="00244B2C"/>
    <w:rsid w:val="002506BC"/>
    <w:rsid w:val="00251B2F"/>
    <w:rsid w:val="00253908"/>
    <w:rsid w:val="00254345"/>
    <w:rsid w:val="00254B02"/>
    <w:rsid w:val="00257145"/>
    <w:rsid w:val="0026420B"/>
    <w:rsid w:val="00264557"/>
    <w:rsid w:val="00264FA3"/>
    <w:rsid w:val="0026636E"/>
    <w:rsid w:val="00267A5E"/>
    <w:rsid w:val="00270179"/>
    <w:rsid w:val="002753AE"/>
    <w:rsid w:val="002805AB"/>
    <w:rsid w:val="00281824"/>
    <w:rsid w:val="00283CA8"/>
    <w:rsid w:val="00284204"/>
    <w:rsid w:val="002844DD"/>
    <w:rsid w:val="00291773"/>
    <w:rsid w:val="002A168C"/>
    <w:rsid w:val="002A3DC7"/>
    <w:rsid w:val="002A3E18"/>
    <w:rsid w:val="002A431A"/>
    <w:rsid w:val="002A5B4A"/>
    <w:rsid w:val="002A76D9"/>
    <w:rsid w:val="002B1DB5"/>
    <w:rsid w:val="002B49E2"/>
    <w:rsid w:val="002B4BD0"/>
    <w:rsid w:val="002B7B00"/>
    <w:rsid w:val="002B7C44"/>
    <w:rsid w:val="002C0987"/>
    <w:rsid w:val="002C0DE5"/>
    <w:rsid w:val="002C2B17"/>
    <w:rsid w:val="002C35D9"/>
    <w:rsid w:val="002D384B"/>
    <w:rsid w:val="002D3DD0"/>
    <w:rsid w:val="002D4093"/>
    <w:rsid w:val="002D7DFA"/>
    <w:rsid w:val="002E1F3A"/>
    <w:rsid w:val="002E298A"/>
    <w:rsid w:val="002E4F16"/>
    <w:rsid w:val="002E4F38"/>
    <w:rsid w:val="002F14D0"/>
    <w:rsid w:val="002F2C1D"/>
    <w:rsid w:val="002F5628"/>
    <w:rsid w:val="00301978"/>
    <w:rsid w:val="0030332C"/>
    <w:rsid w:val="0030430C"/>
    <w:rsid w:val="003051C2"/>
    <w:rsid w:val="0030631C"/>
    <w:rsid w:val="00312296"/>
    <w:rsid w:val="00312FED"/>
    <w:rsid w:val="00314F0E"/>
    <w:rsid w:val="0032064E"/>
    <w:rsid w:val="00321ABA"/>
    <w:rsid w:val="00321B82"/>
    <w:rsid w:val="00321D8E"/>
    <w:rsid w:val="00322078"/>
    <w:rsid w:val="00324108"/>
    <w:rsid w:val="00325928"/>
    <w:rsid w:val="00327F43"/>
    <w:rsid w:val="00330276"/>
    <w:rsid w:val="00330320"/>
    <w:rsid w:val="00331025"/>
    <w:rsid w:val="00332127"/>
    <w:rsid w:val="00332863"/>
    <w:rsid w:val="00333E2D"/>
    <w:rsid w:val="00335B6A"/>
    <w:rsid w:val="00336450"/>
    <w:rsid w:val="0033684D"/>
    <w:rsid w:val="00337B42"/>
    <w:rsid w:val="00340A99"/>
    <w:rsid w:val="00341B42"/>
    <w:rsid w:val="0034348F"/>
    <w:rsid w:val="0034362F"/>
    <w:rsid w:val="00345C64"/>
    <w:rsid w:val="0035084F"/>
    <w:rsid w:val="003510DB"/>
    <w:rsid w:val="00354484"/>
    <w:rsid w:val="003545C3"/>
    <w:rsid w:val="00356653"/>
    <w:rsid w:val="0035743F"/>
    <w:rsid w:val="00357BE2"/>
    <w:rsid w:val="00357C2D"/>
    <w:rsid w:val="0036170C"/>
    <w:rsid w:val="00366299"/>
    <w:rsid w:val="00366E0F"/>
    <w:rsid w:val="003677F3"/>
    <w:rsid w:val="00373C44"/>
    <w:rsid w:val="00381A72"/>
    <w:rsid w:val="0038359E"/>
    <w:rsid w:val="00384130"/>
    <w:rsid w:val="003844EC"/>
    <w:rsid w:val="00384676"/>
    <w:rsid w:val="00384E85"/>
    <w:rsid w:val="003867CA"/>
    <w:rsid w:val="00390857"/>
    <w:rsid w:val="00391375"/>
    <w:rsid w:val="00396B9C"/>
    <w:rsid w:val="003A2CE0"/>
    <w:rsid w:val="003A4BF3"/>
    <w:rsid w:val="003A69EA"/>
    <w:rsid w:val="003A7155"/>
    <w:rsid w:val="003B09FC"/>
    <w:rsid w:val="003B420D"/>
    <w:rsid w:val="003B5C61"/>
    <w:rsid w:val="003B6863"/>
    <w:rsid w:val="003B6B13"/>
    <w:rsid w:val="003C6C16"/>
    <w:rsid w:val="003C6F40"/>
    <w:rsid w:val="003C7D50"/>
    <w:rsid w:val="003D0967"/>
    <w:rsid w:val="003D1115"/>
    <w:rsid w:val="003D794D"/>
    <w:rsid w:val="003E0738"/>
    <w:rsid w:val="003E0C76"/>
    <w:rsid w:val="003E3058"/>
    <w:rsid w:val="003E40BF"/>
    <w:rsid w:val="003E606F"/>
    <w:rsid w:val="003E6D6B"/>
    <w:rsid w:val="003E76A9"/>
    <w:rsid w:val="003F0809"/>
    <w:rsid w:val="003F2DA3"/>
    <w:rsid w:val="003F5EC2"/>
    <w:rsid w:val="003F5FC2"/>
    <w:rsid w:val="003F6A8C"/>
    <w:rsid w:val="003F6A9C"/>
    <w:rsid w:val="003F6EE1"/>
    <w:rsid w:val="003F755C"/>
    <w:rsid w:val="00400518"/>
    <w:rsid w:val="00400CCF"/>
    <w:rsid w:val="004036BF"/>
    <w:rsid w:val="004048BE"/>
    <w:rsid w:val="00406F01"/>
    <w:rsid w:val="00410A43"/>
    <w:rsid w:val="00412E9B"/>
    <w:rsid w:val="0041364D"/>
    <w:rsid w:val="00413713"/>
    <w:rsid w:val="00413CF5"/>
    <w:rsid w:val="0041403A"/>
    <w:rsid w:val="004161AC"/>
    <w:rsid w:val="00416D50"/>
    <w:rsid w:val="00416FD5"/>
    <w:rsid w:val="004174ED"/>
    <w:rsid w:val="00417772"/>
    <w:rsid w:val="00420E6A"/>
    <w:rsid w:val="004239E1"/>
    <w:rsid w:val="004246C2"/>
    <w:rsid w:val="00425A9E"/>
    <w:rsid w:val="00426561"/>
    <w:rsid w:val="00426D6B"/>
    <w:rsid w:val="00430669"/>
    <w:rsid w:val="00431D8A"/>
    <w:rsid w:val="00431E6C"/>
    <w:rsid w:val="00433CE7"/>
    <w:rsid w:val="00436D87"/>
    <w:rsid w:val="00440BC2"/>
    <w:rsid w:val="00442198"/>
    <w:rsid w:val="00443E24"/>
    <w:rsid w:val="0044621E"/>
    <w:rsid w:val="00447AE4"/>
    <w:rsid w:val="00452738"/>
    <w:rsid w:val="00456091"/>
    <w:rsid w:val="00457E25"/>
    <w:rsid w:val="00461A26"/>
    <w:rsid w:val="004627EB"/>
    <w:rsid w:val="00466321"/>
    <w:rsid w:val="00470C2C"/>
    <w:rsid w:val="0047296F"/>
    <w:rsid w:val="00472A52"/>
    <w:rsid w:val="00484B9B"/>
    <w:rsid w:val="004855F6"/>
    <w:rsid w:val="00486499"/>
    <w:rsid w:val="0048661E"/>
    <w:rsid w:val="00486959"/>
    <w:rsid w:val="00493154"/>
    <w:rsid w:val="00494670"/>
    <w:rsid w:val="00494AB6"/>
    <w:rsid w:val="004A3823"/>
    <w:rsid w:val="004B0BE4"/>
    <w:rsid w:val="004B16FD"/>
    <w:rsid w:val="004B5A01"/>
    <w:rsid w:val="004B696E"/>
    <w:rsid w:val="004C22B9"/>
    <w:rsid w:val="004C4939"/>
    <w:rsid w:val="004C7FC3"/>
    <w:rsid w:val="004D0B6B"/>
    <w:rsid w:val="004D27A4"/>
    <w:rsid w:val="004D3131"/>
    <w:rsid w:val="004D323C"/>
    <w:rsid w:val="004D376C"/>
    <w:rsid w:val="004D4225"/>
    <w:rsid w:val="004D4450"/>
    <w:rsid w:val="004D6F27"/>
    <w:rsid w:val="004E379B"/>
    <w:rsid w:val="004E6946"/>
    <w:rsid w:val="004F0116"/>
    <w:rsid w:val="004F1180"/>
    <w:rsid w:val="004F1AD8"/>
    <w:rsid w:val="004F7BDD"/>
    <w:rsid w:val="0050120A"/>
    <w:rsid w:val="005039CB"/>
    <w:rsid w:val="0050444F"/>
    <w:rsid w:val="00504541"/>
    <w:rsid w:val="0050558F"/>
    <w:rsid w:val="005061BD"/>
    <w:rsid w:val="00506286"/>
    <w:rsid w:val="00510813"/>
    <w:rsid w:val="00511990"/>
    <w:rsid w:val="00511C81"/>
    <w:rsid w:val="00511DE0"/>
    <w:rsid w:val="00514870"/>
    <w:rsid w:val="00514B9B"/>
    <w:rsid w:val="00514CBA"/>
    <w:rsid w:val="00516FC2"/>
    <w:rsid w:val="00517F02"/>
    <w:rsid w:val="00517FB5"/>
    <w:rsid w:val="00524303"/>
    <w:rsid w:val="00525765"/>
    <w:rsid w:val="005258A2"/>
    <w:rsid w:val="00532A9D"/>
    <w:rsid w:val="00534A5E"/>
    <w:rsid w:val="00536285"/>
    <w:rsid w:val="005401AE"/>
    <w:rsid w:val="005409D5"/>
    <w:rsid w:val="00542E07"/>
    <w:rsid w:val="00545424"/>
    <w:rsid w:val="00550F9E"/>
    <w:rsid w:val="00551C01"/>
    <w:rsid w:val="00554A7B"/>
    <w:rsid w:val="00554B1C"/>
    <w:rsid w:val="0055572C"/>
    <w:rsid w:val="0055606E"/>
    <w:rsid w:val="0056106A"/>
    <w:rsid w:val="0056131C"/>
    <w:rsid w:val="00561BF9"/>
    <w:rsid w:val="00562E8D"/>
    <w:rsid w:val="005720AE"/>
    <w:rsid w:val="0057338B"/>
    <w:rsid w:val="00574C65"/>
    <w:rsid w:val="00580F36"/>
    <w:rsid w:val="00590BBF"/>
    <w:rsid w:val="00590C4C"/>
    <w:rsid w:val="0059109C"/>
    <w:rsid w:val="00591CD6"/>
    <w:rsid w:val="00594D77"/>
    <w:rsid w:val="005969E4"/>
    <w:rsid w:val="005A06B7"/>
    <w:rsid w:val="005A1759"/>
    <w:rsid w:val="005A68A7"/>
    <w:rsid w:val="005A6F76"/>
    <w:rsid w:val="005A7440"/>
    <w:rsid w:val="005B2DF4"/>
    <w:rsid w:val="005B6727"/>
    <w:rsid w:val="005C2094"/>
    <w:rsid w:val="005C2C49"/>
    <w:rsid w:val="005C3A44"/>
    <w:rsid w:val="005C66EA"/>
    <w:rsid w:val="005C6C34"/>
    <w:rsid w:val="005C6F54"/>
    <w:rsid w:val="005D2520"/>
    <w:rsid w:val="005D36AB"/>
    <w:rsid w:val="005D36E1"/>
    <w:rsid w:val="005D376F"/>
    <w:rsid w:val="005E05F1"/>
    <w:rsid w:val="005E073A"/>
    <w:rsid w:val="005E07A4"/>
    <w:rsid w:val="005E5201"/>
    <w:rsid w:val="005E5901"/>
    <w:rsid w:val="005E6C87"/>
    <w:rsid w:val="005F0AB3"/>
    <w:rsid w:val="005F1CC9"/>
    <w:rsid w:val="005F26EC"/>
    <w:rsid w:val="005F629C"/>
    <w:rsid w:val="005F69FE"/>
    <w:rsid w:val="005F73C3"/>
    <w:rsid w:val="00601974"/>
    <w:rsid w:val="00602979"/>
    <w:rsid w:val="00605FEE"/>
    <w:rsid w:val="0061083B"/>
    <w:rsid w:val="00610DBB"/>
    <w:rsid w:val="00612641"/>
    <w:rsid w:val="00612E68"/>
    <w:rsid w:val="00616CCA"/>
    <w:rsid w:val="00617CC3"/>
    <w:rsid w:val="00633229"/>
    <w:rsid w:val="00636C52"/>
    <w:rsid w:val="006377A6"/>
    <w:rsid w:val="00637A3D"/>
    <w:rsid w:val="006411EF"/>
    <w:rsid w:val="00641BF4"/>
    <w:rsid w:val="006444DA"/>
    <w:rsid w:val="00645ACA"/>
    <w:rsid w:val="00645D9F"/>
    <w:rsid w:val="00647A2F"/>
    <w:rsid w:val="006558F6"/>
    <w:rsid w:val="0067038B"/>
    <w:rsid w:val="006709CD"/>
    <w:rsid w:val="006717A9"/>
    <w:rsid w:val="006727FB"/>
    <w:rsid w:val="00674087"/>
    <w:rsid w:val="006748B8"/>
    <w:rsid w:val="006753DA"/>
    <w:rsid w:val="006775C3"/>
    <w:rsid w:val="00677BA3"/>
    <w:rsid w:val="00677C3E"/>
    <w:rsid w:val="0068031B"/>
    <w:rsid w:val="006819FE"/>
    <w:rsid w:val="00682D29"/>
    <w:rsid w:val="00691582"/>
    <w:rsid w:val="0069290A"/>
    <w:rsid w:val="00694236"/>
    <w:rsid w:val="0069775A"/>
    <w:rsid w:val="00697813"/>
    <w:rsid w:val="00697CB1"/>
    <w:rsid w:val="006A3EE8"/>
    <w:rsid w:val="006A45FC"/>
    <w:rsid w:val="006A6598"/>
    <w:rsid w:val="006A72BF"/>
    <w:rsid w:val="006B03F2"/>
    <w:rsid w:val="006B043E"/>
    <w:rsid w:val="006B37DC"/>
    <w:rsid w:val="006B457D"/>
    <w:rsid w:val="006B4C2F"/>
    <w:rsid w:val="006B4F68"/>
    <w:rsid w:val="006C0592"/>
    <w:rsid w:val="006C14E6"/>
    <w:rsid w:val="006C1EA2"/>
    <w:rsid w:val="006C272E"/>
    <w:rsid w:val="006C5479"/>
    <w:rsid w:val="006D0457"/>
    <w:rsid w:val="006D13B5"/>
    <w:rsid w:val="006D4ACD"/>
    <w:rsid w:val="006D7F3E"/>
    <w:rsid w:val="006E12FF"/>
    <w:rsid w:val="006E5836"/>
    <w:rsid w:val="006E607E"/>
    <w:rsid w:val="006F045E"/>
    <w:rsid w:val="006F5191"/>
    <w:rsid w:val="006F5AE0"/>
    <w:rsid w:val="006F5F31"/>
    <w:rsid w:val="006F67F7"/>
    <w:rsid w:val="006F7604"/>
    <w:rsid w:val="006F79AB"/>
    <w:rsid w:val="00700696"/>
    <w:rsid w:val="00701EC5"/>
    <w:rsid w:val="00703A03"/>
    <w:rsid w:val="00706C5D"/>
    <w:rsid w:val="0071043E"/>
    <w:rsid w:val="00710A43"/>
    <w:rsid w:val="007125E8"/>
    <w:rsid w:val="007160B5"/>
    <w:rsid w:val="00717520"/>
    <w:rsid w:val="00720033"/>
    <w:rsid w:val="00721F32"/>
    <w:rsid w:val="007240EA"/>
    <w:rsid w:val="007240EF"/>
    <w:rsid w:val="00724541"/>
    <w:rsid w:val="00725A53"/>
    <w:rsid w:val="00726B40"/>
    <w:rsid w:val="007321A1"/>
    <w:rsid w:val="00732922"/>
    <w:rsid w:val="00733BFA"/>
    <w:rsid w:val="007351E5"/>
    <w:rsid w:val="00737EAC"/>
    <w:rsid w:val="0075162E"/>
    <w:rsid w:val="00754034"/>
    <w:rsid w:val="00756556"/>
    <w:rsid w:val="007570B9"/>
    <w:rsid w:val="00760081"/>
    <w:rsid w:val="00760F5A"/>
    <w:rsid w:val="007618C4"/>
    <w:rsid w:val="0076354C"/>
    <w:rsid w:val="00767980"/>
    <w:rsid w:val="00767F88"/>
    <w:rsid w:val="00770B19"/>
    <w:rsid w:val="0077463F"/>
    <w:rsid w:val="007765DE"/>
    <w:rsid w:val="0078103F"/>
    <w:rsid w:val="007836EA"/>
    <w:rsid w:val="00783FA2"/>
    <w:rsid w:val="00784CDA"/>
    <w:rsid w:val="007906C4"/>
    <w:rsid w:val="007906EC"/>
    <w:rsid w:val="007906F7"/>
    <w:rsid w:val="007922A0"/>
    <w:rsid w:val="007940EA"/>
    <w:rsid w:val="007950A1"/>
    <w:rsid w:val="00795997"/>
    <w:rsid w:val="00796548"/>
    <w:rsid w:val="007967E8"/>
    <w:rsid w:val="007A2170"/>
    <w:rsid w:val="007A22BF"/>
    <w:rsid w:val="007A2C79"/>
    <w:rsid w:val="007A2E52"/>
    <w:rsid w:val="007A3323"/>
    <w:rsid w:val="007A3AA5"/>
    <w:rsid w:val="007B1118"/>
    <w:rsid w:val="007B45B3"/>
    <w:rsid w:val="007B72B8"/>
    <w:rsid w:val="007B7A58"/>
    <w:rsid w:val="007C21B5"/>
    <w:rsid w:val="007C3FB5"/>
    <w:rsid w:val="007C67D3"/>
    <w:rsid w:val="007D0F24"/>
    <w:rsid w:val="007D15B9"/>
    <w:rsid w:val="007D1BF0"/>
    <w:rsid w:val="007D34D2"/>
    <w:rsid w:val="007D40A7"/>
    <w:rsid w:val="007D4763"/>
    <w:rsid w:val="007D54AC"/>
    <w:rsid w:val="007E0913"/>
    <w:rsid w:val="007E2B1F"/>
    <w:rsid w:val="007E3B04"/>
    <w:rsid w:val="007E4BD2"/>
    <w:rsid w:val="007F1D22"/>
    <w:rsid w:val="007F2836"/>
    <w:rsid w:val="007F44BE"/>
    <w:rsid w:val="00801393"/>
    <w:rsid w:val="0080185B"/>
    <w:rsid w:val="008020ED"/>
    <w:rsid w:val="00802F88"/>
    <w:rsid w:val="008060DF"/>
    <w:rsid w:val="00806E4B"/>
    <w:rsid w:val="008108BA"/>
    <w:rsid w:val="008115F9"/>
    <w:rsid w:val="008119BD"/>
    <w:rsid w:val="0081293E"/>
    <w:rsid w:val="00812BD6"/>
    <w:rsid w:val="008131E1"/>
    <w:rsid w:val="00815465"/>
    <w:rsid w:val="00817E9A"/>
    <w:rsid w:val="008223E5"/>
    <w:rsid w:val="008224F0"/>
    <w:rsid w:val="0082737A"/>
    <w:rsid w:val="008306BD"/>
    <w:rsid w:val="00830799"/>
    <w:rsid w:val="00831A80"/>
    <w:rsid w:val="008336CA"/>
    <w:rsid w:val="00833743"/>
    <w:rsid w:val="008340A4"/>
    <w:rsid w:val="00834210"/>
    <w:rsid w:val="008349BD"/>
    <w:rsid w:val="00835CC9"/>
    <w:rsid w:val="008367AF"/>
    <w:rsid w:val="00837076"/>
    <w:rsid w:val="00837B1D"/>
    <w:rsid w:val="00837F87"/>
    <w:rsid w:val="0084248F"/>
    <w:rsid w:val="00850A3A"/>
    <w:rsid w:val="008520B3"/>
    <w:rsid w:val="0085358B"/>
    <w:rsid w:val="00854CDC"/>
    <w:rsid w:val="00862485"/>
    <w:rsid w:val="00862F53"/>
    <w:rsid w:val="00865D80"/>
    <w:rsid w:val="0087135F"/>
    <w:rsid w:val="00872C38"/>
    <w:rsid w:val="00872D94"/>
    <w:rsid w:val="00874528"/>
    <w:rsid w:val="00875FF9"/>
    <w:rsid w:val="00876E9A"/>
    <w:rsid w:val="00880364"/>
    <w:rsid w:val="00881150"/>
    <w:rsid w:val="00881D64"/>
    <w:rsid w:val="0088340A"/>
    <w:rsid w:val="00885BB8"/>
    <w:rsid w:val="00891592"/>
    <w:rsid w:val="00891E9E"/>
    <w:rsid w:val="0089465D"/>
    <w:rsid w:val="008A1B66"/>
    <w:rsid w:val="008A2A26"/>
    <w:rsid w:val="008A2F68"/>
    <w:rsid w:val="008A3249"/>
    <w:rsid w:val="008A400D"/>
    <w:rsid w:val="008B4FA6"/>
    <w:rsid w:val="008B5282"/>
    <w:rsid w:val="008B5C6A"/>
    <w:rsid w:val="008B7C17"/>
    <w:rsid w:val="008C1A44"/>
    <w:rsid w:val="008C1E10"/>
    <w:rsid w:val="008C2900"/>
    <w:rsid w:val="008C2D01"/>
    <w:rsid w:val="008C308E"/>
    <w:rsid w:val="008C362F"/>
    <w:rsid w:val="008C40E6"/>
    <w:rsid w:val="008C4E5A"/>
    <w:rsid w:val="008C563D"/>
    <w:rsid w:val="008C5A59"/>
    <w:rsid w:val="008C728B"/>
    <w:rsid w:val="008D0F7A"/>
    <w:rsid w:val="008D1D1B"/>
    <w:rsid w:val="008D202A"/>
    <w:rsid w:val="008D3ED0"/>
    <w:rsid w:val="008D6325"/>
    <w:rsid w:val="008D68E4"/>
    <w:rsid w:val="008D6B5E"/>
    <w:rsid w:val="008D6DDD"/>
    <w:rsid w:val="008D705A"/>
    <w:rsid w:val="008E0061"/>
    <w:rsid w:val="008E0506"/>
    <w:rsid w:val="008E0CFF"/>
    <w:rsid w:val="008E2FE6"/>
    <w:rsid w:val="008E53F5"/>
    <w:rsid w:val="008E5D6B"/>
    <w:rsid w:val="008E6AAD"/>
    <w:rsid w:val="008E76F0"/>
    <w:rsid w:val="008E7D24"/>
    <w:rsid w:val="008F0ECC"/>
    <w:rsid w:val="008F15FE"/>
    <w:rsid w:val="008F2B34"/>
    <w:rsid w:val="008F2D29"/>
    <w:rsid w:val="008F4799"/>
    <w:rsid w:val="008F4AB4"/>
    <w:rsid w:val="008F4C68"/>
    <w:rsid w:val="008F5187"/>
    <w:rsid w:val="008F5951"/>
    <w:rsid w:val="008F60D8"/>
    <w:rsid w:val="008F61F4"/>
    <w:rsid w:val="008F7577"/>
    <w:rsid w:val="008F7DB1"/>
    <w:rsid w:val="00901C59"/>
    <w:rsid w:val="00902727"/>
    <w:rsid w:val="0090312B"/>
    <w:rsid w:val="00912DA4"/>
    <w:rsid w:val="00916D0A"/>
    <w:rsid w:val="0091736D"/>
    <w:rsid w:val="0092377C"/>
    <w:rsid w:val="0093037A"/>
    <w:rsid w:val="0093136C"/>
    <w:rsid w:val="00933021"/>
    <w:rsid w:val="00934690"/>
    <w:rsid w:val="0094154D"/>
    <w:rsid w:val="00943FF3"/>
    <w:rsid w:val="009506D3"/>
    <w:rsid w:val="00950A2F"/>
    <w:rsid w:val="00950D80"/>
    <w:rsid w:val="0095155F"/>
    <w:rsid w:val="00954429"/>
    <w:rsid w:val="009563CE"/>
    <w:rsid w:val="0096207F"/>
    <w:rsid w:val="00967ADB"/>
    <w:rsid w:val="00971820"/>
    <w:rsid w:val="0097235D"/>
    <w:rsid w:val="00975F8B"/>
    <w:rsid w:val="00976328"/>
    <w:rsid w:val="0097680D"/>
    <w:rsid w:val="00977D66"/>
    <w:rsid w:val="00982438"/>
    <w:rsid w:val="00983556"/>
    <w:rsid w:val="0098404C"/>
    <w:rsid w:val="00985283"/>
    <w:rsid w:val="0098659D"/>
    <w:rsid w:val="009909A4"/>
    <w:rsid w:val="0099187F"/>
    <w:rsid w:val="00992E11"/>
    <w:rsid w:val="00995992"/>
    <w:rsid w:val="009A03E5"/>
    <w:rsid w:val="009A06C8"/>
    <w:rsid w:val="009A0F3B"/>
    <w:rsid w:val="009A1BB4"/>
    <w:rsid w:val="009A2628"/>
    <w:rsid w:val="009A3200"/>
    <w:rsid w:val="009A4668"/>
    <w:rsid w:val="009A6AAF"/>
    <w:rsid w:val="009B0897"/>
    <w:rsid w:val="009B140C"/>
    <w:rsid w:val="009B143B"/>
    <w:rsid w:val="009B305B"/>
    <w:rsid w:val="009B7BD9"/>
    <w:rsid w:val="009C1B2D"/>
    <w:rsid w:val="009C37F7"/>
    <w:rsid w:val="009C5CE9"/>
    <w:rsid w:val="009C7DD5"/>
    <w:rsid w:val="009D5353"/>
    <w:rsid w:val="009D56AA"/>
    <w:rsid w:val="009D73C2"/>
    <w:rsid w:val="009E227D"/>
    <w:rsid w:val="009E4225"/>
    <w:rsid w:val="009E5019"/>
    <w:rsid w:val="009F1E86"/>
    <w:rsid w:val="009F337D"/>
    <w:rsid w:val="009F7EA2"/>
    <w:rsid w:val="00A00804"/>
    <w:rsid w:val="00A01D1B"/>
    <w:rsid w:val="00A01EE5"/>
    <w:rsid w:val="00A01FE0"/>
    <w:rsid w:val="00A024A5"/>
    <w:rsid w:val="00A044ED"/>
    <w:rsid w:val="00A04F1B"/>
    <w:rsid w:val="00A0501B"/>
    <w:rsid w:val="00A0744C"/>
    <w:rsid w:val="00A139A1"/>
    <w:rsid w:val="00A13E20"/>
    <w:rsid w:val="00A14947"/>
    <w:rsid w:val="00A14AC4"/>
    <w:rsid w:val="00A17F21"/>
    <w:rsid w:val="00A24B1D"/>
    <w:rsid w:val="00A30D86"/>
    <w:rsid w:val="00A32A83"/>
    <w:rsid w:val="00A35BD1"/>
    <w:rsid w:val="00A368DB"/>
    <w:rsid w:val="00A372B1"/>
    <w:rsid w:val="00A37501"/>
    <w:rsid w:val="00A37A8D"/>
    <w:rsid w:val="00A40F47"/>
    <w:rsid w:val="00A423AA"/>
    <w:rsid w:val="00A4388D"/>
    <w:rsid w:val="00A44CA4"/>
    <w:rsid w:val="00A4636F"/>
    <w:rsid w:val="00A53EC6"/>
    <w:rsid w:val="00A5483B"/>
    <w:rsid w:val="00A55C0F"/>
    <w:rsid w:val="00A65F37"/>
    <w:rsid w:val="00A667A8"/>
    <w:rsid w:val="00A74F77"/>
    <w:rsid w:val="00A82642"/>
    <w:rsid w:val="00A84DE1"/>
    <w:rsid w:val="00A86B95"/>
    <w:rsid w:val="00A870FD"/>
    <w:rsid w:val="00A8713F"/>
    <w:rsid w:val="00A90BA1"/>
    <w:rsid w:val="00A90CCA"/>
    <w:rsid w:val="00A92D62"/>
    <w:rsid w:val="00A96542"/>
    <w:rsid w:val="00A96573"/>
    <w:rsid w:val="00A97529"/>
    <w:rsid w:val="00A97A9A"/>
    <w:rsid w:val="00AA0671"/>
    <w:rsid w:val="00AA2531"/>
    <w:rsid w:val="00AA6227"/>
    <w:rsid w:val="00AA7F83"/>
    <w:rsid w:val="00AB064D"/>
    <w:rsid w:val="00AB158E"/>
    <w:rsid w:val="00AB1BFE"/>
    <w:rsid w:val="00AB1E09"/>
    <w:rsid w:val="00AB2F28"/>
    <w:rsid w:val="00AB4D51"/>
    <w:rsid w:val="00AB5330"/>
    <w:rsid w:val="00AB7747"/>
    <w:rsid w:val="00AC14CE"/>
    <w:rsid w:val="00AC27EB"/>
    <w:rsid w:val="00AC2A56"/>
    <w:rsid w:val="00AC2BA9"/>
    <w:rsid w:val="00AC70B7"/>
    <w:rsid w:val="00AD055E"/>
    <w:rsid w:val="00AD086C"/>
    <w:rsid w:val="00AD2332"/>
    <w:rsid w:val="00AD4092"/>
    <w:rsid w:val="00AD47A7"/>
    <w:rsid w:val="00AD52FB"/>
    <w:rsid w:val="00AE0238"/>
    <w:rsid w:val="00AE5233"/>
    <w:rsid w:val="00AE5726"/>
    <w:rsid w:val="00AE5EE3"/>
    <w:rsid w:val="00AF0146"/>
    <w:rsid w:val="00AF02C0"/>
    <w:rsid w:val="00AF0CBF"/>
    <w:rsid w:val="00AF257F"/>
    <w:rsid w:val="00AF33CF"/>
    <w:rsid w:val="00AF4D50"/>
    <w:rsid w:val="00AF6179"/>
    <w:rsid w:val="00B1295A"/>
    <w:rsid w:val="00B130EC"/>
    <w:rsid w:val="00B13D36"/>
    <w:rsid w:val="00B14A21"/>
    <w:rsid w:val="00B20A45"/>
    <w:rsid w:val="00B22C5C"/>
    <w:rsid w:val="00B24F30"/>
    <w:rsid w:val="00B30B5E"/>
    <w:rsid w:val="00B31ABF"/>
    <w:rsid w:val="00B33BE3"/>
    <w:rsid w:val="00B342BD"/>
    <w:rsid w:val="00B34DB2"/>
    <w:rsid w:val="00B40332"/>
    <w:rsid w:val="00B463A7"/>
    <w:rsid w:val="00B4681B"/>
    <w:rsid w:val="00B5124F"/>
    <w:rsid w:val="00B52850"/>
    <w:rsid w:val="00B52F09"/>
    <w:rsid w:val="00B53B5D"/>
    <w:rsid w:val="00B55B44"/>
    <w:rsid w:val="00B57622"/>
    <w:rsid w:val="00B6055E"/>
    <w:rsid w:val="00B60E0E"/>
    <w:rsid w:val="00B6317D"/>
    <w:rsid w:val="00B63814"/>
    <w:rsid w:val="00B70E07"/>
    <w:rsid w:val="00B721E5"/>
    <w:rsid w:val="00B7385C"/>
    <w:rsid w:val="00B7723F"/>
    <w:rsid w:val="00B80534"/>
    <w:rsid w:val="00B80B93"/>
    <w:rsid w:val="00B8366C"/>
    <w:rsid w:val="00B8433C"/>
    <w:rsid w:val="00B84484"/>
    <w:rsid w:val="00B86FF9"/>
    <w:rsid w:val="00B87491"/>
    <w:rsid w:val="00B91A64"/>
    <w:rsid w:val="00B9249B"/>
    <w:rsid w:val="00B942BE"/>
    <w:rsid w:val="00B96447"/>
    <w:rsid w:val="00B97528"/>
    <w:rsid w:val="00BA1FC2"/>
    <w:rsid w:val="00BA29E9"/>
    <w:rsid w:val="00BA30EE"/>
    <w:rsid w:val="00BA3B86"/>
    <w:rsid w:val="00BA70A2"/>
    <w:rsid w:val="00BA7142"/>
    <w:rsid w:val="00BB1569"/>
    <w:rsid w:val="00BB237C"/>
    <w:rsid w:val="00BB3AFB"/>
    <w:rsid w:val="00BB41A3"/>
    <w:rsid w:val="00BB4BD4"/>
    <w:rsid w:val="00BB5C94"/>
    <w:rsid w:val="00BB6845"/>
    <w:rsid w:val="00BC3187"/>
    <w:rsid w:val="00BC32DC"/>
    <w:rsid w:val="00BC35B6"/>
    <w:rsid w:val="00BC48F4"/>
    <w:rsid w:val="00BC59F3"/>
    <w:rsid w:val="00BC62D9"/>
    <w:rsid w:val="00BC63D7"/>
    <w:rsid w:val="00BC7864"/>
    <w:rsid w:val="00BD121A"/>
    <w:rsid w:val="00BD1B51"/>
    <w:rsid w:val="00BD1E56"/>
    <w:rsid w:val="00BD43C2"/>
    <w:rsid w:val="00BD4596"/>
    <w:rsid w:val="00BD56BE"/>
    <w:rsid w:val="00BE08FB"/>
    <w:rsid w:val="00BE0F2D"/>
    <w:rsid w:val="00BE1405"/>
    <w:rsid w:val="00BE312D"/>
    <w:rsid w:val="00BE4A43"/>
    <w:rsid w:val="00BF0B77"/>
    <w:rsid w:val="00BF0D3A"/>
    <w:rsid w:val="00BF1C20"/>
    <w:rsid w:val="00BF4404"/>
    <w:rsid w:val="00BF44BC"/>
    <w:rsid w:val="00C00E88"/>
    <w:rsid w:val="00C02E44"/>
    <w:rsid w:val="00C06CFE"/>
    <w:rsid w:val="00C10578"/>
    <w:rsid w:val="00C135BC"/>
    <w:rsid w:val="00C15862"/>
    <w:rsid w:val="00C15C95"/>
    <w:rsid w:val="00C16CD5"/>
    <w:rsid w:val="00C17F29"/>
    <w:rsid w:val="00C2065E"/>
    <w:rsid w:val="00C20D73"/>
    <w:rsid w:val="00C22026"/>
    <w:rsid w:val="00C227E5"/>
    <w:rsid w:val="00C23384"/>
    <w:rsid w:val="00C24341"/>
    <w:rsid w:val="00C2596A"/>
    <w:rsid w:val="00C2608A"/>
    <w:rsid w:val="00C27537"/>
    <w:rsid w:val="00C328FE"/>
    <w:rsid w:val="00C32D8C"/>
    <w:rsid w:val="00C33088"/>
    <w:rsid w:val="00C33507"/>
    <w:rsid w:val="00C335DB"/>
    <w:rsid w:val="00C3533D"/>
    <w:rsid w:val="00C369DF"/>
    <w:rsid w:val="00C43BC1"/>
    <w:rsid w:val="00C4409D"/>
    <w:rsid w:val="00C44E72"/>
    <w:rsid w:val="00C45A06"/>
    <w:rsid w:val="00C47E5B"/>
    <w:rsid w:val="00C5217E"/>
    <w:rsid w:val="00C52F1D"/>
    <w:rsid w:val="00C52FE5"/>
    <w:rsid w:val="00C544F7"/>
    <w:rsid w:val="00C5585D"/>
    <w:rsid w:val="00C55F7E"/>
    <w:rsid w:val="00C57045"/>
    <w:rsid w:val="00C61E4B"/>
    <w:rsid w:val="00C6387A"/>
    <w:rsid w:val="00C64BFF"/>
    <w:rsid w:val="00C70376"/>
    <w:rsid w:val="00C704E9"/>
    <w:rsid w:val="00C74326"/>
    <w:rsid w:val="00C75A86"/>
    <w:rsid w:val="00C763C9"/>
    <w:rsid w:val="00C80057"/>
    <w:rsid w:val="00C82232"/>
    <w:rsid w:val="00C82913"/>
    <w:rsid w:val="00C83A98"/>
    <w:rsid w:val="00C855A3"/>
    <w:rsid w:val="00C86D96"/>
    <w:rsid w:val="00C96BE4"/>
    <w:rsid w:val="00C972B1"/>
    <w:rsid w:val="00CA2CCE"/>
    <w:rsid w:val="00CA3899"/>
    <w:rsid w:val="00CA43FD"/>
    <w:rsid w:val="00CA4DAB"/>
    <w:rsid w:val="00CA6D9B"/>
    <w:rsid w:val="00CA7EF8"/>
    <w:rsid w:val="00CB3350"/>
    <w:rsid w:val="00CB38D7"/>
    <w:rsid w:val="00CB7B5D"/>
    <w:rsid w:val="00CC1343"/>
    <w:rsid w:val="00CC489B"/>
    <w:rsid w:val="00CC60A5"/>
    <w:rsid w:val="00CC737C"/>
    <w:rsid w:val="00CD12F0"/>
    <w:rsid w:val="00CD2BCD"/>
    <w:rsid w:val="00CD3A4C"/>
    <w:rsid w:val="00CD5D32"/>
    <w:rsid w:val="00CD648F"/>
    <w:rsid w:val="00CD7D3C"/>
    <w:rsid w:val="00CD7E28"/>
    <w:rsid w:val="00CE0C1A"/>
    <w:rsid w:val="00CE10E9"/>
    <w:rsid w:val="00CE2910"/>
    <w:rsid w:val="00CE3646"/>
    <w:rsid w:val="00CE4407"/>
    <w:rsid w:val="00CE5393"/>
    <w:rsid w:val="00CF3163"/>
    <w:rsid w:val="00CF36BE"/>
    <w:rsid w:val="00CF36CE"/>
    <w:rsid w:val="00CF38C3"/>
    <w:rsid w:val="00CF3E18"/>
    <w:rsid w:val="00CF40CD"/>
    <w:rsid w:val="00CF6000"/>
    <w:rsid w:val="00D003F3"/>
    <w:rsid w:val="00D0364F"/>
    <w:rsid w:val="00D05CDD"/>
    <w:rsid w:val="00D06834"/>
    <w:rsid w:val="00D07C27"/>
    <w:rsid w:val="00D106EC"/>
    <w:rsid w:val="00D10F78"/>
    <w:rsid w:val="00D11858"/>
    <w:rsid w:val="00D14EC9"/>
    <w:rsid w:val="00D17711"/>
    <w:rsid w:val="00D20307"/>
    <w:rsid w:val="00D23EEE"/>
    <w:rsid w:val="00D248F0"/>
    <w:rsid w:val="00D25127"/>
    <w:rsid w:val="00D25694"/>
    <w:rsid w:val="00D27DB2"/>
    <w:rsid w:val="00D302CD"/>
    <w:rsid w:val="00D308ED"/>
    <w:rsid w:val="00D31DF0"/>
    <w:rsid w:val="00D34AAE"/>
    <w:rsid w:val="00D35381"/>
    <w:rsid w:val="00D36D45"/>
    <w:rsid w:val="00D36D81"/>
    <w:rsid w:val="00D36D86"/>
    <w:rsid w:val="00D428AA"/>
    <w:rsid w:val="00D47E5D"/>
    <w:rsid w:val="00D50A34"/>
    <w:rsid w:val="00D511DF"/>
    <w:rsid w:val="00D53EFA"/>
    <w:rsid w:val="00D54602"/>
    <w:rsid w:val="00D57864"/>
    <w:rsid w:val="00D64D2F"/>
    <w:rsid w:val="00D701B5"/>
    <w:rsid w:val="00D7442F"/>
    <w:rsid w:val="00D746DD"/>
    <w:rsid w:val="00D75F0D"/>
    <w:rsid w:val="00D8356C"/>
    <w:rsid w:val="00D840F4"/>
    <w:rsid w:val="00D900ED"/>
    <w:rsid w:val="00D934C1"/>
    <w:rsid w:val="00D935AE"/>
    <w:rsid w:val="00D94A7C"/>
    <w:rsid w:val="00D94E6E"/>
    <w:rsid w:val="00D95896"/>
    <w:rsid w:val="00D95C8B"/>
    <w:rsid w:val="00D96520"/>
    <w:rsid w:val="00D97F1A"/>
    <w:rsid w:val="00DA0D6E"/>
    <w:rsid w:val="00DA3D6C"/>
    <w:rsid w:val="00DB2983"/>
    <w:rsid w:val="00DB337D"/>
    <w:rsid w:val="00DB503C"/>
    <w:rsid w:val="00DB52BE"/>
    <w:rsid w:val="00DB7A1C"/>
    <w:rsid w:val="00DC0FDE"/>
    <w:rsid w:val="00DC1257"/>
    <w:rsid w:val="00DC3DC0"/>
    <w:rsid w:val="00DC4AC8"/>
    <w:rsid w:val="00DC571E"/>
    <w:rsid w:val="00DC5B2B"/>
    <w:rsid w:val="00DC77B7"/>
    <w:rsid w:val="00DD318D"/>
    <w:rsid w:val="00DD5788"/>
    <w:rsid w:val="00DE0C19"/>
    <w:rsid w:val="00DE1714"/>
    <w:rsid w:val="00DE1B85"/>
    <w:rsid w:val="00DE37AD"/>
    <w:rsid w:val="00DE6B7E"/>
    <w:rsid w:val="00DF0BDB"/>
    <w:rsid w:val="00DF2981"/>
    <w:rsid w:val="00DF2E12"/>
    <w:rsid w:val="00DF34A7"/>
    <w:rsid w:val="00DF514A"/>
    <w:rsid w:val="00DF6690"/>
    <w:rsid w:val="00DF6804"/>
    <w:rsid w:val="00E01185"/>
    <w:rsid w:val="00E0358D"/>
    <w:rsid w:val="00E04323"/>
    <w:rsid w:val="00E070A2"/>
    <w:rsid w:val="00E070DD"/>
    <w:rsid w:val="00E07C95"/>
    <w:rsid w:val="00E1132B"/>
    <w:rsid w:val="00E154F9"/>
    <w:rsid w:val="00E1642F"/>
    <w:rsid w:val="00E16742"/>
    <w:rsid w:val="00E17011"/>
    <w:rsid w:val="00E17F3F"/>
    <w:rsid w:val="00E2656A"/>
    <w:rsid w:val="00E30BDD"/>
    <w:rsid w:val="00E3138C"/>
    <w:rsid w:val="00E31C64"/>
    <w:rsid w:val="00E412D0"/>
    <w:rsid w:val="00E45713"/>
    <w:rsid w:val="00E46464"/>
    <w:rsid w:val="00E47F9B"/>
    <w:rsid w:val="00E51DAA"/>
    <w:rsid w:val="00E5384E"/>
    <w:rsid w:val="00E56322"/>
    <w:rsid w:val="00E60982"/>
    <w:rsid w:val="00E62C62"/>
    <w:rsid w:val="00E630E1"/>
    <w:rsid w:val="00E63300"/>
    <w:rsid w:val="00E64550"/>
    <w:rsid w:val="00E64B65"/>
    <w:rsid w:val="00E654C1"/>
    <w:rsid w:val="00E65D97"/>
    <w:rsid w:val="00E7277B"/>
    <w:rsid w:val="00E729C6"/>
    <w:rsid w:val="00E72A5A"/>
    <w:rsid w:val="00E72B36"/>
    <w:rsid w:val="00E73354"/>
    <w:rsid w:val="00E74C75"/>
    <w:rsid w:val="00E83F91"/>
    <w:rsid w:val="00E863B2"/>
    <w:rsid w:val="00E865CA"/>
    <w:rsid w:val="00E9242D"/>
    <w:rsid w:val="00EA16F4"/>
    <w:rsid w:val="00EA5068"/>
    <w:rsid w:val="00EA6CE0"/>
    <w:rsid w:val="00EA77C2"/>
    <w:rsid w:val="00EB5255"/>
    <w:rsid w:val="00EB5C47"/>
    <w:rsid w:val="00EB7D1E"/>
    <w:rsid w:val="00EC06BC"/>
    <w:rsid w:val="00EC0D10"/>
    <w:rsid w:val="00EC30F0"/>
    <w:rsid w:val="00EC3960"/>
    <w:rsid w:val="00EC5F2F"/>
    <w:rsid w:val="00EC7D33"/>
    <w:rsid w:val="00ED0639"/>
    <w:rsid w:val="00EE0A9C"/>
    <w:rsid w:val="00EE1AD3"/>
    <w:rsid w:val="00EE4B1E"/>
    <w:rsid w:val="00EE6809"/>
    <w:rsid w:val="00EE7E20"/>
    <w:rsid w:val="00EF2381"/>
    <w:rsid w:val="00EF2F1A"/>
    <w:rsid w:val="00EF3926"/>
    <w:rsid w:val="00EF4755"/>
    <w:rsid w:val="00EF7135"/>
    <w:rsid w:val="00F027DB"/>
    <w:rsid w:val="00F0311D"/>
    <w:rsid w:val="00F05FF9"/>
    <w:rsid w:val="00F06526"/>
    <w:rsid w:val="00F0736F"/>
    <w:rsid w:val="00F14A7A"/>
    <w:rsid w:val="00F2163B"/>
    <w:rsid w:val="00F22985"/>
    <w:rsid w:val="00F23296"/>
    <w:rsid w:val="00F260A4"/>
    <w:rsid w:val="00F27A4C"/>
    <w:rsid w:val="00F3383E"/>
    <w:rsid w:val="00F35DF3"/>
    <w:rsid w:val="00F35FE5"/>
    <w:rsid w:val="00F37E87"/>
    <w:rsid w:val="00F461C4"/>
    <w:rsid w:val="00F465A7"/>
    <w:rsid w:val="00F50B7C"/>
    <w:rsid w:val="00F51AFC"/>
    <w:rsid w:val="00F531EA"/>
    <w:rsid w:val="00F550E6"/>
    <w:rsid w:val="00F577D0"/>
    <w:rsid w:val="00F6213B"/>
    <w:rsid w:val="00F6258C"/>
    <w:rsid w:val="00F643BD"/>
    <w:rsid w:val="00F66B98"/>
    <w:rsid w:val="00F719D6"/>
    <w:rsid w:val="00F71BDD"/>
    <w:rsid w:val="00F72316"/>
    <w:rsid w:val="00F74345"/>
    <w:rsid w:val="00F74874"/>
    <w:rsid w:val="00F76B17"/>
    <w:rsid w:val="00F76EFE"/>
    <w:rsid w:val="00F77DC6"/>
    <w:rsid w:val="00F806B6"/>
    <w:rsid w:val="00F80A0A"/>
    <w:rsid w:val="00F82B19"/>
    <w:rsid w:val="00F877DC"/>
    <w:rsid w:val="00F90812"/>
    <w:rsid w:val="00F9212D"/>
    <w:rsid w:val="00F94B82"/>
    <w:rsid w:val="00F95C65"/>
    <w:rsid w:val="00F965DA"/>
    <w:rsid w:val="00FA046E"/>
    <w:rsid w:val="00FA18B5"/>
    <w:rsid w:val="00FA406A"/>
    <w:rsid w:val="00FA7DA1"/>
    <w:rsid w:val="00FB252F"/>
    <w:rsid w:val="00FB26C0"/>
    <w:rsid w:val="00FB503A"/>
    <w:rsid w:val="00FB516C"/>
    <w:rsid w:val="00FB6907"/>
    <w:rsid w:val="00FC1805"/>
    <w:rsid w:val="00FC53D3"/>
    <w:rsid w:val="00FC54D2"/>
    <w:rsid w:val="00FC72AA"/>
    <w:rsid w:val="00FC7C33"/>
    <w:rsid w:val="00FD00E7"/>
    <w:rsid w:val="00FD0236"/>
    <w:rsid w:val="00FD18F4"/>
    <w:rsid w:val="00FD1A84"/>
    <w:rsid w:val="00FD54DB"/>
    <w:rsid w:val="00FD5CC5"/>
    <w:rsid w:val="00FD619F"/>
    <w:rsid w:val="00FE0A57"/>
    <w:rsid w:val="00FE2279"/>
    <w:rsid w:val="00FE24F6"/>
    <w:rsid w:val="00FE326D"/>
    <w:rsid w:val="00FE3D9A"/>
    <w:rsid w:val="00FE5CDE"/>
    <w:rsid w:val="01022C9F"/>
    <w:rsid w:val="011A4397"/>
    <w:rsid w:val="01290F7E"/>
    <w:rsid w:val="014728C0"/>
    <w:rsid w:val="015D1E09"/>
    <w:rsid w:val="018815C7"/>
    <w:rsid w:val="01BF5F6B"/>
    <w:rsid w:val="01E301DB"/>
    <w:rsid w:val="01FC6A51"/>
    <w:rsid w:val="0226004E"/>
    <w:rsid w:val="024E1621"/>
    <w:rsid w:val="025C318E"/>
    <w:rsid w:val="02697903"/>
    <w:rsid w:val="02904E86"/>
    <w:rsid w:val="02E56EE5"/>
    <w:rsid w:val="02F96569"/>
    <w:rsid w:val="032E00C6"/>
    <w:rsid w:val="03771CB3"/>
    <w:rsid w:val="039047E2"/>
    <w:rsid w:val="03A04139"/>
    <w:rsid w:val="03A54346"/>
    <w:rsid w:val="03CD1260"/>
    <w:rsid w:val="03EA7B21"/>
    <w:rsid w:val="0430338C"/>
    <w:rsid w:val="047A5272"/>
    <w:rsid w:val="049B1855"/>
    <w:rsid w:val="049D49E3"/>
    <w:rsid w:val="04F1535D"/>
    <w:rsid w:val="04F16630"/>
    <w:rsid w:val="04F24156"/>
    <w:rsid w:val="04F97615"/>
    <w:rsid w:val="05294B03"/>
    <w:rsid w:val="0533703F"/>
    <w:rsid w:val="053A6076"/>
    <w:rsid w:val="054E63F3"/>
    <w:rsid w:val="056510F7"/>
    <w:rsid w:val="059C1C41"/>
    <w:rsid w:val="05E61E2C"/>
    <w:rsid w:val="05F83EAE"/>
    <w:rsid w:val="05FB7E83"/>
    <w:rsid w:val="063E7D85"/>
    <w:rsid w:val="064B5938"/>
    <w:rsid w:val="06525524"/>
    <w:rsid w:val="0688182C"/>
    <w:rsid w:val="069917CF"/>
    <w:rsid w:val="06B04FB1"/>
    <w:rsid w:val="06C115C2"/>
    <w:rsid w:val="06CC1B72"/>
    <w:rsid w:val="06DA1E7B"/>
    <w:rsid w:val="07293586"/>
    <w:rsid w:val="07295285"/>
    <w:rsid w:val="07636392"/>
    <w:rsid w:val="07770C56"/>
    <w:rsid w:val="07C22CE1"/>
    <w:rsid w:val="07C46AEB"/>
    <w:rsid w:val="080C7F41"/>
    <w:rsid w:val="082830F5"/>
    <w:rsid w:val="08486F40"/>
    <w:rsid w:val="084961AA"/>
    <w:rsid w:val="08872FFA"/>
    <w:rsid w:val="08A06C0F"/>
    <w:rsid w:val="092217DD"/>
    <w:rsid w:val="093A7294"/>
    <w:rsid w:val="09847A57"/>
    <w:rsid w:val="0A020889"/>
    <w:rsid w:val="0A263993"/>
    <w:rsid w:val="0A2B0E46"/>
    <w:rsid w:val="0A2D3AC2"/>
    <w:rsid w:val="0A464D2E"/>
    <w:rsid w:val="0A914141"/>
    <w:rsid w:val="0AA755DF"/>
    <w:rsid w:val="0AF46011"/>
    <w:rsid w:val="0B0E741A"/>
    <w:rsid w:val="0B120D44"/>
    <w:rsid w:val="0B581A2A"/>
    <w:rsid w:val="0B807ADE"/>
    <w:rsid w:val="0BD27BF6"/>
    <w:rsid w:val="0BEA36A3"/>
    <w:rsid w:val="0BF63997"/>
    <w:rsid w:val="0C3B3C7D"/>
    <w:rsid w:val="0C522E45"/>
    <w:rsid w:val="0C7A0C82"/>
    <w:rsid w:val="0C7F1985"/>
    <w:rsid w:val="0CAB2EAE"/>
    <w:rsid w:val="0CD838B6"/>
    <w:rsid w:val="0CF765F3"/>
    <w:rsid w:val="0D3C2CB1"/>
    <w:rsid w:val="0D621C7D"/>
    <w:rsid w:val="0D727114"/>
    <w:rsid w:val="0D7A4B19"/>
    <w:rsid w:val="0DBC3623"/>
    <w:rsid w:val="0DF62A89"/>
    <w:rsid w:val="0E026BF3"/>
    <w:rsid w:val="0E256361"/>
    <w:rsid w:val="0E73034D"/>
    <w:rsid w:val="0E74018F"/>
    <w:rsid w:val="0E7B674E"/>
    <w:rsid w:val="0E8D1A8A"/>
    <w:rsid w:val="0ECB6B23"/>
    <w:rsid w:val="0ED95A22"/>
    <w:rsid w:val="0F0B6B3D"/>
    <w:rsid w:val="0F13775A"/>
    <w:rsid w:val="0F15100F"/>
    <w:rsid w:val="0F1C130E"/>
    <w:rsid w:val="0F561081"/>
    <w:rsid w:val="0F5F45FE"/>
    <w:rsid w:val="0F7A09FB"/>
    <w:rsid w:val="0F821D7E"/>
    <w:rsid w:val="0F9A112B"/>
    <w:rsid w:val="0FB15032"/>
    <w:rsid w:val="0FB66476"/>
    <w:rsid w:val="0FE615B5"/>
    <w:rsid w:val="104526A7"/>
    <w:rsid w:val="106D2F64"/>
    <w:rsid w:val="10794A4D"/>
    <w:rsid w:val="10AA6AF7"/>
    <w:rsid w:val="10B143A6"/>
    <w:rsid w:val="10B63710"/>
    <w:rsid w:val="10D73434"/>
    <w:rsid w:val="10F10820"/>
    <w:rsid w:val="10F40A71"/>
    <w:rsid w:val="1101249D"/>
    <w:rsid w:val="111C2F7A"/>
    <w:rsid w:val="11451F94"/>
    <w:rsid w:val="11665CA1"/>
    <w:rsid w:val="116A455E"/>
    <w:rsid w:val="11AA7A88"/>
    <w:rsid w:val="11C84400"/>
    <w:rsid w:val="11EF2AFE"/>
    <w:rsid w:val="121E567E"/>
    <w:rsid w:val="12525DAF"/>
    <w:rsid w:val="12616399"/>
    <w:rsid w:val="12CB7CF2"/>
    <w:rsid w:val="12DF04C5"/>
    <w:rsid w:val="13951726"/>
    <w:rsid w:val="13C41570"/>
    <w:rsid w:val="13C96D15"/>
    <w:rsid w:val="13D82FF4"/>
    <w:rsid w:val="141C5926"/>
    <w:rsid w:val="14396509"/>
    <w:rsid w:val="14797E0A"/>
    <w:rsid w:val="14BB1D5C"/>
    <w:rsid w:val="14DD2C3C"/>
    <w:rsid w:val="1523486C"/>
    <w:rsid w:val="15431158"/>
    <w:rsid w:val="157307E3"/>
    <w:rsid w:val="159C40F3"/>
    <w:rsid w:val="15C44A2C"/>
    <w:rsid w:val="15CC0F70"/>
    <w:rsid w:val="15DC31F7"/>
    <w:rsid w:val="16087E1D"/>
    <w:rsid w:val="163E05B1"/>
    <w:rsid w:val="16537D5B"/>
    <w:rsid w:val="16A13C12"/>
    <w:rsid w:val="17701D14"/>
    <w:rsid w:val="17735226"/>
    <w:rsid w:val="17C351E0"/>
    <w:rsid w:val="17CF788F"/>
    <w:rsid w:val="17DB0C56"/>
    <w:rsid w:val="181C08E1"/>
    <w:rsid w:val="1842266E"/>
    <w:rsid w:val="18715917"/>
    <w:rsid w:val="18966140"/>
    <w:rsid w:val="189F624C"/>
    <w:rsid w:val="18A63521"/>
    <w:rsid w:val="18D87A9C"/>
    <w:rsid w:val="196601B1"/>
    <w:rsid w:val="198E7E24"/>
    <w:rsid w:val="19EE4E19"/>
    <w:rsid w:val="1A1C66C0"/>
    <w:rsid w:val="1A42393B"/>
    <w:rsid w:val="1A5F3DEB"/>
    <w:rsid w:val="1A770118"/>
    <w:rsid w:val="1AAD45DE"/>
    <w:rsid w:val="1AB34FB6"/>
    <w:rsid w:val="1AEC2E9E"/>
    <w:rsid w:val="1B046F80"/>
    <w:rsid w:val="1B2332D2"/>
    <w:rsid w:val="1B29104C"/>
    <w:rsid w:val="1B3267B5"/>
    <w:rsid w:val="1B40161D"/>
    <w:rsid w:val="1B441859"/>
    <w:rsid w:val="1B6606B1"/>
    <w:rsid w:val="1B735CBF"/>
    <w:rsid w:val="1BE37AA4"/>
    <w:rsid w:val="1C1737CD"/>
    <w:rsid w:val="1C5E7925"/>
    <w:rsid w:val="1C607083"/>
    <w:rsid w:val="1C6637ED"/>
    <w:rsid w:val="1CD47A97"/>
    <w:rsid w:val="1CDD7B56"/>
    <w:rsid w:val="1CEB3905"/>
    <w:rsid w:val="1CFD070F"/>
    <w:rsid w:val="1D0B7208"/>
    <w:rsid w:val="1D5F6196"/>
    <w:rsid w:val="1D603177"/>
    <w:rsid w:val="1D6132A5"/>
    <w:rsid w:val="1D697DF8"/>
    <w:rsid w:val="1D8E56D5"/>
    <w:rsid w:val="1DA07F03"/>
    <w:rsid w:val="1DE37546"/>
    <w:rsid w:val="1DFB01EC"/>
    <w:rsid w:val="1E0E1FB5"/>
    <w:rsid w:val="1E2570DD"/>
    <w:rsid w:val="1E3B5F2E"/>
    <w:rsid w:val="1E7062A2"/>
    <w:rsid w:val="1E734BB8"/>
    <w:rsid w:val="1E7A43DA"/>
    <w:rsid w:val="1E942486"/>
    <w:rsid w:val="1EBD5EB0"/>
    <w:rsid w:val="1EFE5777"/>
    <w:rsid w:val="1F027D54"/>
    <w:rsid w:val="1F0A19E0"/>
    <w:rsid w:val="1F4E65E6"/>
    <w:rsid w:val="1FE7539E"/>
    <w:rsid w:val="200A5B26"/>
    <w:rsid w:val="2027796A"/>
    <w:rsid w:val="20425D0A"/>
    <w:rsid w:val="20430A60"/>
    <w:rsid w:val="20456910"/>
    <w:rsid w:val="20671BE0"/>
    <w:rsid w:val="20823A93"/>
    <w:rsid w:val="20963CB8"/>
    <w:rsid w:val="20A81A1B"/>
    <w:rsid w:val="20B07FB6"/>
    <w:rsid w:val="20B646FB"/>
    <w:rsid w:val="20CC4B13"/>
    <w:rsid w:val="212717E8"/>
    <w:rsid w:val="213B74B1"/>
    <w:rsid w:val="215A2310"/>
    <w:rsid w:val="218A3239"/>
    <w:rsid w:val="21A51FFD"/>
    <w:rsid w:val="21AB12BF"/>
    <w:rsid w:val="21DE318A"/>
    <w:rsid w:val="21EF5B80"/>
    <w:rsid w:val="220734AD"/>
    <w:rsid w:val="22311025"/>
    <w:rsid w:val="224208B1"/>
    <w:rsid w:val="225424C4"/>
    <w:rsid w:val="22576990"/>
    <w:rsid w:val="22731EFD"/>
    <w:rsid w:val="22F47480"/>
    <w:rsid w:val="230D4C89"/>
    <w:rsid w:val="233E058C"/>
    <w:rsid w:val="23A2641B"/>
    <w:rsid w:val="23A50606"/>
    <w:rsid w:val="23CC0574"/>
    <w:rsid w:val="23DE1C48"/>
    <w:rsid w:val="240210CD"/>
    <w:rsid w:val="247D3882"/>
    <w:rsid w:val="24A526FF"/>
    <w:rsid w:val="24BF09F7"/>
    <w:rsid w:val="252D53FE"/>
    <w:rsid w:val="25A24056"/>
    <w:rsid w:val="25A84B74"/>
    <w:rsid w:val="25EC2D81"/>
    <w:rsid w:val="263053A8"/>
    <w:rsid w:val="263878EA"/>
    <w:rsid w:val="26D2589A"/>
    <w:rsid w:val="274C4E54"/>
    <w:rsid w:val="276B0858"/>
    <w:rsid w:val="277057A2"/>
    <w:rsid w:val="27931F7A"/>
    <w:rsid w:val="27C62ABE"/>
    <w:rsid w:val="28260FCC"/>
    <w:rsid w:val="28706093"/>
    <w:rsid w:val="28DB1636"/>
    <w:rsid w:val="28F72A75"/>
    <w:rsid w:val="290D7B03"/>
    <w:rsid w:val="291F0D68"/>
    <w:rsid w:val="29206EB8"/>
    <w:rsid w:val="29595666"/>
    <w:rsid w:val="298201D9"/>
    <w:rsid w:val="29874881"/>
    <w:rsid w:val="29B53185"/>
    <w:rsid w:val="29E325E0"/>
    <w:rsid w:val="29F57951"/>
    <w:rsid w:val="29FE2489"/>
    <w:rsid w:val="2A2A03CC"/>
    <w:rsid w:val="2A452503"/>
    <w:rsid w:val="2AC206C0"/>
    <w:rsid w:val="2ADC43D4"/>
    <w:rsid w:val="2B45236A"/>
    <w:rsid w:val="2B5136C6"/>
    <w:rsid w:val="2B574209"/>
    <w:rsid w:val="2B671F16"/>
    <w:rsid w:val="2B8073F3"/>
    <w:rsid w:val="2B97523C"/>
    <w:rsid w:val="2BA936A8"/>
    <w:rsid w:val="2BE60316"/>
    <w:rsid w:val="2C23075E"/>
    <w:rsid w:val="2C2920D2"/>
    <w:rsid w:val="2C315A5A"/>
    <w:rsid w:val="2C4B1C25"/>
    <w:rsid w:val="2C6845A0"/>
    <w:rsid w:val="2CDB0C20"/>
    <w:rsid w:val="2CFC742A"/>
    <w:rsid w:val="2D273D10"/>
    <w:rsid w:val="2D3A693D"/>
    <w:rsid w:val="2D887907"/>
    <w:rsid w:val="2D9E56F5"/>
    <w:rsid w:val="2DBF20D8"/>
    <w:rsid w:val="2DCA1176"/>
    <w:rsid w:val="2DEA719A"/>
    <w:rsid w:val="2E493689"/>
    <w:rsid w:val="2E667F96"/>
    <w:rsid w:val="2E6D3734"/>
    <w:rsid w:val="2E8226AB"/>
    <w:rsid w:val="2EDD365C"/>
    <w:rsid w:val="2EF261FE"/>
    <w:rsid w:val="2F5E405B"/>
    <w:rsid w:val="2F63343F"/>
    <w:rsid w:val="2FD065E6"/>
    <w:rsid w:val="2FD96870"/>
    <w:rsid w:val="2FED3B39"/>
    <w:rsid w:val="3013098C"/>
    <w:rsid w:val="30373748"/>
    <w:rsid w:val="303D2F11"/>
    <w:rsid w:val="303F395A"/>
    <w:rsid w:val="30440A42"/>
    <w:rsid w:val="304D2C2A"/>
    <w:rsid w:val="30580BC9"/>
    <w:rsid w:val="305F5638"/>
    <w:rsid w:val="30EB7885"/>
    <w:rsid w:val="30FE31BE"/>
    <w:rsid w:val="311E2ED7"/>
    <w:rsid w:val="31286CD5"/>
    <w:rsid w:val="315619EE"/>
    <w:rsid w:val="315C449C"/>
    <w:rsid w:val="318825DA"/>
    <w:rsid w:val="31B82709"/>
    <w:rsid w:val="31CA10F5"/>
    <w:rsid w:val="31D05482"/>
    <w:rsid w:val="32400B34"/>
    <w:rsid w:val="32880B62"/>
    <w:rsid w:val="329E6876"/>
    <w:rsid w:val="32E06473"/>
    <w:rsid w:val="333015F2"/>
    <w:rsid w:val="334B6320"/>
    <w:rsid w:val="3355245B"/>
    <w:rsid w:val="33842BDC"/>
    <w:rsid w:val="33BE628A"/>
    <w:rsid w:val="33BF5BD9"/>
    <w:rsid w:val="33D934D4"/>
    <w:rsid w:val="33F3229E"/>
    <w:rsid w:val="33FE2F6A"/>
    <w:rsid w:val="340E07E5"/>
    <w:rsid w:val="34182670"/>
    <w:rsid w:val="34235BF7"/>
    <w:rsid w:val="34465495"/>
    <w:rsid w:val="346760C6"/>
    <w:rsid w:val="3481071D"/>
    <w:rsid w:val="34876ED1"/>
    <w:rsid w:val="34910D47"/>
    <w:rsid w:val="34C264F2"/>
    <w:rsid w:val="34D01576"/>
    <w:rsid w:val="35062BA8"/>
    <w:rsid w:val="35180A3F"/>
    <w:rsid w:val="353A363F"/>
    <w:rsid w:val="358C5FA8"/>
    <w:rsid w:val="35C15DF1"/>
    <w:rsid w:val="35D82009"/>
    <w:rsid w:val="35E04F51"/>
    <w:rsid w:val="36074A7F"/>
    <w:rsid w:val="36597FF9"/>
    <w:rsid w:val="36923549"/>
    <w:rsid w:val="36AB4A52"/>
    <w:rsid w:val="36B75FBF"/>
    <w:rsid w:val="36BD0C45"/>
    <w:rsid w:val="36D42B88"/>
    <w:rsid w:val="37053F3F"/>
    <w:rsid w:val="37783B24"/>
    <w:rsid w:val="3788778D"/>
    <w:rsid w:val="37BB2F99"/>
    <w:rsid w:val="37D87B90"/>
    <w:rsid w:val="37E00298"/>
    <w:rsid w:val="37F30F41"/>
    <w:rsid w:val="380D5DD2"/>
    <w:rsid w:val="381C5FA5"/>
    <w:rsid w:val="38204E64"/>
    <w:rsid w:val="384302ED"/>
    <w:rsid w:val="38B302F9"/>
    <w:rsid w:val="38E92CAF"/>
    <w:rsid w:val="38F12CD3"/>
    <w:rsid w:val="38F769DC"/>
    <w:rsid w:val="38F94775"/>
    <w:rsid w:val="38FC0A3D"/>
    <w:rsid w:val="392971ED"/>
    <w:rsid w:val="39325651"/>
    <w:rsid w:val="394D5CD8"/>
    <w:rsid w:val="395F028C"/>
    <w:rsid w:val="3992439A"/>
    <w:rsid w:val="39B63D12"/>
    <w:rsid w:val="39BA2977"/>
    <w:rsid w:val="39DD7F9F"/>
    <w:rsid w:val="3A0C12C7"/>
    <w:rsid w:val="3A220510"/>
    <w:rsid w:val="3A5E5D9D"/>
    <w:rsid w:val="3A872856"/>
    <w:rsid w:val="3A904CE5"/>
    <w:rsid w:val="3AA5654F"/>
    <w:rsid w:val="3AE3691A"/>
    <w:rsid w:val="3B0711C0"/>
    <w:rsid w:val="3B3763D1"/>
    <w:rsid w:val="3B46036D"/>
    <w:rsid w:val="3B58144F"/>
    <w:rsid w:val="3B5A18A5"/>
    <w:rsid w:val="3BB5108A"/>
    <w:rsid w:val="3BFD57F0"/>
    <w:rsid w:val="3C2D5997"/>
    <w:rsid w:val="3C2F6E1E"/>
    <w:rsid w:val="3C333E09"/>
    <w:rsid w:val="3C4F64BA"/>
    <w:rsid w:val="3C6033AC"/>
    <w:rsid w:val="3C9C3BAD"/>
    <w:rsid w:val="3CC86FBC"/>
    <w:rsid w:val="3CDA245A"/>
    <w:rsid w:val="3D005C81"/>
    <w:rsid w:val="3D101ACB"/>
    <w:rsid w:val="3D1E06B7"/>
    <w:rsid w:val="3D203CE5"/>
    <w:rsid w:val="3D3F0730"/>
    <w:rsid w:val="3D4664B4"/>
    <w:rsid w:val="3D490AA4"/>
    <w:rsid w:val="3D81794A"/>
    <w:rsid w:val="3D9112CE"/>
    <w:rsid w:val="3DD23E38"/>
    <w:rsid w:val="3E8536DF"/>
    <w:rsid w:val="3EDA0523"/>
    <w:rsid w:val="3EDB647A"/>
    <w:rsid w:val="3EDF3BA9"/>
    <w:rsid w:val="3F0B7ACD"/>
    <w:rsid w:val="3F1805F1"/>
    <w:rsid w:val="3F1F555B"/>
    <w:rsid w:val="3F441B82"/>
    <w:rsid w:val="3F4457DE"/>
    <w:rsid w:val="3F7410AC"/>
    <w:rsid w:val="3FF5367F"/>
    <w:rsid w:val="3FFA3E99"/>
    <w:rsid w:val="400F26F3"/>
    <w:rsid w:val="402F41B3"/>
    <w:rsid w:val="4032100A"/>
    <w:rsid w:val="40460E8F"/>
    <w:rsid w:val="404E5A36"/>
    <w:rsid w:val="4068650C"/>
    <w:rsid w:val="407A6407"/>
    <w:rsid w:val="4096625A"/>
    <w:rsid w:val="40976CC1"/>
    <w:rsid w:val="4099771A"/>
    <w:rsid w:val="40A100F7"/>
    <w:rsid w:val="40C66915"/>
    <w:rsid w:val="40CA1C3A"/>
    <w:rsid w:val="40D43983"/>
    <w:rsid w:val="40E24395"/>
    <w:rsid w:val="40F859D9"/>
    <w:rsid w:val="40FA6FBB"/>
    <w:rsid w:val="411A72BD"/>
    <w:rsid w:val="41554415"/>
    <w:rsid w:val="41DA6BDA"/>
    <w:rsid w:val="4200449D"/>
    <w:rsid w:val="423A3BCC"/>
    <w:rsid w:val="424E57D2"/>
    <w:rsid w:val="428025BB"/>
    <w:rsid w:val="42B26C49"/>
    <w:rsid w:val="4300412B"/>
    <w:rsid w:val="433A6FE6"/>
    <w:rsid w:val="43480868"/>
    <w:rsid w:val="4350713C"/>
    <w:rsid w:val="435A2994"/>
    <w:rsid w:val="436653E0"/>
    <w:rsid w:val="43B139C5"/>
    <w:rsid w:val="43C4431A"/>
    <w:rsid w:val="43E23933"/>
    <w:rsid w:val="43F211C3"/>
    <w:rsid w:val="441463D5"/>
    <w:rsid w:val="4421695F"/>
    <w:rsid w:val="443B65BD"/>
    <w:rsid w:val="44586A4E"/>
    <w:rsid w:val="449C72E5"/>
    <w:rsid w:val="44A819E0"/>
    <w:rsid w:val="44B951CC"/>
    <w:rsid w:val="44CD14E0"/>
    <w:rsid w:val="44E54DA5"/>
    <w:rsid w:val="44E804F4"/>
    <w:rsid w:val="44F20B0B"/>
    <w:rsid w:val="44FE7E30"/>
    <w:rsid w:val="451968AA"/>
    <w:rsid w:val="452E5F4C"/>
    <w:rsid w:val="45612018"/>
    <w:rsid w:val="458946E9"/>
    <w:rsid w:val="459D2FC6"/>
    <w:rsid w:val="45A47C0E"/>
    <w:rsid w:val="45D037C6"/>
    <w:rsid w:val="45EB424F"/>
    <w:rsid w:val="4634253F"/>
    <w:rsid w:val="463C0232"/>
    <w:rsid w:val="46577FD6"/>
    <w:rsid w:val="46BD6D53"/>
    <w:rsid w:val="46C379E8"/>
    <w:rsid w:val="46D955A7"/>
    <w:rsid w:val="46F47F03"/>
    <w:rsid w:val="47133957"/>
    <w:rsid w:val="475D0DE5"/>
    <w:rsid w:val="47973ACF"/>
    <w:rsid w:val="47A07E0C"/>
    <w:rsid w:val="482D5DE5"/>
    <w:rsid w:val="4870272E"/>
    <w:rsid w:val="48CA3FB2"/>
    <w:rsid w:val="49351B44"/>
    <w:rsid w:val="4936071F"/>
    <w:rsid w:val="493B3ABD"/>
    <w:rsid w:val="495C728A"/>
    <w:rsid w:val="49935E76"/>
    <w:rsid w:val="49A423D4"/>
    <w:rsid w:val="49DC7715"/>
    <w:rsid w:val="49E025C6"/>
    <w:rsid w:val="4A023139"/>
    <w:rsid w:val="4A11635D"/>
    <w:rsid w:val="4A7B576F"/>
    <w:rsid w:val="4A844F82"/>
    <w:rsid w:val="4AAA4A8B"/>
    <w:rsid w:val="4ACD528D"/>
    <w:rsid w:val="4AF561A9"/>
    <w:rsid w:val="4B331905"/>
    <w:rsid w:val="4B582F38"/>
    <w:rsid w:val="4BAD1A4B"/>
    <w:rsid w:val="4BE64682"/>
    <w:rsid w:val="4C3C53CD"/>
    <w:rsid w:val="4C4A0649"/>
    <w:rsid w:val="4C4C3C50"/>
    <w:rsid w:val="4C7E5ECA"/>
    <w:rsid w:val="4C876AA5"/>
    <w:rsid w:val="4CC360D7"/>
    <w:rsid w:val="4D0E00FB"/>
    <w:rsid w:val="4D0F0227"/>
    <w:rsid w:val="4D176606"/>
    <w:rsid w:val="4DEC4FB0"/>
    <w:rsid w:val="4E05233D"/>
    <w:rsid w:val="4E075D8A"/>
    <w:rsid w:val="4E1016F8"/>
    <w:rsid w:val="4E34336A"/>
    <w:rsid w:val="4E5E531F"/>
    <w:rsid w:val="4E806A52"/>
    <w:rsid w:val="4E9253DB"/>
    <w:rsid w:val="4EC00FAD"/>
    <w:rsid w:val="4EEF1CFC"/>
    <w:rsid w:val="4EF53F8D"/>
    <w:rsid w:val="4F012831"/>
    <w:rsid w:val="4F2359E4"/>
    <w:rsid w:val="4F2B756B"/>
    <w:rsid w:val="4F2D041A"/>
    <w:rsid w:val="4F5E1C8E"/>
    <w:rsid w:val="4F8F581A"/>
    <w:rsid w:val="4F9843DC"/>
    <w:rsid w:val="4FA80708"/>
    <w:rsid w:val="4FC62A8C"/>
    <w:rsid w:val="4FD35BDF"/>
    <w:rsid w:val="4FE20F0D"/>
    <w:rsid w:val="4FE51552"/>
    <w:rsid w:val="4FEC79B3"/>
    <w:rsid w:val="4FFB5D87"/>
    <w:rsid w:val="4FFE3FA0"/>
    <w:rsid w:val="501855CF"/>
    <w:rsid w:val="50382FA5"/>
    <w:rsid w:val="50504C4B"/>
    <w:rsid w:val="505B1B68"/>
    <w:rsid w:val="506F1210"/>
    <w:rsid w:val="509C6E7C"/>
    <w:rsid w:val="50ED124F"/>
    <w:rsid w:val="51212427"/>
    <w:rsid w:val="5162104E"/>
    <w:rsid w:val="518045A2"/>
    <w:rsid w:val="51BC767A"/>
    <w:rsid w:val="51C352D3"/>
    <w:rsid w:val="524D6DE4"/>
    <w:rsid w:val="52513808"/>
    <w:rsid w:val="52587229"/>
    <w:rsid w:val="525D0B7C"/>
    <w:rsid w:val="5277371D"/>
    <w:rsid w:val="527A2A72"/>
    <w:rsid w:val="52800B40"/>
    <w:rsid w:val="528F2959"/>
    <w:rsid w:val="53861910"/>
    <w:rsid w:val="53984AFF"/>
    <w:rsid w:val="53A039CC"/>
    <w:rsid w:val="53A1505A"/>
    <w:rsid w:val="53E7166F"/>
    <w:rsid w:val="54063E08"/>
    <w:rsid w:val="543437E8"/>
    <w:rsid w:val="545B5F53"/>
    <w:rsid w:val="54E318A4"/>
    <w:rsid w:val="54F73313"/>
    <w:rsid w:val="54F80955"/>
    <w:rsid w:val="54FF4326"/>
    <w:rsid w:val="551B449E"/>
    <w:rsid w:val="55340586"/>
    <w:rsid w:val="555170A7"/>
    <w:rsid w:val="5587536D"/>
    <w:rsid w:val="559B174B"/>
    <w:rsid w:val="55CE0CF4"/>
    <w:rsid w:val="561C60A4"/>
    <w:rsid w:val="563B4D94"/>
    <w:rsid w:val="56961F73"/>
    <w:rsid w:val="56B22A9C"/>
    <w:rsid w:val="56B97EDA"/>
    <w:rsid w:val="56BD398F"/>
    <w:rsid w:val="56BF6179"/>
    <w:rsid w:val="57222857"/>
    <w:rsid w:val="57252BC9"/>
    <w:rsid w:val="57B72A76"/>
    <w:rsid w:val="57C3426C"/>
    <w:rsid w:val="57CE1F93"/>
    <w:rsid w:val="57D17C19"/>
    <w:rsid w:val="583074EB"/>
    <w:rsid w:val="587B1AA6"/>
    <w:rsid w:val="588743D1"/>
    <w:rsid w:val="5887701A"/>
    <w:rsid w:val="58A46944"/>
    <w:rsid w:val="58B97119"/>
    <w:rsid w:val="5912192E"/>
    <w:rsid w:val="597A4688"/>
    <w:rsid w:val="599555BB"/>
    <w:rsid w:val="59BA6938"/>
    <w:rsid w:val="59C0439F"/>
    <w:rsid w:val="5A33752B"/>
    <w:rsid w:val="5AA158D0"/>
    <w:rsid w:val="5ABE2233"/>
    <w:rsid w:val="5AE343C0"/>
    <w:rsid w:val="5AEC47B8"/>
    <w:rsid w:val="5B075C0B"/>
    <w:rsid w:val="5B3D71E8"/>
    <w:rsid w:val="5B447C4C"/>
    <w:rsid w:val="5B4902E9"/>
    <w:rsid w:val="5BBD389F"/>
    <w:rsid w:val="5BCD65DB"/>
    <w:rsid w:val="5BDF5D95"/>
    <w:rsid w:val="5BFE7528"/>
    <w:rsid w:val="5C0E5CE8"/>
    <w:rsid w:val="5C312704"/>
    <w:rsid w:val="5C437350"/>
    <w:rsid w:val="5C6306C5"/>
    <w:rsid w:val="5C9B6C7F"/>
    <w:rsid w:val="5D376466"/>
    <w:rsid w:val="5DBC7F26"/>
    <w:rsid w:val="5DD611EF"/>
    <w:rsid w:val="5E2467F1"/>
    <w:rsid w:val="5E3A0918"/>
    <w:rsid w:val="5E4B59FB"/>
    <w:rsid w:val="5E840A6B"/>
    <w:rsid w:val="5EA02B74"/>
    <w:rsid w:val="5EBF24B2"/>
    <w:rsid w:val="5F1A2B43"/>
    <w:rsid w:val="5F4F2AC9"/>
    <w:rsid w:val="5F5A70D3"/>
    <w:rsid w:val="5F64347F"/>
    <w:rsid w:val="5F905D84"/>
    <w:rsid w:val="5FB837BB"/>
    <w:rsid w:val="5FFF7352"/>
    <w:rsid w:val="604322B3"/>
    <w:rsid w:val="605778A3"/>
    <w:rsid w:val="608C5EF7"/>
    <w:rsid w:val="60B90D20"/>
    <w:rsid w:val="60CC405A"/>
    <w:rsid w:val="61144C15"/>
    <w:rsid w:val="619E0031"/>
    <w:rsid w:val="61AD0F3A"/>
    <w:rsid w:val="61AD560A"/>
    <w:rsid w:val="61E215D8"/>
    <w:rsid w:val="62077066"/>
    <w:rsid w:val="621B3775"/>
    <w:rsid w:val="622D5395"/>
    <w:rsid w:val="62364782"/>
    <w:rsid w:val="625B277B"/>
    <w:rsid w:val="625F25AC"/>
    <w:rsid w:val="62670F7A"/>
    <w:rsid w:val="62FD5918"/>
    <w:rsid w:val="63084A2C"/>
    <w:rsid w:val="63204972"/>
    <w:rsid w:val="634F64AE"/>
    <w:rsid w:val="63616086"/>
    <w:rsid w:val="6394356A"/>
    <w:rsid w:val="63A03284"/>
    <w:rsid w:val="63A7575F"/>
    <w:rsid w:val="63BE12D4"/>
    <w:rsid w:val="63C61B2C"/>
    <w:rsid w:val="63D40BE9"/>
    <w:rsid w:val="63FA478F"/>
    <w:rsid w:val="64102431"/>
    <w:rsid w:val="644D15A0"/>
    <w:rsid w:val="649135D8"/>
    <w:rsid w:val="64A5243A"/>
    <w:rsid w:val="64B14E8B"/>
    <w:rsid w:val="64C0300A"/>
    <w:rsid w:val="64D46B2D"/>
    <w:rsid w:val="64F531DE"/>
    <w:rsid w:val="65204293"/>
    <w:rsid w:val="652B26DC"/>
    <w:rsid w:val="65373578"/>
    <w:rsid w:val="653B5B9C"/>
    <w:rsid w:val="65770474"/>
    <w:rsid w:val="657B0485"/>
    <w:rsid w:val="65E40361"/>
    <w:rsid w:val="65E640DC"/>
    <w:rsid w:val="65EA3164"/>
    <w:rsid w:val="65F06A93"/>
    <w:rsid w:val="665B5D36"/>
    <w:rsid w:val="66920015"/>
    <w:rsid w:val="67054255"/>
    <w:rsid w:val="67133C1D"/>
    <w:rsid w:val="671C609B"/>
    <w:rsid w:val="671F124A"/>
    <w:rsid w:val="67232726"/>
    <w:rsid w:val="6744421C"/>
    <w:rsid w:val="677A33C6"/>
    <w:rsid w:val="67A310BE"/>
    <w:rsid w:val="67DD04C2"/>
    <w:rsid w:val="67DF473A"/>
    <w:rsid w:val="67E96042"/>
    <w:rsid w:val="67F74DC6"/>
    <w:rsid w:val="681F6961"/>
    <w:rsid w:val="682E2004"/>
    <w:rsid w:val="684C3EF9"/>
    <w:rsid w:val="68610A2F"/>
    <w:rsid w:val="68794883"/>
    <w:rsid w:val="68805514"/>
    <w:rsid w:val="69013042"/>
    <w:rsid w:val="69316E2F"/>
    <w:rsid w:val="6948324A"/>
    <w:rsid w:val="694E2071"/>
    <w:rsid w:val="69766163"/>
    <w:rsid w:val="697A3B33"/>
    <w:rsid w:val="699A469F"/>
    <w:rsid w:val="69B638E1"/>
    <w:rsid w:val="69D44760"/>
    <w:rsid w:val="6A1057C9"/>
    <w:rsid w:val="6A3E7378"/>
    <w:rsid w:val="6A520EC7"/>
    <w:rsid w:val="6AF87E20"/>
    <w:rsid w:val="6B237381"/>
    <w:rsid w:val="6B322639"/>
    <w:rsid w:val="6B5E2AD4"/>
    <w:rsid w:val="6B646558"/>
    <w:rsid w:val="6B9F16F0"/>
    <w:rsid w:val="6C116E88"/>
    <w:rsid w:val="6C170F17"/>
    <w:rsid w:val="6C317B4C"/>
    <w:rsid w:val="6C562646"/>
    <w:rsid w:val="6C636C38"/>
    <w:rsid w:val="6CB72043"/>
    <w:rsid w:val="6CBD592D"/>
    <w:rsid w:val="6CDE3F74"/>
    <w:rsid w:val="6CE72790"/>
    <w:rsid w:val="6D027840"/>
    <w:rsid w:val="6D063BC3"/>
    <w:rsid w:val="6D577117"/>
    <w:rsid w:val="6DB34098"/>
    <w:rsid w:val="6DB545B6"/>
    <w:rsid w:val="6DDA6F9D"/>
    <w:rsid w:val="6DE02FB4"/>
    <w:rsid w:val="6DE67D5C"/>
    <w:rsid w:val="6E0E4F46"/>
    <w:rsid w:val="6E4B5EBB"/>
    <w:rsid w:val="6E514CED"/>
    <w:rsid w:val="6E5A444D"/>
    <w:rsid w:val="6EA52B80"/>
    <w:rsid w:val="6EB563D5"/>
    <w:rsid w:val="6ED609FA"/>
    <w:rsid w:val="6ED92677"/>
    <w:rsid w:val="6F01020B"/>
    <w:rsid w:val="6F225983"/>
    <w:rsid w:val="6F393E21"/>
    <w:rsid w:val="6F690802"/>
    <w:rsid w:val="6FCD7E17"/>
    <w:rsid w:val="6FF5085C"/>
    <w:rsid w:val="6FFC5590"/>
    <w:rsid w:val="702365E9"/>
    <w:rsid w:val="70347BD8"/>
    <w:rsid w:val="706D1DD0"/>
    <w:rsid w:val="70856B87"/>
    <w:rsid w:val="70981D26"/>
    <w:rsid w:val="70A156F7"/>
    <w:rsid w:val="70A30263"/>
    <w:rsid w:val="70B36227"/>
    <w:rsid w:val="70C25E58"/>
    <w:rsid w:val="70D527EE"/>
    <w:rsid w:val="710B283E"/>
    <w:rsid w:val="71504107"/>
    <w:rsid w:val="715B5300"/>
    <w:rsid w:val="7185465B"/>
    <w:rsid w:val="71D27F8A"/>
    <w:rsid w:val="71D42CD8"/>
    <w:rsid w:val="71F83A64"/>
    <w:rsid w:val="721F6C37"/>
    <w:rsid w:val="72352E01"/>
    <w:rsid w:val="72553024"/>
    <w:rsid w:val="728F571E"/>
    <w:rsid w:val="72C9003B"/>
    <w:rsid w:val="73122968"/>
    <w:rsid w:val="731F5D5E"/>
    <w:rsid w:val="73252DE2"/>
    <w:rsid w:val="732D281B"/>
    <w:rsid w:val="73397CB9"/>
    <w:rsid w:val="7356030F"/>
    <w:rsid w:val="73994B66"/>
    <w:rsid w:val="73B8751B"/>
    <w:rsid w:val="73C51AD5"/>
    <w:rsid w:val="73FA6DEF"/>
    <w:rsid w:val="741620D6"/>
    <w:rsid w:val="741E793C"/>
    <w:rsid w:val="745E3944"/>
    <w:rsid w:val="74AA3A14"/>
    <w:rsid w:val="74EE729D"/>
    <w:rsid w:val="74F00B7D"/>
    <w:rsid w:val="74FC36F5"/>
    <w:rsid w:val="75450CC9"/>
    <w:rsid w:val="755D3BFC"/>
    <w:rsid w:val="758F7CD1"/>
    <w:rsid w:val="75940DE4"/>
    <w:rsid w:val="75B62C52"/>
    <w:rsid w:val="75F714AD"/>
    <w:rsid w:val="75FA535A"/>
    <w:rsid w:val="761539EF"/>
    <w:rsid w:val="761F761F"/>
    <w:rsid w:val="7635099D"/>
    <w:rsid w:val="76825BE3"/>
    <w:rsid w:val="769823D1"/>
    <w:rsid w:val="769F738A"/>
    <w:rsid w:val="76D04266"/>
    <w:rsid w:val="76F5662B"/>
    <w:rsid w:val="773A79A0"/>
    <w:rsid w:val="77762421"/>
    <w:rsid w:val="77AF5D6F"/>
    <w:rsid w:val="77B56B1F"/>
    <w:rsid w:val="780F09F4"/>
    <w:rsid w:val="78174DFD"/>
    <w:rsid w:val="7826692E"/>
    <w:rsid w:val="782B7FAE"/>
    <w:rsid w:val="78A90480"/>
    <w:rsid w:val="78DA4DCA"/>
    <w:rsid w:val="793217C8"/>
    <w:rsid w:val="794B2BBC"/>
    <w:rsid w:val="7958309E"/>
    <w:rsid w:val="7961411E"/>
    <w:rsid w:val="79747D50"/>
    <w:rsid w:val="79833CBC"/>
    <w:rsid w:val="79C11199"/>
    <w:rsid w:val="79C41C6E"/>
    <w:rsid w:val="79C5070F"/>
    <w:rsid w:val="79FC0E4A"/>
    <w:rsid w:val="7A0B7F39"/>
    <w:rsid w:val="7A364017"/>
    <w:rsid w:val="7A4C65EF"/>
    <w:rsid w:val="7A8265E1"/>
    <w:rsid w:val="7A9E4034"/>
    <w:rsid w:val="7AE915E2"/>
    <w:rsid w:val="7B1A0057"/>
    <w:rsid w:val="7B2405A4"/>
    <w:rsid w:val="7B261270"/>
    <w:rsid w:val="7B2D76E2"/>
    <w:rsid w:val="7B542B3B"/>
    <w:rsid w:val="7B5631B6"/>
    <w:rsid w:val="7B686D42"/>
    <w:rsid w:val="7B841746"/>
    <w:rsid w:val="7BA03B27"/>
    <w:rsid w:val="7BC8252C"/>
    <w:rsid w:val="7BE81BC2"/>
    <w:rsid w:val="7C426AF6"/>
    <w:rsid w:val="7C6C5AC7"/>
    <w:rsid w:val="7C8B200A"/>
    <w:rsid w:val="7CAE0FAB"/>
    <w:rsid w:val="7CB05DBA"/>
    <w:rsid w:val="7CC6544B"/>
    <w:rsid w:val="7D01345C"/>
    <w:rsid w:val="7D0239FF"/>
    <w:rsid w:val="7D267364"/>
    <w:rsid w:val="7D2E7875"/>
    <w:rsid w:val="7D5E40CD"/>
    <w:rsid w:val="7D8C61A3"/>
    <w:rsid w:val="7DB33770"/>
    <w:rsid w:val="7DCD56F2"/>
    <w:rsid w:val="7DCF725D"/>
    <w:rsid w:val="7E076C3F"/>
    <w:rsid w:val="7E0E0D3E"/>
    <w:rsid w:val="7E150DDC"/>
    <w:rsid w:val="7E1D0A2A"/>
    <w:rsid w:val="7E2B3D8E"/>
    <w:rsid w:val="7E5A06B1"/>
    <w:rsid w:val="7E6C7D49"/>
    <w:rsid w:val="7E755FEB"/>
    <w:rsid w:val="7EDE1E7C"/>
    <w:rsid w:val="7F001CE7"/>
    <w:rsid w:val="7F730652"/>
    <w:rsid w:val="7F877D3D"/>
    <w:rsid w:val="7FE066CF"/>
    <w:rsid w:val="7FE47E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0" w:semiHidden="0" w:name="heading 2"/>
    <w:lsdException w:qFormat="1" w:uiPriority="0" w:name="heading 3"/>
    <w:lsdException w:qFormat="1" w:unhideWhenUsed="0"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paragraph" w:styleId="4">
    <w:name w:val="heading 4"/>
    <w:basedOn w:val="1"/>
    <w:next w:val="1"/>
    <w:link w:val="75"/>
    <w:qFormat/>
    <w:uiPriority w:val="9"/>
    <w:pPr>
      <w:keepNext/>
      <w:keepLines/>
      <w:spacing w:before="280" w:after="290" w:line="376" w:lineRule="auto"/>
      <w:outlineLvl w:val="3"/>
    </w:pPr>
    <w:rPr>
      <w:rFonts w:ascii="Cambria" w:hAnsi="Cambria"/>
      <w:b/>
      <w:bCs/>
      <w:sz w:val="28"/>
      <w:szCs w:val="28"/>
    </w:rPr>
  </w:style>
  <w:style w:type="character" w:default="1" w:styleId="24">
    <w:name w:val="Default Paragraph Font"/>
    <w:semiHidden/>
    <w:unhideWhenUsed/>
    <w:qFormat/>
    <w:uiPriority w:val="1"/>
  </w:style>
  <w:style w:type="table" w:default="1" w:styleId="22">
    <w:name w:val="Normal Table"/>
    <w:semiHidden/>
    <w:unhideWhenUsed/>
    <w:uiPriority w:val="99"/>
    <w:tblPr>
      <w:tblCellMar>
        <w:top w:w="0" w:type="dxa"/>
        <w:left w:w="108" w:type="dxa"/>
        <w:bottom w:w="0" w:type="dxa"/>
        <w:right w:w="108" w:type="dxa"/>
      </w:tblCellMar>
    </w:tblPr>
  </w:style>
  <w:style w:type="paragraph" w:styleId="5">
    <w:name w:val="Note Heading"/>
    <w:basedOn w:val="1"/>
    <w:next w:val="1"/>
    <w:qFormat/>
    <w:uiPriority w:val="0"/>
    <w:pPr>
      <w:spacing w:line="360" w:lineRule="auto"/>
      <w:jc w:val="center"/>
    </w:pPr>
    <w:rPr>
      <w:sz w:val="24"/>
    </w:rPr>
  </w:style>
  <w:style w:type="paragraph" w:styleId="6">
    <w:name w:val="Normal Indent"/>
    <w:basedOn w:val="1"/>
    <w:qFormat/>
    <w:uiPriority w:val="0"/>
    <w:pPr>
      <w:ind w:firstLine="420"/>
    </w:pPr>
    <w:rPr>
      <w:szCs w:val="20"/>
    </w:rPr>
  </w:style>
  <w:style w:type="paragraph" w:styleId="7">
    <w:name w:val="caption"/>
    <w:basedOn w:val="1"/>
    <w:next w:val="1"/>
    <w:qFormat/>
    <w:uiPriority w:val="0"/>
    <w:pPr>
      <w:keepNext/>
      <w:spacing w:line="360" w:lineRule="auto"/>
      <w:ind w:firstLine="200" w:firstLineChars="200"/>
      <w:jc w:val="center"/>
    </w:pPr>
    <w:rPr>
      <w:rFonts w:ascii="Cambria" w:hAnsi="Cambria" w:eastAsia="黑体"/>
      <w:sz w:val="24"/>
      <w:szCs w:val="20"/>
    </w:rPr>
  </w:style>
  <w:style w:type="paragraph" w:styleId="8">
    <w:name w:val="Document Map"/>
    <w:basedOn w:val="1"/>
    <w:link w:val="30"/>
    <w:qFormat/>
    <w:uiPriority w:val="0"/>
    <w:rPr>
      <w:rFonts w:ascii="宋体"/>
      <w:sz w:val="18"/>
      <w:szCs w:val="18"/>
    </w:rPr>
  </w:style>
  <w:style w:type="paragraph" w:styleId="9">
    <w:name w:val="annotation text"/>
    <w:basedOn w:val="1"/>
    <w:link w:val="28"/>
    <w:semiHidden/>
    <w:qFormat/>
    <w:uiPriority w:val="0"/>
    <w:pPr>
      <w:jc w:val="left"/>
    </w:pPr>
    <w:rPr>
      <w:kern w:val="0"/>
      <w:sz w:val="24"/>
      <w:szCs w:val="20"/>
    </w:rPr>
  </w:style>
  <w:style w:type="paragraph" w:styleId="10">
    <w:name w:val="Body Text"/>
    <w:basedOn w:val="1"/>
    <w:link w:val="41"/>
    <w:qFormat/>
    <w:uiPriority w:val="0"/>
    <w:pPr>
      <w:widowControl/>
      <w:snapToGrid w:val="0"/>
      <w:spacing w:before="60" w:after="160" w:line="259" w:lineRule="auto"/>
      <w:ind w:right="113"/>
    </w:pPr>
    <w:rPr>
      <w:kern w:val="0"/>
      <w:sz w:val="18"/>
      <w:szCs w:val="20"/>
    </w:rPr>
  </w:style>
  <w:style w:type="paragraph" w:styleId="11">
    <w:name w:val="Body Text Indent"/>
    <w:basedOn w:val="1"/>
    <w:link w:val="38"/>
    <w:qFormat/>
    <w:uiPriority w:val="0"/>
    <w:pPr>
      <w:spacing w:after="120"/>
      <w:ind w:left="420" w:leftChars="200"/>
    </w:pPr>
    <w:rPr>
      <w:kern w:val="0"/>
      <w:sz w:val="24"/>
      <w:szCs w:val="20"/>
    </w:rPr>
  </w:style>
  <w:style w:type="paragraph" w:styleId="12">
    <w:name w:val="Block Text"/>
    <w:basedOn w:val="1"/>
    <w:qFormat/>
    <w:uiPriority w:val="0"/>
    <w:pPr>
      <w:autoSpaceDE w:val="0"/>
      <w:autoSpaceDN w:val="0"/>
      <w:adjustRightInd w:val="0"/>
      <w:spacing w:before="1" w:line="537" w:lineRule="exact"/>
      <w:ind w:left="88" w:right="6"/>
    </w:pPr>
    <w:rPr>
      <w:kern w:val="0"/>
      <w:sz w:val="28"/>
      <w:szCs w:val="20"/>
    </w:rPr>
  </w:style>
  <w:style w:type="paragraph" w:styleId="13">
    <w:name w:val="Plain Text"/>
    <w:basedOn w:val="1"/>
    <w:qFormat/>
    <w:uiPriority w:val="0"/>
    <w:pPr>
      <w:spacing w:line="240" w:lineRule="atLeast"/>
    </w:pPr>
    <w:rPr>
      <w:rFonts w:ascii="宋体" w:hAnsi="Courier New"/>
      <w:sz w:val="28"/>
    </w:rPr>
  </w:style>
  <w:style w:type="paragraph" w:styleId="14">
    <w:name w:val="Date"/>
    <w:basedOn w:val="1"/>
    <w:next w:val="1"/>
    <w:link w:val="32"/>
    <w:qFormat/>
    <w:uiPriority w:val="0"/>
    <w:pPr>
      <w:ind w:left="100" w:leftChars="2500"/>
    </w:pPr>
    <w:rPr>
      <w:kern w:val="0"/>
      <w:sz w:val="24"/>
      <w:szCs w:val="20"/>
    </w:rPr>
  </w:style>
  <w:style w:type="paragraph" w:styleId="15">
    <w:name w:val="Balloon Text"/>
    <w:basedOn w:val="1"/>
    <w:link w:val="29"/>
    <w:semiHidden/>
    <w:qFormat/>
    <w:uiPriority w:val="0"/>
    <w:rPr>
      <w:kern w:val="0"/>
      <w:sz w:val="18"/>
      <w:szCs w:val="20"/>
    </w:rPr>
  </w:style>
  <w:style w:type="paragraph" w:styleId="16">
    <w:name w:val="footer"/>
    <w:basedOn w:val="1"/>
    <w:link w:val="43"/>
    <w:qFormat/>
    <w:uiPriority w:val="99"/>
    <w:pPr>
      <w:tabs>
        <w:tab w:val="center" w:pos="4153"/>
        <w:tab w:val="right" w:pos="8306"/>
      </w:tabs>
      <w:snapToGrid w:val="0"/>
      <w:jc w:val="left"/>
    </w:pPr>
    <w:rPr>
      <w:kern w:val="0"/>
      <w:sz w:val="18"/>
      <w:szCs w:val="20"/>
    </w:rPr>
  </w:style>
  <w:style w:type="paragraph" w:styleId="17">
    <w:name w:val="header"/>
    <w:basedOn w:val="1"/>
    <w:link w:val="34"/>
    <w:qFormat/>
    <w:uiPriority w:val="0"/>
    <w:pPr>
      <w:pBdr>
        <w:bottom w:val="single" w:color="auto" w:sz="6" w:space="1"/>
      </w:pBdr>
      <w:tabs>
        <w:tab w:val="center" w:pos="4153"/>
        <w:tab w:val="right" w:pos="8306"/>
      </w:tabs>
      <w:snapToGrid w:val="0"/>
      <w:jc w:val="center"/>
    </w:pPr>
    <w:rPr>
      <w:kern w:val="0"/>
      <w:sz w:val="18"/>
      <w:szCs w:val="20"/>
    </w:rPr>
  </w:style>
  <w:style w:type="paragraph" w:styleId="18">
    <w:name w:val="Normal (Web)"/>
    <w:basedOn w:val="1"/>
    <w:link w:val="42"/>
    <w:qFormat/>
    <w:uiPriority w:val="0"/>
    <w:pPr>
      <w:widowControl/>
      <w:spacing w:before="100" w:beforeAutospacing="1" w:after="100" w:afterAutospacing="1"/>
      <w:jc w:val="left"/>
    </w:pPr>
    <w:rPr>
      <w:rFonts w:ascii="宋体" w:hAnsi="宋体"/>
      <w:kern w:val="0"/>
      <w:sz w:val="24"/>
      <w:szCs w:val="20"/>
    </w:rPr>
  </w:style>
  <w:style w:type="paragraph" w:styleId="19">
    <w:name w:val="annotation subject"/>
    <w:basedOn w:val="9"/>
    <w:next w:val="9"/>
    <w:link w:val="40"/>
    <w:semiHidden/>
    <w:qFormat/>
    <w:uiPriority w:val="0"/>
    <w:rPr>
      <w:b/>
      <w:kern w:val="2"/>
    </w:rPr>
  </w:style>
  <w:style w:type="paragraph" w:styleId="20">
    <w:name w:val="Body Text First Indent"/>
    <w:basedOn w:val="10"/>
    <w:qFormat/>
    <w:uiPriority w:val="0"/>
    <w:pPr>
      <w:widowControl w:val="0"/>
      <w:spacing w:after="120"/>
      <w:ind w:firstLine="420" w:firstLineChars="100"/>
    </w:pPr>
    <w:rPr>
      <w:kern w:val="2"/>
      <w:sz w:val="21"/>
      <w:szCs w:val="24"/>
    </w:rPr>
  </w:style>
  <w:style w:type="paragraph" w:styleId="21">
    <w:name w:val="Body Text First Indent 2"/>
    <w:basedOn w:val="11"/>
    <w:next w:val="1"/>
    <w:qFormat/>
    <w:uiPriority w:val="0"/>
    <w:pPr>
      <w:ind w:firstLine="420" w:firstLineChars="200"/>
    </w:pPr>
    <w:rPr>
      <w:kern w:val="2"/>
    </w:rPr>
  </w:style>
  <w:style w:type="table" w:styleId="23">
    <w:name w:val="Table Grid"/>
    <w:basedOn w:val="2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page number"/>
    <w:basedOn w:val="24"/>
    <w:qFormat/>
    <w:uiPriority w:val="0"/>
  </w:style>
  <w:style w:type="character" w:styleId="26">
    <w:name w:val="Hyperlink"/>
    <w:basedOn w:val="24"/>
    <w:qFormat/>
    <w:uiPriority w:val="0"/>
    <w:rPr>
      <w:color w:val="0000FF"/>
      <w:u w:val="single"/>
    </w:rPr>
  </w:style>
  <w:style w:type="character" w:styleId="27">
    <w:name w:val="annotation reference"/>
    <w:semiHidden/>
    <w:qFormat/>
    <w:uiPriority w:val="0"/>
    <w:rPr>
      <w:sz w:val="21"/>
    </w:rPr>
  </w:style>
  <w:style w:type="character" w:customStyle="1" w:styleId="28">
    <w:name w:val="批注文字 字符"/>
    <w:link w:val="9"/>
    <w:qFormat/>
    <w:uiPriority w:val="0"/>
    <w:rPr>
      <w:rFonts w:ascii="Times New Roman" w:hAnsi="Times New Roman" w:eastAsia="宋体"/>
      <w:sz w:val="24"/>
    </w:rPr>
  </w:style>
  <w:style w:type="character" w:customStyle="1" w:styleId="29">
    <w:name w:val="批注框文本 字符"/>
    <w:link w:val="15"/>
    <w:semiHidden/>
    <w:qFormat/>
    <w:uiPriority w:val="0"/>
    <w:rPr>
      <w:rFonts w:ascii="Times New Roman" w:hAnsi="Times New Roman" w:eastAsia="宋体"/>
      <w:sz w:val="18"/>
    </w:rPr>
  </w:style>
  <w:style w:type="character" w:customStyle="1" w:styleId="30">
    <w:name w:val="文档结构图 字符"/>
    <w:link w:val="8"/>
    <w:qFormat/>
    <w:uiPriority w:val="0"/>
    <w:rPr>
      <w:rFonts w:ascii="宋体"/>
      <w:kern w:val="2"/>
      <w:sz w:val="18"/>
      <w:szCs w:val="18"/>
    </w:rPr>
  </w:style>
  <w:style w:type="character" w:customStyle="1" w:styleId="31">
    <w:name w:val="日期 字符"/>
    <w:semiHidden/>
    <w:qFormat/>
    <w:uiPriority w:val="0"/>
    <w:rPr>
      <w:rFonts w:ascii="Times New Roman" w:hAnsi="Times New Roman" w:eastAsia="宋体"/>
      <w:sz w:val="24"/>
    </w:rPr>
  </w:style>
  <w:style w:type="character" w:customStyle="1" w:styleId="32">
    <w:name w:val="日期 字符1"/>
    <w:link w:val="14"/>
    <w:qFormat/>
    <w:uiPriority w:val="0"/>
    <w:rPr>
      <w:rFonts w:ascii="Times New Roman" w:hAnsi="Times New Roman" w:eastAsia="宋体"/>
      <w:sz w:val="24"/>
    </w:rPr>
  </w:style>
  <w:style w:type="character" w:customStyle="1" w:styleId="33">
    <w:name w:val="页脚 字符"/>
    <w:basedOn w:val="24"/>
    <w:qFormat/>
    <w:uiPriority w:val="99"/>
  </w:style>
  <w:style w:type="character" w:customStyle="1" w:styleId="34">
    <w:name w:val="页眉 字符"/>
    <w:link w:val="17"/>
    <w:qFormat/>
    <w:uiPriority w:val="0"/>
    <w:rPr>
      <w:sz w:val="18"/>
    </w:rPr>
  </w:style>
  <w:style w:type="character" w:customStyle="1" w:styleId="35">
    <w:name w:val="表格 Char"/>
    <w:link w:val="36"/>
    <w:qFormat/>
    <w:uiPriority w:val="0"/>
    <w:rPr>
      <w:rFonts w:ascii="宋体"/>
      <w:sz w:val="21"/>
    </w:rPr>
  </w:style>
  <w:style w:type="paragraph" w:customStyle="1" w:styleId="36">
    <w:name w:val="表格"/>
    <w:basedOn w:val="1"/>
    <w:next w:val="1"/>
    <w:link w:val="35"/>
    <w:qFormat/>
    <w:uiPriority w:val="0"/>
    <w:pPr>
      <w:adjustRightInd w:val="0"/>
      <w:snapToGrid w:val="0"/>
      <w:spacing w:beforeLines="10" w:afterLines="10" w:line="259" w:lineRule="auto"/>
      <w:jc w:val="center"/>
    </w:pPr>
    <w:rPr>
      <w:rFonts w:ascii="宋体"/>
      <w:kern w:val="0"/>
      <w:szCs w:val="20"/>
    </w:rPr>
  </w:style>
  <w:style w:type="character" w:customStyle="1" w:styleId="37">
    <w:name w:val="批注文字 字符1"/>
    <w:semiHidden/>
    <w:qFormat/>
    <w:uiPriority w:val="0"/>
    <w:rPr>
      <w:rFonts w:ascii="Times New Roman" w:hAnsi="Times New Roman" w:eastAsia="宋体"/>
      <w:sz w:val="24"/>
    </w:rPr>
  </w:style>
  <w:style w:type="character" w:customStyle="1" w:styleId="38">
    <w:name w:val="正文文本缩进 字符"/>
    <w:link w:val="11"/>
    <w:semiHidden/>
    <w:qFormat/>
    <w:uiPriority w:val="0"/>
    <w:rPr>
      <w:rFonts w:ascii="Times New Roman" w:hAnsi="Times New Roman" w:eastAsia="宋体"/>
      <w:sz w:val="24"/>
    </w:rPr>
  </w:style>
  <w:style w:type="character" w:customStyle="1" w:styleId="39">
    <w:name w:val="正文文本 字符1"/>
    <w:semiHidden/>
    <w:qFormat/>
    <w:uiPriority w:val="0"/>
    <w:rPr>
      <w:rFonts w:ascii="Times New Roman" w:hAnsi="Times New Roman" w:eastAsia="宋体"/>
      <w:sz w:val="24"/>
    </w:rPr>
  </w:style>
  <w:style w:type="character" w:customStyle="1" w:styleId="40">
    <w:name w:val="批注主题 字符"/>
    <w:link w:val="19"/>
    <w:semiHidden/>
    <w:qFormat/>
    <w:uiPriority w:val="0"/>
    <w:rPr>
      <w:rFonts w:ascii="Times New Roman" w:hAnsi="Times New Roman" w:eastAsia="宋体"/>
      <w:b/>
      <w:kern w:val="2"/>
      <w:sz w:val="24"/>
    </w:rPr>
  </w:style>
  <w:style w:type="character" w:customStyle="1" w:styleId="41">
    <w:name w:val="正文文本 字符"/>
    <w:link w:val="10"/>
    <w:qFormat/>
    <w:uiPriority w:val="0"/>
    <w:rPr>
      <w:sz w:val="18"/>
    </w:rPr>
  </w:style>
  <w:style w:type="character" w:customStyle="1" w:styleId="42">
    <w:name w:val="普通(网站) 字符"/>
    <w:link w:val="18"/>
    <w:qFormat/>
    <w:uiPriority w:val="0"/>
    <w:rPr>
      <w:rFonts w:ascii="宋体" w:hAnsi="宋体" w:eastAsia="宋体"/>
      <w:sz w:val="24"/>
    </w:rPr>
  </w:style>
  <w:style w:type="character" w:customStyle="1" w:styleId="43">
    <w:name w:val="页脚 字符1"/>
    <w:link w:val="16"/>
    <w:qFormat/>
    <w:uiPriority w:val="99"/>
    <w:rPr>
      <w:sz w:val="18"/>
    </w:rPr>
  </w:style>
  <w:style w:type="paragraph" w:customStyle="1" w:styleId="44">
    <w:name w:val="图表"/>
    <w:basedOn w:val="1"/>
    <w:qFormat/>
    <w:uiPriority w:val="0"/>
    <w:pPr>
      <w:tabs>
        <w:tab w:val="left" w:pos="1322"/>
        <w:tab w:val="center" w:pos="4635"/>
      </w:tabs>
      <w:adjustRightInd w:val="0"/>
      <w:snapToGrid w:val="0"/>
      <w:jc w:val="center"/>
      <w:outlineLvl w:val="1"/>
    </w:pPr>
    <w:rPr>
      <w:rFonts w:eastAsia="黑体"/>
      <w:b/>
      <w:snapToGrid w:val="0"/>
      <w:kern w:val="0"/>
      <w:sz w:val="22"/>
      <w:szCs w:val="22"/>
    </w:rPr>
  </w:style>
  <w:style w:type="paragraph" w:customStyle="1" w:styleId="45">
    <w:name w:val="样式 表中文字 +"/>
    <w:basedOn w:val="1"/>
    <w:qFormat/>
    <w:uiPriority w:val="0"/>
    <w:pPr>
      <w:adjustRightInd w:val="0"/>
      <w:snapToGrid w:val="0"/>
      <w:spacing w:line="0" w:lineRule="atLeast"/>
      <w:jc w:val="center"/>
    </w:pPr>
    <w:rPr>
      <w:rFonts w:hAnsi="宋体"/>
      <w:bCs/>
      <w:color w:val="000000"/>
      <w:kern w:val="0"/>
      <w:szCs w:val="21"/>
    </w:rPr>
  </w:style>
  <w:style w:type="paragraph" w:customStyle="1" w:styleId="46">
    <w:name w:val="表格内容"/>
    <w:basedOn w:val="1"/>
    <w:qFormat/>
    <w:uiPriority w:val="0"/>
    <w:pPr>
      <w:spacing w:line="288" w:lineRule="auto"/>
      <w:jc w:val="center"/>
    </w:pPr>
  </w:style>
  <w:style w:type="paragraph" w:customStyle="1" w:styleId="47">
    <w:name w:val="样式2"/>
    <w:basedOn w:val="1"/>
    <w:next w:val="10"/>
    <w:unhideWhenUsed/>
    <w:qFormat/>
    <w:uiPriority w:val="0"/>
    <w:pPr>
      <w:spacing w:line="520" w:lineRule="exact"/>
      <w:ind w:firstLine="480" w:firstLineChars="200"/>
    </w:pPr>
    <w:rPr>
      <w:rFonts w:hint="eastAsia"/>
      <w:sz w:val="24"/>
    </w:rPr>
  </w:style>
  <w:style w:type="paragraph" w:customStyle="1" w:styleId="48">
    <w:name w:val="表内 定"/>
    <w:basedOn w:val="1"/>
    <w:qFormat/>
    <w:uiPriority w:val="0"/>
    <w:pPr>
      <w:snapToGrid w:val="0"/>
      <w:jc w:val="left"/>
    </w:pPr>
    <w:rPr>
      <w:rFonts w:eastAsia="仿宋"/>
      <w:color w:val="000000"/>
      <w:kern w:val="0"/>
      <w:sz w:val="20"/>
      <w:szCs w:val="22"/>
    </w:rPr>
  </w:style>
  <w:style w:type="paragraph" w:customStyle="1" w:styleId="49">
    <w:name w:val="00"/>
    <w:basedOn w:val="1"/>
    <w:link w:val="76"/>
    <w:qFormat/>
    <w:uiPriority w:val="0"/>
    <w:pPr>
      <w:spacing w:line="520" w:lineRule="exact"/>
      <w:ind w:firstLine="200" w:firstLineChars="200"/>
    </w:pPr>
    <w:rPr>
      <w:rFonts w:ascii="宋体" w:hAnsi="宋体"/>
      <w:sz w:val="24"/>
      <w:szCs w:val="20"/>
    </w:rPr>
  </w:style>
  <w:style w:type="paragraph" w:customStyle="1" w:styleId="50">
    <w:name w:val="p0"/>
    <w:basedOn w:val="1"/>
    <w:qFormat/>
    <w:uiPriority w:val="0"/>
    <w:pPr>
      <w:widowControl/>
    </w:pPr>
    <w:rPr>
      <w:kern w:val="0"/>
      <w:szCs w:val="21"/>
    </w:rPr>
  </w:style>
  <w:style w:type="paragraph" w:customStyle="1" w:styleId="51">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52">
    <w:name w:val="报告正文"/>
    <w:basedOn w:val="1"/>
    <w:link w:val="80"/>
    <w:qFormat/>
    <w:uiPriority w:val="0"/>
    <w:pPr>
      <w:spacing w:line="480" w:lineRule="exact"/>
      <w:ind w:firstLine="200" w:firstLineChars="200"/>
    </w:pPr>
    <w:rPr>
      <w:color w:val="000000"/>
      <w:sz w:val="24"/>
    </w:rPr>
  </w:style>
  <w:style w:type="paragraph" w:customStyle="1" w:styleId="53">
    <w:name w:val="正文文本缩进 31"/>
    <w:basedOn w:val="1"/>
    <w:qFormat/>
    <w:uiPriority w:val="0"/>
    <w:pPr>
      <w:spacing w:line="500" w:lineRule="atLeast"/>
      <w:ind w:left="-105" w:firstLine="585"/>
    </w:pPr>
    <w:rPr>
      <w:rFonts w:ascii="宋体"/>
      <w:sz w:val="24"/>
      <w:szCs w:val="20"/>
    </w:rPr>
  </w:style>
  <w:style w:type="paragraph" w:customStyle="1" w:styleId="54">
    <w:name w:val="样式1"/>
    <w:basedOn w:val="2"/>
    <w:next w:val="10"/>
    <w:unhideWhenUsed/>
    <w:qFormat/>
    <w:uiPriority w:val="0"/>
    <w:pPr>
      <w:spacing w:before="240" w:after="240" w:line="520" w:lineRule="exact"/>
    </w:pPr>
    <w:rPr>
      <w:rFonts w:hint="eastAsia"/>
      <w:sz w:val="28"/>
    </w:rPr>
  </w:style>
  <w:style w:type="paragraph" w:customStyle="1" w:styleId="55">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56">
    <w:name w:val="3级标题"/>
    <w:basedOn w:val="1"/>
    <w:qFormat/>
    <w:uiPriority w:val="0"/>
    <w:pPr>
      <w:spacing w:line="500" w:lineRule="exact"/>
      <w:outlineLvl w:val="2"/>
    </w:pPr>
    <w:rPr>
      <w:rFonts w:ascii="楷体_GB2312" w:eastAsia="楷体_GB2312"/>
      <w:sz w:val="28"/>
    </w:rPr>
  </w:style>
  <w:style w:type="paragraph" w:customStyle="1" w:styleId="57">
    <w:name w:val="Default"/>
    <w:unhideWhenUsed/>
    <w:qFormat/>
    <w:uiPriority w:val="0"/>
    <w:pPr>
      <w:widowControl w:val="0"/>
      <w:autoSpaceDE w:val="0"/>
      <w:autoSpaceDN w:val="0"/>
      <w:adjustRightInd w:val="0"/>
    </w:pPr>
    <w:rPr>
      <w:rFonts w:hint="eastAsia" w:ascii="Times New Roman" w:hAnsi="Times New Roman" w:eastAsia="Times New Roman" w:cs="Times New Roman"/>
      <w:color w:val="000000"/>
      <w:sz w:val="24"/>
      <w:lang w:val="en-US" w:eastAsia="zh-CN" w:bidi="ar-SA"/>
    </w:rPr>
  </w:style>
  <w:style w:type="paragraph" w:customStyle="1" w:styleId="58">
    <w:name w:val="表头"/>
    <w:basedOn w:val="1"/>
    <w:next w:val="1"/>
    <w:qFormat/>
    <w:uiPriority w:val="0"/>
    <w:pPr>
      <w:jc w:val="center"/>
    </w:pPr>
    <w:rPr>
      <w:b/>
    </w:rPr>
  </w:style>
  <w:style w:type="paragraph" w:customStyle="1" w:styleId="59">
    <w:name w:val="新格式表"/>
    <w:basedOn w:val="1"/>
    <w:qFormat/>
    <w:uiPriority w:val="0"/>
    <w:pPr>
      <w:adjustRightInd w:val="0"/>
      <w:snapToGrid w:val="0"/>
      <w:spacing w:line="0" w:lineRule="atLeast"/>
      <w:jc w:val="center"/>
    </w:pPr>
    <w:rPr>
      <w:kern w:val="0"/>
      <w:szCs w:val="21"/>
    </w:rPr>
  </w:style>
  <w:style w:type="paragraph" w:customStyle="1" w:styleId="60">
    <w:name w:val="报告书"/>
    <w:basedOn w:val="1"/>
    <w:qFormat/>
    <w:uiPriority w:val="0"/>
    <w:pPr>
      <w:adjustRightInd w:val="0"/>
      <w:snapToGrid w:val="0"/>
      <w:spacing w:line="440" w:lineRule="atLeast"/>
      <w:ind w:firstLine="482"/>
      <w:textAlignment w:val="baseline"/>
    </w:pPr>
    <w:rPr>
      <w:rFonts w:ascii="宋体"/>
      <w:kern w:val="24"/>
      <w:sz w:val="24"/>
      <w:szCs w:val="20"/>
    </w:rPr>
  </w:style>
  <w:style w:type="paragraph" w:customStyle="1" w:styleId="61">
    <w:name w:val="正文标题"/>
    <w:qFormat/>
    <w:uiPriority w:val="0"/>
    <w:pPr>
      <w:spacing w:line="480" w:lineRule="exact"/>
      <w:jc w:val="both"/>
    </w:pPr>
    <w:rPr>
      <w:rFonts w:ascii="Times New Roman" w:hAnsi="Times New Roman" w:eastAsia="黑体" w:cs="Times New Roman"/>
      <w:kern w:val="2"/>
      <w:sz w:val="24"/>
      <w:lang w:val="en-US" w:eastAsia="zh-CN" w:bidi="ar-SA"/>
    </w:rPr>
  </w:style>
  <w:style w:type="paragraph" w:customStyle="1" w:styleId="62">
    <w:name w:val="p16"/>
    <w:basedOn w:val="1"/>
    <w:qFormat/>
    <w:uiPriority w:val="0"/>
    <w:pPr>
      <w:widowControl/>
      <w:spacing w:after="120"/>
    </w:pPr>
    <w:rPr>
      <w:kern w:val="0"/>
      <w:szCs w:val="21"/>
    </w:rPr>
  </w:style>
  <w:style w:type="paragraph" w:customStyle="1" w:styleId="63">
    <w:name w:val="Table Paragraph"/>
    <w:basedOn w:val="1"/>
    <w:qFormat/>
    <w:uiPriority w:val="1"/>
    <w:pPr>
      <w:autoSpaceDE w:val="0"/>
      <w:autoSpaceDN w:val="0"/>
      <w:adjustRightInd w:val="0"/>
      <w:jc w:val="left"/>
    </w:pPr>
    <w:rPr>
      <w:kern w:val="0"/>
      <w:sz w:val="24"/>
    </w:rPr>
  </w:style>
  <w:style w:type="character" w:customStyle="1" w:styleId="64">
    <w:name w:val="占位符文本1"/>
    <w:basedOn w:val="24"/>
    <w:unhideWhenUsed/>
    <w:qFormat/>
    <w:uiPriority w:val="99"/>
    <w:rPr>
      <w:color w:val="808080"/>
    </w:rPr>
  </w:style>
  <w:style w:type="paragraph" w:customStyle="1" w:styleId="65">
    <w:name w:val="样式3"/>
    <w:basedOn w:val="47"/>
    <w:unhideWhenUsed/>
    <w:qFormat/>
    <w:uiPriority w:val="0"/>
    <w:pPr>
      <w:spacing w:after="50" w:afterLines="50"/>
      <w:ind w:firstLine="0" w:firstLineChars="0"/>
      <w:outlineLvl w:val="1"/>
    </w:pPr>
    <w:rPr>
      <w:b/>
      <w:sz w:val="28"/>
    </w:rPr>
  </w:style>
  <w:style w:type="character" w:customStyle="1" w:styleId="66">
    <w:name w:val="正文内容 Char"/>
    <w:link w:val="67"/>
    <w:uiPriority w:val="0"/>
    <w:rPr>
      <w:rFonts w:ascii="宋体"/>
      <w:kern w:val="2"/>
      <w:sz w:val="24"/>
      <w:szCs w:val="24"/>
      <w:lang w:val="zh-CN" w:eastAsia="zh-CN"/>
    </w:rPr>
  </w:style>
  <w:style w:type="paragraph" w:customStyle="1" w:styleId="67">
    <w:name w:val="正文内容"/>
    <w:basedOn w:val="1"/>
    <w:link w:val="66"/>
    <w:qFormat/>
    <w:uiPriority w:val="0"/>
    <w:pPr>
      <w:spacing w:line="360" w:lineRule="auto"/>
      <w:ind w:firstLine="200" w:firstLineChars="200"/>
    </w:pPr>
    <w:rPr>
      <w:rFonts w:ascii="宋体"/>
      <w:sz w:val="24"/>
      <w:lang w:val="zh-CN" w:eastAsia="zh-CN"/>
    </w:rPr>
  </w:style>
  <w:style w:type="character" w:customStyle="1" w:styleId="68">
    <w:name w:val="常用正文样式 Char1"/>
    <w:link w:val="69"/>
    <w:qFormat/>
    <w:uiPriority w:val="0"/>
    <w:rPr>
      <w:rFonts w:ascii="宋体" w:hAnsi="宋体" w:cs="宋体"/>
      <w:bCs/>
      <w:kern w:val="28"/>
      <w:sz w:val="24"/>
    </w:rPr>
  </w:style>
  <w:style w:type="paragraph" w:customStyle="1" w:styleId="69">
    <w:name w:val="常用正文样式"/>
    <w:basedOn w:val="1"/>
    <w:link w:val="68"/>
    <w:qFormat/>
    <w:uiPriority w:val="0"/>
    <w:pPr>
      <w:spacing w:line="360" w:lineRule="auto"/>
      <w:ind w:firstLine="480" w:firstLineChars="200"/>
    </w:pPr>
    <w:rPr>
      <w:rFonts w:ascii="宋体" w:hAnsi="宋体" w:cs="宋体"/>
      <w:bCs/>
      <w:kern w:val="28"/>
      <w:sz w:val="24"/>
      <w:szCs w:val="20"/>
    </w:rPr>
  </w:style>
  <w:style w:type="paragraph" w:styleId="70">
    <w:name w:val="List Paragraph"/>
    <w:basedOn w:val="1"/>
    <w:qFormat/>
    <w:uiPriority w:val="99"/>
    <w:pPr>
      <w:ind w:firstLine="420" w:firstLineChars="200"/>
    </w:pPr>
    <w:rPr>
      <w:rFonts w:asciiTheme="minorHAnsi" w:hAnsiTheme="minorHAnsi" w:eastAsiaTheme="minorEastAsia" w:cstheme="minorBidi"/>
      <w:szCs w:val="22"/>
    </w:rPr>
  </w:style>
  <w:style w:type="paragraph" w:customStyle="1" w:styleId="71">
    <w:name w:val="Body Text 22"/>
    <w:basedOn w:val="1"/>
    <w:qFormat/>
    <w:uiPriority w:val="0"/>
    <w:pPr>
      <w:adjustRightInd w:val="0"/>
      <w:spacing w:line="440" w:lineRule="atLeast"/>
      <w:ind w:firstLine="480"/>
      <w:textAlignment w:val="baseline"/>
    </w:pPr>
    <w:rPr>
      <w:rFonts w:eastAsia="仿宋_GB2312"/>
      <w:sz w:val="24"/>
      <w:szCs w:val="20"/>
    </w:rPr>
  </w:style>
  <w:style w:type="paragraph" w:customStyle="1" w:styleId="72">
    <w:name w:val="表格文字"/>
    <w:next w:val="10"/>
    <w:qFormat/>
    <w:uiPriority w:val="0"/>
    <w:pPr>
      <w:widowControl w:val="0"/>
      <w:autoSpaceDE w:val="0"/>
      <w:autoSpaceDN w:val="0"/>
      <w:adjustRightInd w:val="0"/>
      <w:textAlignment w:val="baseline"/>
    </w:pPr>
    <w:rPr>
      <w:rFonts w:ascii="宋体" w:hAnsi="Times New Roman" w:eastAsia="宋体" w:cs="Times New Roman"/>
      <w:color w:val="000000"/>
      <w:sz w:val="24"/>
      <w:lang w:val="en-US" w:eastAsia="zh-CN" w:bidi="ar-SA"/>
    </w:rPr>
  </w:style>
  <w:style w:type="paragraph" w:customStyle="1" w:styleId="73">
    <w:name w:val="Char Char Char Char Char2 Char Char Char Char"/>
    <w:basedOn w:val="1"/>
    <w:semiHidden/>
    <w:qFormat/>
    <w:uiPriority w:val="0"/>
    <w:pPr>
      <w:adjustRightInd w:val="0"/>
      <w:snapToGrid w:val="0"/>
      <w:spacing w:line="360" w:lineRule="auto"/>
      <w:ind w:firstLine="200" w:firstLineChars="200"/>
    </w:pPr>
    <w:rPr>
      <w:rFonts w:ascii="宋体" w:hAnsi="宋体" w:cs="宋体"/>
      <w:sz w:val="24"/>
      <w:szCs w:val="26"/>
    </w:rPr>
  </w:style>
  <w:style w:type="paragraph" w:customStyle="1" w:styleId="74">
    <w:name w:val="列出段落1"/>
    <w:basedOn w:val="1"/>
    <w:uiPriority w:val="99"/>
    <w:pPr>
      <w:ind w:firstLine="420" w:firstLineChars="200"/>
    </w:pPr>
  </w:style>
  <w:style w:type="character" w:customStyle="1" w:styleId="75">
    <w:name w:val="标题 4 字符"/>
    <w:link w:val="4"/>
    <w:uiPriority w:val="9"/>
    <w:rPr>
      <w:rFonts w:ascii="Cambria" w:hAnsi="Cambria"/>
      <w:b/>
      <w:bCs/>
      <w:kern w:val="2"/>
      <w:sz w:val="28"/>
      <w:szCs w:val="28"/>
    </w:rPr>
  </w:style>
  <w:style w:type="character" w:customStyle="1" w:styleId="76">
    <w:name w:val="00 Char"/>
    <w:link w:val="49"/>
    <w:locked/>
    <w:uiPriority w:val="0"/>
    <w:rPr>
      <w:rFonts w:ascii="宋体" w:hAnsi="宋体"/>
      <w:kern w:val="2"/>
      <w:sz w:val="24"/>
    </w:rPr>
  </w:style>
  <w:style w:type="paragraph" w:customStyle="1" w:styleId="77">
    <w:name w:val="无间隔1"/>
    <w:qFormat/>
    <w:uiPriority w:val="1"/>
    <w:pPr>
      <w:widowControl w:val="0"/>
      <w:jc w:val="center"/>
    </w:pPr>
    <w:rPr>
      <w:rFonts w:ascii="Calibri" w:hAnsi="Calibri" w:eastAsia="宋体" w:cs="Times New Roman"/>
      <w:kern w:val="2"/>
      <w:sz w:val="21"/>
      <w:szCs w:val="22"/>
      <w:lang w:val="en-US" w:eastAsia="zh-CN" w:bidi="ar-SA"/>
    </w:rPr>
  </w:style>
  <w:style w:type="paragraph" w:customStyle="1" w:styleId="78">
    <w:name w:val="Revision"/>
    <w:hidden/>
    <w:semiHidden/>
    <w:uiPriority w:val="99"/>
    <w:rPr>
      <w:rFonts w:ascii="Times New Roman" w:hAnsi="Times New Roman" w:eastAsia="宋体" w:cs="Times New Roman"/>
      <w:kern w:val="2"/>
      <w:sz w:val="21"/>
      <w:szCs w:val="24"/>
      <w:lang w:val="en-US" w:eastAsia="zh-CN" w:bidi="ar-SA"/>
    </w:rPr>
  </w:style>
  <w:style w:type="character" w:styleId="79">
    <w:name w:val="Placeholder Text"/>
    <w:basedOn w:val="24"/>
    <w:semiHidden/>
    <w:uiPriority w:val="99"/>
    <w:rPr>
      <w:color w:val="808080"/>
    </w:rPr>
  </w:style>
  <w:style w:type="character" w:customStyle="1" w:styleId="80">
    <w:name w:val="报告正文 Char"/>
    <w:link w:val="52"/>
    <w:uiPriority w:val="0"/>
    <w:rPr>
      <w:color w:val="000000"/>
      <w:kern w:val="2"/>
      <w:sz w:val="24"/>
      <w:szCs w:val="24"/>
    </w:rPr>
  </w:style>
  <w:style w:type="paragraph" w:customStyle="1" w:styleId="81">
    <w:name w:val="c表内容"/>
    <w:basedOn w:val="1"/>
    <w:qFormat/>
    <w:uiPriority w:val="0"/>
    <w:pPr>
      <w:spacing w:line="320" w:lineRule="exact"/>
      <w:jc w:val="center"/>
    </w:pPr>
    <w:rPr>
      <w:szCs w:val="21"/>
    </w:rPr>
  </w:style>
  <w:style w:type="character" w:customStyle="1" w:styleId="82">
    <w:name w:val="表1 Char"/>
    <w:link w:val="83"/>
    <w:qFormat/>
    <w:uiPriority w:val="0"/>
    <w:rPr>
      <w:b/>
      <w:sz w:val="21"/>
      <w:szCs w:val="21"/>
    </w:rPr>
  </w:style>
  <w:style w:type="paragraph" w:customStyle="1" w:styleId="83">
    <w:name w:val="表1"/>
    <w:basedOn w:val="1"/>
    <w:link w:val="82"/>
    <w:uiPriority w:val="0"/>
    <w:pPr>
      <w:ind w:firstLine="723" w:firstLineChars="200"/>
      <w:jc w:val="center"/>
    </w:pPr>
    <w:rPr>
      <w:b/>
      <w:kern w:val="0"/>
      <w:szCs w:val="21"/>
    </w:rPr>
  </w:style>
  <w:style w:type="character" w:customStyle="1" w:styleId="84">
    <w:name w:val="font21"/>
    <w:basedOn w:val="24"/>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3.emf"/><Relationship Id="rId8" Type="http://schemas.openxmlformats.org/officeDocument/2006/relationships/oleObject" Target="embeddings/Microsoft_Visio_2003-2010___1.vsd"/><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2" Type="http://schemas.openxmlformats.org/officeDocument/2006/relationships/fontTable" Target="fontTable.xml"/><Relationship Id="rId41" Type="http://schemas.openxmlformats.org/officeDocument/2006/relationships/customXml" Target="../customXml/item2.xml"/><Relationship Id="rId40" Type="http://schemas.openxmlformats.org/officeDocument/2006/relationships/numbering" Target="numbering.xml"/><Relationship Id="rId4" Type="http://schemas.openxmlformats.org/officeDocument/2006/relationships/footer" Target="footer2.xml"/><Relationship Id="rId39" Type="http://schemas.openxmlformats.org/officeDocument/2006/relationships/customXml" Target="../customXml/item1.xml"/><Relationship Id="rId38" Type="http://schemas.openxmlformats.org/officeDocument/2006/relationships/image" Target="media/image28.jpeg"/><Relationship Id="rId37" Type="http://schemas.openxmlformats.org/officeDocument/2006/relationships/image" Target="media/image27.jpeg"/><Relationship Id="rId36" Type="http://schemas.openxmlformats.org/officeDocument/2006/relationships/image" Target="media/image26.jpeg"/><Relationship Id="rId35" Type="http://schemas.openxmlformats.org/officeDocument/2006/relationships/image" Target="media/image25.jpeg"/><Relationship Id="rId34" Type="http://schemas.openxmlformats.org/officeDocument/2006/relationships/image" Target="media/image24.jpeg"/><Relationship Id="rId33" Type="http://schemas.openxmlformats.org/officeDocument/2006/relationships/image" Target="media/image23.jpeg"/><Relationship Id="rId32" Type="http://schemas.openxmlformats.org/officeDocument/2006/relationships/image" Target="media/image22.jpeg"/><Relationship Id="rId31" Type="http://schemas.openxmlformats.org/officeDocument/2006/relationships/image" Target="media/image21.jpeg"/><Relationship Id="rId30" Type="http://schemas.openxmlformats.org/officeDocument/2006/relationships/image" Target="media/image20.jpeg"/><Relationship Id="rId3" Type="http://schemas.openxmlformats.org/officeDocument/2006/relationships/footer" Target="footer1.xml"/><Relationship Id="rId29" Type="http://schemas.openxmlformats.org/officeDocument/2006/relationships/image" Target="media/image19.jpeg"/><Relationship Id="rId28" Type="http://schemas.openxmlformats.org/officeDocument/2006/relationships/image" Target="media/image18.jpeg"/><Relationship Id="rId27" Type="http://schemas.openxmlformats.org/officeDocument/2006/relationships/image" Target="media/image17.jpeg"/><Relationship Id="rId26" Type="http://schemas.openxmlformats.org/officeDocument/2006/relationships/image" Target="media/image16.jpeg"/><Relationship Id="rId25" Type="http://schemas.openxmlformats.org/officeDocument/2006/relationships/image" Target="media/image15.jpeg"/><Relationship Id="rId24" Type="http://schemas.openxmlformats.org/officeDocument/2006/relationships/image" Target="media/image14.jpeg"/><Relationship Id="rId23" Type="http://schemas.openxmlformats.org/officeDocument/2006/relationships/image" Target="media/image13.jpeg"/><Relationship Id="rId22" Type="http://schemas.openxmlformats.org/officeDocument/2006/relationships/image" Target="media/image12.jpeg"/><Relationship Id="rId21" Type="http://schemas.openxmlformats.org/officeDocument/2006/relationships/image" Target="media/image11.jpeg"/><Relationship Id="rId20" Type="http://schemas.openxmlformats.org/officeDocument/2006/relationships/image" Target="media/image10.jpeg"/><Relationship Id="rId2" Type="http://schemas.openxmlformats.org/officeDocument/2006/relationships/settings" Target="settings.xml"/><Relationship Id="rId19" Type="http://schemas.openxmlformats.org/officeDocument/2006/relationships/image" Target="media/image9.jpeg"/><Relationship Id="rId18" Type="http://schemas.openxmlformats.org/officeDocument/2006/relationships/image" Target="media/image8.jpeg"/><Relationship Id="rId17" Type="http://schemas.openxmlformats.org/officeDocument/2006/relationships/image" Target="media/image7.wmf"/><Relationship Id="rId16" Type="http://schemas.openxmlformats.org/officeDocument/2006/relationships/oleObject" Target="embeddings/oleObject1.bin"/><Relationship Id="rId15" Type="http://schemas.openxmlformats.org/officeDocument/2006/relationships/image" Target="media/image6.emf"/><Relationship Id="rId14" Type="http://schemas.openxmlformats.org/officeDocument/2006/relationships/oleObject" Target="embeddings/Microsoft_Visio_2003-2010___4.vsd"/><Relationship Id="rId13" Type="http://schemas.openxmlformats.org/officeDocument/2006/relationships/image" Target="media/image5.emf"/><Relationship Id="rId12" Type="http://schemas.openxmlformats.org/officeDocument/2006/relationships/oleObject" Target="embeddings/Microsoft_Visio_2003-2010___3.vsd"/><Relationship Id="rId11" Type="http://schemas.openxmlformats.org/officeDocument/2006/relationships/image" Target="media/image4.emf"/><Relationship Id="rId10" Type="http://schemas.openxmlformats.org/officeDocument/2006/relationships/oleObject" Target="embeddings/Microsoft_Visio_2003-2010___2.vsd"/><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3E61148-DAE2-49C7-BEF2-0BD1B7944900}">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89</Pages>
  <Words>7177</Words>
  <Characters>40911</Characters>
  <Lines>340</Lines>
  <Paragraphs>95</Paragraphs>
  <TotalTime>4</TotalTime>
  <ScaleCrop>false</ScaleCrop>
  <LinksUpToDate>false</LinksUpToDate>
  <CharactersWithSpaces>47993</CharactersWithSpaces>
  <Application>WPS Office_11.1.0.11294_F1E327BC-269C-435d-A152-05C5408002CA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2022-01-25T10:08:00Z</dcterms:created>
  <dc:creator>lhj</dc:creator>
  <cp:lastModifiedBy>海生</cp:lastModifiedBy>
  <cp:lastPrinted>2021-09-03T08:54:00Z</cp:lastPrinted>
  <dcterms:modified xsi:type="dcterms:W3CDTF">2022-02-14T03:22:53Z</dcterms:modified>
  <dc:title>附件2</dc:title>
  <cp:revision>140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ICV">
    <vt:lpwstr>1A9EA065C8E74B188D2594CC9D4E9080</vt:lpwstr>
  </property>
</Properties>
</file>