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9" w:firstLineChars="700"/>
        <w:rPr>
          <w:rFonts w:hint="eastAsia" w:ascii="仿宋_GB2312" w:hAnsi="仿宋_GB2312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9" w:firstLineChars="700"/>
        <w:rPr>
          <w:rFonts w:hint="eastAsia"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鲁环监表〔20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20</w:t>
      </w:r>
      <w:r>
        <w:rPr>
          <w:rFonts w:hint="eastAsia" w:ascii="仿宋_GB2312" w:hAnsi="仿宋_GB2312" w:eastAsia="仿宋_GB2312"/>
          <w:b/>
          <w:sz w:val="32"/>
        </w:rPr>
        <w:t>〕</w:t>
      </w:r>
      <w:r>
        <w:rPr>
          <w:rFonts w:hint="eastAsia" w:ascii="仿宋_GB2312" w:hAnsi="仿宋_GB2312" w:eastAsia="仿宋_GB2312"/>
          <w:b/>
          <w:sz w:val="32"/>
          <w:lang w:val="en-US" w:eastAsia="zh-CN"/>
        </w:rPr>
        <w:t>54</w:t>
      </w:r>
      <w:r>
        <w:rPr>
          <w:rFonts w:hint="eastAsia" w:ascii="仿宋_GB2312" w:hAnsi="仿宋_GB2312" w:eastAsia="仿宋_GB2312"/>
          <w:b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rPr>
          <w:rFonts w:hint="eastAsia" w:ascii="仿宋_GB2312" w:hAnsi="仿宋_GB2312" w:eastAsia="仿宋_GB2312"/>
          <w:b/>
          <w:sz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关于鲁山县</w:t>
      </w: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润隆再生资源回收有限公司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cs="宋体"/>
          <w:b/>
          <w:bCs w:val="0"/>
          <w:sz w:val="44"/>
          <w:szCs w:val="44"/>
          <w:lang w:eastAsia="zh-CN"/>
        </w:rPr>
        <w:t>建筑垃圾资源化处置项目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环境影响报告表的审批意见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鲁山县润隆再生资源回收有限公司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你公司报送的由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平顶山市润青环保科技有限公司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编制的《鲁山县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润隆再生资源回收有限公司建筑垃圾资源化处置项目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环境影响报告表（报批版）》（以下简称《报告表》）、专家评审意见收悉。该项目审批事宜已在县政府网站公示期满。按照《中华人民共和国环境影响评价法》的有关规定，经研究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批复如下: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一、你公司该项目位于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山县张良镇周楼村，占地面积27049.38平方米，年处理建筑垃圾100万吨，项目新建原料库、生产车间、成品库、办公楼、门卫室等。生产工艺为：建筑垃圾→人工分选→破碎→筛分→清洗→成品。项目总投资6000万元，其中环保投资156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项目符合当前国家产业政策和相关规划，选址可行。该《报告表》格式规范，评价重点突出，对工艺、污染因子、污染物产排的分析基本清楚，提出的污染防治措施可行。从环保角度，我局原则同意你公司按照《报告表》中所列项目的性质、规模、工艺、地点和环境保护措施及环保投资进行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三、项目在建设及运营中应全面落实《报告表》提出的各项环境保护措施，并重点做好以下工作：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1、大气污染防治措施：</w:t>
      </w:r>
      <w:r>
        <w:rPr>
          <w:rFonts w:hint="eastAsia" w:ascii="仿宋" w:hAnsi="仿宋" w:eastAsia="仿宋"/>
          <w:sz w:val="32"/>
          <w:szCs w:val="32"/>
          <w:lang w:eastAsia="zh-CN"/>
        </w:rPr>
        <w:t>建设期严格按照《蓝天行动计划》要求，落实“六个百分之百”的大气污染防治措施。运营期</w:t>
      </w:r>
      <w:r>
        <w:rPr>
          <w:rFonts w:hint="eastAsia" w:ascii="仿宋" w:hAnsi="仿宋" w:eastAsia="仿宋"/>
          <w:sz w:val="32"/>
          <w:szCs w:val="32"/>
        </w:rPr>
        <w:t>生产车间全封闭，生产线废气由</w:t>
      </w:r>
      <w:r>
        <w:rPr>
          <w:rFonts w:ascii="仿宋" w:hAnsi="仿宋" w:eastAsia="仿宋"/>
          <w:sz w:val="32"/>
          <w:szCs w:val="32"/>
        </w:rPr>
        <w:t>袋式除尘器处理后</w:t>
      </w:r>
      <w:r>
        <w:rPr>
          <w:rFonts w:hint="eastAsia" w:ascii="仿宋" w:hAnsi="仿宋" w:eastAsia="仿宋"/>
          <w:sz w:val="32"/>
          <w:szCs w:val="32"/>
          <w:lang w:eastAsia="zh-CN"/>
        </w:rPr>
        <w:t>达标后</w:t>
      </w:r>
      <w:r>
        <w:rPr>
          <w:rFonts w:ascii="仿宋" w:hAnsi="仿宋" w:eastAsia="仿宋"/>
          <w:sz w:val="32"/>
          <w:szCs w:val="32"/>
        </w:rPr>
        <w:t>经排气筒排放；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原料库封闭，加装雾化喷淋装置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；厂区运输道路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硬化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，及时清扫，定时洒水，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设置车辆自动冲洗系统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对运输车辆及时冲洗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firstLine="640" w:firstLineChars="200"/>
      </w:pP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2、废水污染防治措施：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生产设备清洗废水经沉淀、压滤、絮凝处理后回用于生产；车辆冲洗废水经沉淀后循环使用；生活污水经化粪池处理后用于周边农田肥田。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center"/>
        <w:rPr>
          <w:rFonts w:ascii="仿宋" w:hAnsi="仿宋" w:eastAsia="仿宋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2"/>
          <w:sz w:val="32"/>
          <w:szCs w:val="32"/>
          <w:shd w:val="clear" w:color="auto" w:fill="FFFFFF"/>
        </w:rPr>
        <w:t>3、固废污染防治措施：袋式除尘器收集的粉尘、压滤机产生的泥饼收集后定期外售；生活垃圾收集后交由环卫部门处置；废机油作为危险废物收集暂存于危废暂存间，定期交由有资质单位处置。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center"/>
        <w:rPr>
          <w:rFonts w:hint="eastAsia" w:ascii="仿宋" w:hAnsi="仿宋" w:eastAsia="仿宋" w:cs="宋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2"/>
          <w:sz w:val="32"/>
          <w:szCs w:val="32"/>
          <w:shd w:val="clear" w:color="auto" w:fill="FFFFFF"/>
        </w:rPr>
        <w:t>4、噪音污染防治措施：项目噪声源采取厂房隔声、基础减振等措施，再经距离衰减后，确保噪音达标排放。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四、项目建成后及时组织竣工</w:t>
      </w:r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环境保护验收，未经验收或验收不合格，不得正式投入运营。如需对本项目环评批复文件同意的有关内容进行调整，必须以书面形式向我局报告，并按有关规定办理相关手续</w:t>
      </w:r>
      <w:bookmarkStart w:id="0" w:name="_GoBack"/>
      <w:bookmarkEnd w:id="0"/>
      <w:r>
        <w:rPr>
          <w:rFonts w:ascii="仿宋" w:hAnsi="仿宋" w:eastAsia="仿宋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" w:hAnsi="仿宋" w:eastAsia="仿宋"/>
          <w:sz w:val="32"/>
          <w:szCs w:val="32"/>
        </w:rPr>
        <w:t>该项目由鲁山县环境监察大队负责日常环境监督管理。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经办人：王海生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54B6"/>
    <w:rsid w:val="05265C0F"/>
    <w:rsid w:val="126A78BB"/>
    <w:rsid w:val="1EEC2EB4"/>
    <w:rsid w:val="229B4A2C"/>
    <w:rsid w:val="2609177A"/>
    <w:rsid w:val="26FD4432"/>
    <w:rsid w:val="2D0B1EC1"/>
    <w:rsid w:val="4051385D"/>
    <w:rsid w:val="40E431FD"/>
    <w:rsid w:val="4BC511BE"/>
    <w:rsid w:val="53232050"/>
    <w:rsid w:val="552D3664"/>
    <w:rsid w:val="55FA0635"/>
    <w:rsid w:val="78A24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7">
    <w:name w:val="Normal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海生</cp:lastModifiedBy>
  <dcterms:modified xsi:type="dcterms:W3CDTF">2020-12-30T09:57:55Z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