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（十六）</w:t>
      </w:r>
      <w:bookmarkStart w:id="0" w:name="_GoBack"/>
      <w:r>
        <w:rPr>
          <w:rFonts w:hint="eastAsia" w:ascii="方正小标宋_GBK" w:hAnsi="方正小标宋_GBK" w:eastAsia="方正小标宋_GBK"/>
          <w:b w:val="0"/>
          <w:bCs w:val="0"/>
          <w:sz w:val="30"/>
        </w:rPr>
        <w:t>农村危房改造领域基层政务公开标准目录</w:t>
      </w:r>
    </w:p>
    <w:bookmarkEnd w:id="0"/>
    <w:tbl>
      <w:tblPr>
        <w:tblStyle w:val="3"/>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02"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2018"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noWrap w:val="0"/>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noWrap w:val="0"/>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2" w:hRule="atLeas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noWrap w:val="0"/>
            <w:vAlign w:val="center"/>
          </w:tcPr>
          <w:p>
            <w:pPr>
              <w:jc w:val="center"/>
              <w:rPr>
                <w:rFonts w:hint="eastAsia" w:ascii="仿宋_GB2312" w:hAnsi="宋体" w:eastAsia="仿宋_GB2312"/>
                <w:color w:val="000000"/>
                <w:sz w:val="18"/>
                <w:szCs w:val="18"/>
              </w:rPr>
            </w:pPr>
          </w:p>
        </w:tc>
        <w:tc>
          <w:tcPr>
            <w:tcW w:w="551"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noWrap w:val="0"/>
            <w:vAlign w:val="center"/>
          </w:tcPr>
          <w:p>
            <w:pPr>
              <w:widowControl/>
              <w:rPr>
                <w:rFonts w:hint="eastAsia" w:ascii="仿宋_GB2312" w:hAnsi="宋体" w:eastAsia="仿宋_GB2312"/>
                <w:color w:val="000000"/>
                <w:sz w:val="18"/>
                <w:szCs w:val="18"/>
              </w:rPr>
            </w:pPr>
          </w:p>
        </w:tc>
        <w:tc>
          <w:tcPr>
            <w:tcW w:w="1800" w:type="dxa"/>
            <w:vMerge w:val="continue"/>
            <w:noWrap w:val="0"/>
            <w:vAlign w:val="center"/>
          </w:tcPr>
          <w:p>
            <w:pPr>
              <w:widowControl/>
              <w:rPr>
                <w:rFonts w:hint="eastAsia" w:ascii="仿宋_GB2312" w:hAnsi="宋体" w:eastAsia="仿宋_GB2312"/>
                <w:color w:val="000000"/>
                <w:sz w:val="18"/>
                <w:szCs w:val="18"/>
              </w:rPr>
            </w:pPr>
          </w:p>
        </w:tc>
        <w:tc>
          <w:tcPr>
            <w:tcW w:w="1402" w:type="dxa"/>
            <w:vMerge w:val="continue"/>
            <w:noWrap w:val="0"/>
            <w:vAlign w:val="center"/>
          </w:tcPr>
          <w:p>
            <w:pPr>
              <w:widowControl/>
              <w:rPr>
                <w:rFonts w:hint="eastAsia"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2018" w:type="dxa"/>
            <w:vMerge w:val="continue"/>
            <w:noWrap w:val="0"/>
            <w:vAlign w:val="center"/>
          </w:tcPr>
          <w:p>
            <w:pPr>
              <w:widowControl/>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09" w:type="dxa"/>
            <w:vMerge w:val="continue"/>
            <w:noWrap w:val="0"/>
            <w:vAlign w:val="center"/>
          </w:tcPr>
          <w:p>
            <w:pPr>
              <w:jc w:val="center"/>
              <w:rPr>
                <w:rFonts w:hint="eastAsia" w:ascii="仿宋_GB2312" w:hAnsi="宋体" w:eastAsia="仿宋_GB2312"/>
                <w:color w:val="000000"/>
                <w:sz w:val="18"/>
                <w:szCs w:val="18"/>
              </w:rPr>
            </w:pPr>
          </w:p>
        </w:tc>
        <w:tc>
          <w:tcPr>
            <w:tcW w:w="551"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c>
          <w:tcPr>
            <w:tcW w:w="720" w:type="dxa"/>
            <w:vMerge w:val="continue"/>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noWrap w:val="0"/>
            <w:vAlign w:val="center"/>
          </w:tcPr>
          <w:p>
            <w:pPr>
              <w:widowControl/>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noWrap w:val="0"/>
            <w:vAlign w:val="center"/>
          </w:tcPr>
          <w:p>
            <w:pPr>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noWrap w:val="0"/>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noWrap w:val="0"/>
            <w:vAlign w:val="center"/>
          </w:tcPr>
          <w:p>
            <w:pPr>
              <w:jc w:val="center"/>
              <w:rPr>
                <w:rFonts w:hint="eastAsia" w:ascii="仿宋_GB2312" w:hAnsi="宋体" w:eastAsia="仿宋_GB2312"/>
                <w:color w:val="000000"/>
                <w:sz w:val="18"/>
                <w:szCs w:val="18"/>
              </w:rPr>
            </w:pPr>
          </w:p>
        </w:tc>
        <w:tc>
          <w:tcPr>
            <w:tcW w:w="126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noWrap w:val="0"/>
            <w:vAlign w:val="center"/>
          </w:tcPr>
          <w:p>
            <w:pPr>
              <w:rPr>
                <w:rFonts w:hint="eastAsia" w:ascii="仿宋_GB2312" w:hAnsi="宋体" w:eastAsia="仿宋_GB2312"/>
                <w:color w:val="000000"/>
                <w:sz w:val="18"/>
                <w:szCs w:val="18"/>
              </w:rPr>
            </w:pPr>
          </w:p>
        </w:tc>
        <w:tc>
          <w:tcPr>
            <w:tcW w:w="1402"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r>
        <w:rPr>
          <w:rFonts w:ascii="仿宋_GB2312" w:eastAsia="仿宋_GB2312"/>
          <w:sz w:val="18"/>
          <w:szCs w:val="18"/>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65A4B"/>
    <w:rsid w:val="2116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2020-07-28T00:57:00Z</dcterms:created>
  <dc:creator>备用账号</dc:creator>
  <cp:lastModifiedBy>备用账号</cp:lastModifiedBy>
  <dcterms:modified xsi:type="dcterms:W3CDTF">2020-07-28T00:59:00Z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