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w:t>
      </w:r>
      <w:bookmarkStart w:id="1" w:name="_GoBack"/>
      <w:r>
        <w:rPr>
          <w:rFonts w:hint="eastAsia" w:ascii="方正小标宋_GBK" w:hAnsi="方正小标宋_GBK" w:eastAsia="方正小标宋_GBK"/>
          <w:b w:val="0"/>
          <w:bCs w:val="0"/>
          <w:sz w:val="30"/>
        </w:rPr>
        <w:t>公共资源交易领域基层政务公开标准目录</w:t>
      </w:r>
      <w:bookmarkEnd w:id="1"/>
      <w:bookmarkEnd w:id="0"/>
    </w:p>
    <w:tbl>
      <w:tblPr>
        <w:tblStyle w:val="4"/>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每年3月31日前，公布年度国有建设用地供应计划</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rPr>
              <w:t>鲁山县自然资源局</w:t>
            </w:r>
          </w:p>
        </w:tc>
        <w:tc>
          <w:tcPr>
            <w:tcW w:w="1856" w:type="dxa"/>
            <w:noWrap w:val="0"/>
            <w:vAlign w:val="center"/>
          </w:tcPr>
          <w:p>
            <w:pPr>
              <w:rPr>
                <w:rFonts w:ascii="仿宋_GB2312" w:eastAsia="仿宋_GB2312"/>
                <w:sz w:val="18"/>
                <w:szCs w:val="18"/>
              </w:rPr>
            </w:pPr>
            <w:r>
              <w:rPr>
                <w:rFonts w:ascii="仿宋_GB2312" w:hAnsi="宋体" w:eastAsia="仿宋_GB2312"/>
                <w:color w:val="000000"/>
                <w:sz w:val="18"/>
                <w:szCs w:val="18"/>
              </w:rPr>
              <w:t>■政府网站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　</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rPr>
              <w:t>鲁山县自然资源局</w:t>
            </w:r>
          </w:p>
        </w:tc>
        <w:tc>
          <w:tcPr>
            <w:tcW w:w="1856" w:type="dxa"/>
            <w:noWrap w:val="0"/>
            <w:vAlign w:val="center"/>
          </w:tcPr>
          <w:p>
            <w:pPr>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招标拍卖挂牌活动结束后的10个工作日内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国有建设用地供应结果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rPr>
              <w:t>鲁山县自然资源局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bl>
    <w:p>
      <w:pPr>
        <w:pStyle w:val="2"/>
        <w:jc w:val="center"/>
        <w:rPr>
          <w:rFonts w:ascii="方正小标宋_GBK" w:hAnsi="方正小标宋_GBK" w:eastAsia="方正小标宋_GBK"/>
          <w:b w:val="0"/>
          <w:bCs w:val="0"/>
          <w:sz w:val="30"/>
        </w:rPr>
      </w:pPr>
    </w:p>
    <w:tbl>
      <w:tblPr>
        <w:tblStyle w:val="4"/>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noWrap w:val="0"/>
            <w:vAlign w:val="center"/>
          </w:tcPr>
          <w:p>
            <w:pPr>
              <w:rPr>
                <w:rFonts w:hint="eastAsia" w:ascii="仿宋_GB2312" w:hAnsi="宋体" w:eastAsia="仿宋_GB2312"/>
                <w:sz w:val="18"/>
                <w:szCs w:val="18"/>
              </w:rPr>
            </w:pP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540" w:type="dxa"/>
            <w:noWrap w:val="0"/>
            <w:vAlign w:val="center"/>
          </w:tcPr>
          <w:p>
            <w:pPr>
              <w:jc w:val="center"/>
              <w:rPr>
                <w:rFonts w:hint="eastAsia" w:ascii="仿宋_GB2312" w:hAnsi="宋体" w:eastAsia="仿宋_GB2312" w:cs="宋体"/>
                <w:sz w:val="18"/>
                <w:szCs w:val="18"/>
              </w:rPr>
            </w:pP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p>
        </w:tc>
        <w:tc>
          <w:tcPr>
            <w:tcW w:w="3364" w:type="dxa"/>
            <w:noWrap w:val="0"/>
            <w:vAlign w:val="center"/>
          </w:tcPr>
          <w:p>
            <w:pPr>
              <w:rPr>
                <w:rFonts w:hint="eastAsia" w:ascii="仿宋_GB2312" w:hAnsi="宋体" w:eastAsia="仿宋_GB2312"/>
                <w:sz w:val="18"/>
                <w:szCs w:val="18"/>
              </w:rPr>
            </w:pPr>
          </w:p>
        </w:tc>
        <w:tc>
          <w:tcPr>
            <w:tcW w:w="2340" w:type="dxa"/>
            <w:vMerge w:val="restart"/>
            <w:noWrap w:val="0"/>
            <w:vAlign w:val="center"/>
          </w:tcPr>
          <w:p>
            <w:pPr>
              <w:rPr>
                <w:rFonts w:hint="eastAsia" w:ascii="仿宋_GB2312" w:eastAsia="仿宋_GB2312"/>
                <w:sz w:val="18"/>
                <w:szCs w:val="18"/>
              </w:rPr>
            </w:pPr>
          </w:p>
        </w:tc>
        <w:tc>
          <w:tcPr>
            <w:tcW w:w="1620" w:type="dxa"/>
            <w:noWrap w:val="0"/>
            <w:vAlign w:val="center"/>
          </w:tcPr>
          <w:p>
            <w:pPr>
              <w:jc w:val="center"/>
              <w:rPr>
                <w:rFonts w:hint="eastAsia" w:ascii="仿宋_GB2312" w:eastAsia="仿宋_GB2312"/>
                <w:sz w:val="18"/>
                <w:szCs w:val="18"/>
              </w:rPr>
            </w:pPr>
          </w:p>
        </w:tc>
        <w:tc>
          <w:tcPr>
            <w:tcW w:w="956" w:type="dxa"/>
            <w:noWrap w:val="0"/>
            <w:vAlign w:val="center"/>
          </w:tcPr>
          <w:p>
            <w:pPr>
              <w:rPr>
                <w:rFonts w:ascii="仿宋_GB2312" w:eastAsia="仿宋_GB2312"/>
                <w:sz w:val="18"/>
                <w:szCs w:val="18"/>
              </w:rPr>
            </w:pPr>
          </w:p>
        </w:tc>
        <w:tc>
          <w:tcPr>
            <w:tcW w:w="1856" w:type="dxa"/>
            <w:vMerge w:val="restart"/>
            <w:noWrap w:val="0"/>
            <w:vAlign w:val="center"/>
          </w:tcPr>
          <w:p>
            <w:pPr>
              <w:rPr>
                <w:rFonts w:ascii="仿宋_GB2312" w:hAnsi="宋体" w:eastAsia="仿宋_GB2312"/>
                <w:sz w:val="18"/>
                <w:szCs w:val="18"/>
              </w:rPr>
            </w:pPr>
          </w:p>
        </w:tc>
        <w:tc>
          <w:tcPr>
            <w:tcW w:w="720" w:type="dxa"/>
            <w:noWrap w:val="0"/>
            <w:vAlign w:val="center"/>
          </w:tcPr>
          <w:p>
            <w:pPr>
              <w:jc w:val="center"/>
              <w:rPr>
                <w:rFonts w:ascii="仿宋_GB2312" w:hAnsi="宋体" w:eastAsia="仿宋_GB2312"/>
                <w:sz w:val="18"/>
                <w:szCs w:val="18"/>
              </w:rPr>
            </w:pP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540" w:type="dxa"/>
            <w:noWrap w:val="0"/>
            <w:vAlign w:val="center"/>
          </w:tcPr>
          <w:p>
            <w:pPr>
              <w:jc w:val="center"/>
              <w:rPr>
                <w:rFonts w:hint="eastAsia" w:ascii="仿宋_GB2312" w:hAnsi="宋体" w:eastAsia="仿宋_GB2312" w:cs="宋体"/>
                <w:sz w:val="18"/>
                <w:szCs w:val="18"/>
              </w:rPr>
            </w:pP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p>
        </w:tc>
        <w:tc>
          <w:tcPr>
            <w:tcW w:w="3364" w:type="dxa"/>
            <w:noWrap w:val="0"/>
            <w:vAlign w:val="center"/>
          </w:tcPr>
          <w:p>
            <w:pPr>
              <w:rPr>
                <w:rFonts w:hint="eastAsia" w:ascii="仿宋_GB2312" w:hAnsi="宋体" w:eastAsia="仿宋_GB2312" w:cs="宋体"/>
                <w:sz w:val="18"/>
                <w:szCs w:val="18"/>
              </w:rPr>
            </w:pP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jc w:val="center"/>
              <w:rPr>
                <w:rFonts w:hint="eastAsia" w:ascii="仿宋_GB2312" w:eastAsia="仿宋_GB2312"/>
                <w:sz w:val="18"/>
                <w:szCs w:val="18"/>
              </w:rPr>
            </w:pPr>
          </w:p>
        </w:tc>
        <w:tc>
          <w:tcPr>
            <w:tcW w:w="956" w:type="dxa"/>
            <w:noWrap w:val="0"/>
            <w:vAlign w:val="center"/>
          </w:tcPr>
          <w:p>
            <w:pPr>
              <w:rPr>
                <w:rFonts w:ascii="仿宋_GB2312" w:eastAsia="仿宋_GB2312"/>
                <w:sz w:val="18"/>
                <w:szCs w:val="18"/>
              </w:rPr>
            </w:pP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p>
        </w:tc>
        <w:tc>
          <w:tcPr>
            <w:tcW w:w="900" w:type="dxa"/>
            <w:noWrap w:val="0"/>
            <w:vAlign w:val="center"/>
          </w:tcPr>
          <w:p>
            <w:pPr>
              <w:jc w:val="center"/>
              <w:rPr>
                <w:rFonts w:ascii="宋体" w:hAnsi="宋体" w:cs="宋体"/>
                <w:sz w:val="18"/>
                <w:szCs w:val="18"/>
              </w:rPr>
            </w:pPr>
            <w:r>
              <w:rPr>
                <w:rFonts w:hint="eastAsia"/>
                <w:sz w:val="18"/>
                <w:szCs w:val="18"/>
              </w:rPr>
              <w:t>　</w:t>
            </w:r>
          </w:p>
        </w:tc>
        <w:tc>
          <w:tcPr>
            <w:tcW w:w="788" w:type="dxa"/>
            <w:noWrap w:val="0"/>
            <w:vAlign w:val="center"/>
          </w:tcPr>
          <w:p>
            <w:pPr>
              <w:jc w:val="center"/>
              <w:rPr>
                <w:rFonts w:ascii="宋体" w:hAnsi="宋体" w:cs="宋体"/>
                <w:sz w:val="18"/>
                <w:szCs w:val="18"/>
              </w:rPr>
            </w:pPr>
          </w:p>
        </w:tc>
        <w:tc>
          <w:tcPr>
            <w:tcW w:w="900"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Pr>
        <w:jc w:val="center"/>
        <w:rPr>
          <w:rFonts w:hint="eastAsia" w:ascii="Times New Roman" w:hAnsi="Times New Roman" w:eastAsia="方正小标宋_GBK"/>
          <w:sz w:val="30"/>
          <w:szCs w:val="30"/>
        </w:rPr>
      </w:pPr>
    </w:p>
    <w:p>
      <w:pPr>
        <w:pStyle w:val="2"/>
        <w:jc w:val="center"/>
        <w:rPr>
          <w:rFonts w:hint="eastAsia" w:ascii="方正小标宋_GBK" w:hAnsi="方正小标宋_GBK" w:eastAsia="方正小标宋_GBK"/>
          <w:b w:val="0"/>
          <w:bCs w:val="0"/>
          <w:sz w:val="30"/>
        </w:rPr>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rPr>
                              <w:rStyle w:val="6"/>
                            </w:rPr>
                            <w:instrText xml:space="preserve"> PAGE </w:instrText>
                          </w:r>
                          <w:r>
                            <w:fldChar w:fldCharType="separate"/>
                          </w:r>
                          <w:r>
                            <w:rPr>
                              <w:rStyle w:val="6"/>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jc w:val="center"/>
                    </w:pPr>
                    <w:r>
                      <w:fldChar w:fldCharType="begin"/>
                    </w:r>
                    <w:r>
                      <w:rPr>
                        <w:rStyle w:val="6"/>
                      </w:rPr>
                      <w:instrText xml:space="preserve"> PAGE </w:instrText>
                    </w:r>
                    <w:r>
                      <w:fldChar w:fldCharType="separate"/>
                    </w:r>
                    <w:r>
                      <w:rPr>
                        <w:rStyle w:val="6"/>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rPr>
                              <w:rStyle w:val="6"/>
                            </w:rPr>
                            <w:instrText xml:space="preserve"> PAGE </w:instrText>
                          </w:r>
                          <w:r>
                            <w:fldChar w:fldCharType="separate"/>
                          </w:r>
                          <w:r>
                            <w:rPr>
                              <w:rStyle w:val="6"/>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jc w:val="center"/>
                    </w:pPr>
                    <w:r>
                      <w:fldChar w:fldCharType="begin"/>
                    </w:r>
                    <w:r>
                      <w:rPr>
                        <w:rStyle w:val="6"/>
                      </w:rPr>
                      <w:instrText xml:space="preserve"> PAGE </w:instrText>
                    </w:r>
                    <w:r>
                      <w:fldChar w:fldCharType="separate"/>
                    </w:r>
                    <w:r>
                      <w:rPr>
                        <w:rStyle w:val="6"/>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87211"/>
    <w:rsid w:val="0B38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2020-07-28T00:56:00Z</dcterms:created>
  <dc:creator>备用账号</dc:creator>
  <cp:lastModifiedBy>备用账号</cp:lastModifiedBy>
  <dcterms:modified xsi:type="dcterms:W3CDTF">2020-07-28T00:58:46Z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